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8.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D136FF" w14:textId="77777777" w:rsidR="00713C1A" w:rsidRDefault="00713C1A" w:rsidP="00713C1A">
      <w:pPr>
        <w:spacing w:before="120" w:after="120" w:line="240" w:lineRule="auto"/>
        <w:jc w:val="center"/>
        <w:outlineLvl w:val="1"/>
        <w:rPr>
          <w:rFonts w:eastAsia="Times New Roman" w:cs="Times New Roman"/>
          <w:b/>
          <w:bCs/>
          <w:sz w:val="40"/>
          <w:szCs w:val="40"/>
          <w:lang w:val="bg-BG"/>
        </w:rPr>
      </w:pPr>
      <w:bookmarkStart w:id="0" w:name="_Toc217888750"/>
      <w:r w:rsidRPr="00713C1A">
        <w:rPr>
          <w:rFonts w:eastAsia="Times New Roman" w:cs="Times New Roman"/>
          <w:b/>
          <w:bCs/>
          <w:sz w:val="40"/>
          <w:szCs w:val="40"/>
          <w:lang w:val="bg-BG"/>
        </w:rPr>
        <w:t>Национал</w:t>
      </w:r>
      <w:r>
        <w:rPr>
          <w:rFonts w:eastAsia="Times New Roman" w:cs="Times New Roman"/>
          <w:b/>
          <w:bCs/>
          <w:sz w:val="40"/>
          <w:szCs w:val="40"/>
          <w:lang w:val="bg-BG"/>
        </w:rPr>
        <w:t>ен</w:t>
      </w:r>
      <w:r w:rsidRPr="00713C1A">
        <w:rPr>
          <w:rFonts w:eastAsia="Times New Roman" w:cs="Times New Roman"/>
          <w:b/>
          <w:bCs/>
          <w:sz w:val="40"/>
          <w:szCs w:val="40"/>
          <w:lang w:val="bg-BG"/>
        </w:rPr>
        <w:t xml:space="preserve"> план за саниране на жилищните и нежилищните сгради в Република България</w:t>
      </w:r>
      <w:bookmarkEnd w:id="0"/>
    </w:p>
    <w:p w14:paraId="36AAC654" w14:textId="5E0D2855" w:rsidR="005D16C2" w:rsidRPr="006F3533" w:rsidRDefault="005D16C2" w:rsidP="00713C1A">
      <w:pPr>
        <w:spacing w:before="120" w:after="120" w:line="240" w:lineRule="auto"/>
        <w:jc w:val="center"/>
        <w:outlineLvl w:val="1"/>
        <w:rPr>
          <w:rFonts w:eastAsia="Times New Roman" w:cs="Times New Roman"/>
          <w:b/>
          <w:bCs/>
          <w:sz w:val="36"/>
          <w:szCs w:val="36"/>
          <w:lang w:val="bg-BG"/>
        </w:rPr>
      </w:pPr>
      <w:bookmarkStart w:id="1" w:name="_Toc217888751"/>
      <w:r w:rsidRPr="006F3533">
        <w:rPr>
          <w:rFonts w:eastAsia="Times New Roman" w:cs="Times New Roman"/>
          <w:b/>
          <w:bCs/>
          <w:sz w:val="32"/>
          <w:szCs w:val="32"/>
          <w:lang w:val="bg-BG"/>
        </w:rPr>
        <w:t>Предварителна версия</w:t>
      </w:r>
      <w:bookmarkEnd w:id="1"/>
    </w:p>
    <w:p w14:paraId="6B733F9E" w14:textId="52FC1F68" w:rsidR="00552DC2" w:rsidRPr="006F3533" w:rsidRDefault="00552DC2" w:rsidP="00F34F21">
      <w:pPr>
        <w:spacing w:before="100" w:beforeAutospacing="1" w:after="100" w:afterAutospacing="1" w:line="240" w:lineRule="auto"/>
        <w:jc w:val="center"/>
        <w:outlineLvl w:val="1"/>
        <w:rPr>
          <w:rFonts w:eastAsia="Times New Roman" w:cs="Times New Roman"/>
          <w:b/>
          <w:bCs/>
          <w:szCs w:val="24"/>
          <w:lang w:val="bg-BG"/>
        </w:rPr>
      </w:pPr>
    </w:p>
    <w:sdt>
      <w:sdtPr>
        <w:rPr>
          <w:rFonts w:ascii="Aptos" w:eastAsiaTheme="minorHAnsi" w:hAnsi="Aptos" w:cstheme="minorBidi"/>
          <w:color w:val="auto"/>
          <w:sz w:val="24"/>
          <w:szCs w:val="22"/>
          <w:lang w:val="bg-BG"/>
        </w:rPr>
        <w:id w:val="-492111458"/>
        <w:docPartObj>
          <w:docPartGallery w:val="Table of Contents"/>
          <w:docPartUnique/>
        </w:docPartObj>
      </w:sdtPr>
      <w:sdtEndPr>
        <w:rPr>
          <w:b/>
          <w:bCs/>
          <w:noProof/>
        </w:rPr>
      </w:sdtEndPr>
      <w:sdtContent>
        <w:p w14:paraId="76253A70" w14:textId="77777777" w:rsidR="00EA1E95" w:rsidRDefault="001F747C" w:rsidP="00077D42">
          <w:pPr>
            <w:pStyle w:val="TOCHeading"/>
            <w:spacing w:after="120"/>
            <w:jc w:val="both"/>
            <w:rPr>
              <w:noProof/>
            </w:rPr>
          </w:pPr>
          <w:r w:rsidRPr="006F3533">
            <w:rPr>
              <w:lang w:val="bg-BG"/>
            </w:rPr>
            <w:t>Съдържание</w:t>
          </w:r>
          <w:r w:rsidRPr="006F3533">
            <w:rPr>
              <w:lang w:val="bg-BG"/>
            </w:rPr>
            <w:fldChar w:fldCharType="begin"/>
          </w:r>
          <w:r w:rsidRPr="006F3533">
            <w:rPr>
              <w:lang w:val="bg-BG"/>
            </w:rPr>
            <w:instrText xml:space="preserve"> TOC \o "1-3" \h \z \u </w:instrText>
          </w:r>
          <w:r w:rsidRPr="006F3533">
            <w:rPr>
              <w:lang w:val="bg-BG"/>
            </w:rPr>
            <w:fldChar w:fldCharType="separate"/>
          </w:r>
        </w:p>
        <w:p w14:paraId="33F9C310" w14:textId="270CC80D" w:rsidR="00EA1E95" w:rsidRP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752" w:history="1">
            <w:r w:rsidR="00EA1E95" w:rsidRPr="00EA1E95">
              <w:rPr>
                <w:rStyle w:val="Hyperlink"/>
              </w:rPr>
              <w:t>Въведение</w:t>
            </w:r>
            <w:r w:rsidR="00EA1E95" w:rsidRPr="00EA1E95">
              <w:rPr>
                <w:webHidden/>
              </w:rPr>
              <w:tab/>
            </w:r>
            <w:r w:rsidR="00EA1E95" w:rsidRPr="00EA1E95">
              <w:rPr>
                <w:webHidden/>
              </w:rPr>
              <w:fldChar w:fldCharType="begin"/>
            </w:r>
            <w:r w:rsidR="00EA1E95" w:rsidRPr="00EA1E95">
              <w:rPr>
                <w:webHidden/>
              </w:rPr>
              <w:instrText xml:space="preserve"> PAGEREF _Toc217888752 \h </w:instrText>
            </w:r>
            <w:r w:rsidR="00EA1E95" w:rsidRPr="00EA1E95">
              <w:rPr>
                <w:webHidden/>
              </w:rPr>
            </w:r>
            <w:r w:rsidR="00EA1E95" w:rsidRPr="00EA1E95">
              <w:rPr>
                <w:webHidden/>
              </w:rPr>
              <w:fldChar w:fldCharType="separate"/>
            </w:r>
            <w:r>
              <w:rPr>
                <w:webHidden/>
              </w:rPr>
              <w:t>7</w:t>
            </w:r>
            <w:r w:rsidR="00EA1E95" w:rsidRPr="00EA1E95">
              <w:rPr>
                <w:webHidden/>
              </w:rPr>
              <w:fldChar w:fldCharType="end"/>
            </w:r>
          </w:hyperlink>
        </w:p>
        <w:p w14:paraId="0FBD159B" w14:textId="0F16F6FD" w:rsidR="00EA1E95" w:rsidRP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753" w:history="1">
            <w:r w:rsidR="00EA1E95" w:rsidRPr="00EA1E95">
              <w:rPr>
                <w:rStyle w:val="Hyperlink"/>
              </w:rPr>
              <w:t>Обобщена характеристика на жилищния сграден фонд в България</w:t>
            </w:r>
            <w:r w:rsidR="00EA1E95" w:rsidRPr="00EA1E95">
              <w:rPr>
                <w:webHidden/>
              </w:rPr>
              <w:tab/>
            </w:r>
            <w:r w:rsidR="00EA1E95" w:rsidRPr="00EA1E95">
              <w:rPr>
                <w:webHidden/>
              </w:rPr>
              <w:fldChar w:fldCharType="begin"/>
            </w:r>
            <w:r w:rsidR="00EA1E95" w:rsidRPr="00EA1E95">
              <w:rPr>
                <w:webHidden/>
              </w:rPr>
              <w:instrText xml:space="preserve"> PAGEREF _Toc217888753 \h </w:instrText>
            </w:r>
            <w:r w:rsidR="00EA1E95" w:rsidRPr="00EA1E95">
              <w:rPr>
                <w:webHidden/>
              </w:rPr>
            </w:r>
            <w:r w:rsidR="00EA1E95" w:rsidRPr="00EA1E95">
              <w:rPr>
                <w:webHidden/>
              </w:rPr>
              <w:fldChar w:fldCharType="separate"/>
            </w:r>
            <w:r>
              <w:rPr>
                <w:webHidden/>
              </w:rPr>
              <w:t>9</w:t>
            </w:r>
            <w:r w:rsidR="00EA1E95" w:rsidRPr="00EA1E95">
              <w:rPr>
                <w:webHidden/>
              </w:rPr>
              <w:fldChar w:fldCharType="end"/>
            </w:r>
          </w:hyperlink>
        </w:p>
        <w:p w14:paraId="63F29826" w14:textId="669B5AC1"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54" w:history="1">
            <w:r w:rsidR="00EA1E95" w:rsidRPr="00CF58E1">
              <w:rPr>
                <w:rStyle w:val="Hyperlink"/>
                <w:noProof/>
                <w:lang w:val="bg-BG"/>
              </w:rPr>
              <w:t>Методология - основни дефиниции и понятия, използвани източници на информация</w:t>
            </w:r>
            <w:r w:rsidR="00EA1E95">
              <w:rPr>
                <w:noProof/>
                <w:webHidden/>
              </w:rPr>
              <w:tab/>
            </w:r>
            <w:r w:rsidR="00EA1E95">
              <w:rPr>
                <w:noProof/>
                <w:webHidden/>
              </w:rPr>
              <w:fldChar w:fldCharType="begin"/>
            </w:r>
            <w:r w:rsidR="00EA1E95">
              <w:rPr>
                <w:noProof/>
                <w:webHidden/>
              </w:rPr>
              <w:instrText xml:space="preserve"> PAGEREF _Toc217888754 \h </w:instrText>
            </w:r>
            <w:r w:rsidR="00EA1E95">
              <w:rPr>
                <w:noProof/>
                <w:webHidden/>
              </w:rPr>
            </w:r>
            <w:r w:rsidR="00EA1E95">
              <w:rPr>
                <w:noProof/>
                <w:webHidden/>
              </w:rPr>
              <w:fldChar w:fldCharType="separate"/>
            </w:r>
            <w:r>
              <w:rPr>
                <w:noProof/>
                <w:webHidden/>
              </w:rPr>
              <w:t>9</w:t>
            </w:r>
            <w:r w:rsidR="00EA1E95">
              <w:rPr>
                <w:noProof/>
                <w:webHidden/>
              </w:rPr>
              <w:fldChar w:fldCharType="end"/>
            </w:r>
          </w:hyperlink>
        </w:p>
        <w:p w14:paraId="6CC3D686" w14:textId="4FE50143"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55" w:history="1">
            <w:r w:rsidR="00EA1E95" w:rsidRPr="00CF58E1">
              <w:rPr>
                <w:rStyle w:val="Hyperlink"/>
                <w:noProof/>
                <w:lang w:val="bg-BG"/>
              </w:rPr>
              <w:t>Общи данни за жилищния сграден фонд</w:t>
            </w:r>
            <w:r w:rsidR="00EA1E95">
              <w:rPr>
                <w:noProof/>
                <w:webHidden/>
              </w:rPr>
              <w:tab/>
            </w:r>
            <w:r w:rsidR="00EA1E95">
              <w:rPr>
                <w:noProof/>
                <w:webHidden/>
              </w:rPr>
              <w:fldChar w:fldCharType="begin"/>
            </w:r>
            <w:r w:rsidR="00EA1E95">
              <w:rPr>
                <w:noProof/>
                <w:webHidden/>
              </w:rPr>
              <w:instrText xml:space="preserve"> PAGEREF _Toc217888755 \h </w:instrText>
            </w:r>
            <w:r w:rsidR="00EA1E95">
              <w:rPr>
                <w:noProof/>
                <w:webHidden/>
              </w:rPr>
            </w:r>
            <w:r w:rsidR="00EA1E95">
              <w:rPr>
                <w:noProof/>
                <w:webHidden/>
              </w:rPr>
              <w:fldChar w:fldCharType="separate"/>
            </w:r>
            <w:r>
              <w:rPr>
                <w:noProof/>
                <w:webHidden/>
              </w:rPr>
              <w:t>15</w:t>
            </w:r>
            <w:r w:rsidR="00EA1E95">
              <w:rPr>
                <w:noProof/>
                <w:webHidden/>
              </w:rPr>
              <w:fldChar w:fldCharType="end"/>
            </w:r>
          </w:hyperlink>
        </w:p>
        <w:p w14:paraId="3009C206" w14:textId="3B6BB373"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56" w:history="1">
            <w:r w:rsidR="00EA1E95" w:rsidRPr="00CF58E1">
              <w:rPr>
                <w:rStyle w:val="Hyperlink"/>
                <w:noProof/>
                <w:lang w:val="bg-BG"/>
              </w:rPr>
              <w:t>Статистически преглед по технически показатели на жилищните сгради</w:t>
            </w:r>
            <w:r w:rsidR="00EA1E95">
              <w:rPr>
                <w:noProof/>
                <w:webHidden/>
              </w:rPr>
              <w:tab/>
            </w:r>
            <w:r w:rsidR="00EA1E95">
              <w:rPr>
                <w:noProof/>
                <w:webHidden/>
              </w:rPr>
              <w:fldChar w:fldCharType="begin"/>
            </w:r>
            <w:r w:rsidR="00EA1E95">
              <w:rPr>
                <w:noProof/>
                <w:webHidden/>
              </w:rPr>
              <w:instrText xml:space="preserve"> PAGEREF _Toc217888756 \h </w:instrText>
            </w:r>
            <w:r w:rsidR="00EA1E95">
              <w:rPr>
                <w:noProof/>
                <w:webHidden/>
              </w:rPr>
            </w:r>
            <w:r w:rsidR="00EA1E95">
              <w:rPr>
                <w:noProof/>
                <w:webHidden/>
              </w:rPr>
              <w:fldChar w:fldCharType="separate"/>
            </w:r>
            <w:r>
              <w:rPr>
                <w:noProof/>
                <w:webHidden/>
              </w:rPr>
              <w:t>22</w:t>
            </w:r>
            <w:r w:rsidR="00EA1E95">
              <w:rPr>
                <w:noProof/>
                <w:webHidden/>
              </w:rPr>
              <w:fldChar w:fldCharType="end"/>
            </w:r>
          </w:hyperlink>
        </w:p>
        <w:p w14:paraId="01653707" w14:textId="06B0D727"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57" w:history="1">
            <w:r w:rsidR="00EA1E95" w:rsidRPr="00CF58E1">
              <w:rPr>
                <w:rStyle w:val="Hyperlink"/>
                <w:noProof/>
                <w:lang w:val="bg-BG"/>
              </w:rPr>
              <w:t>Статистически преглед и характеристики на жилищата</w:t>
            </w:r>
            <w:r w:rsidR="00EA1E95">
              <w:rPr>
                <w:noProof/>
                <w:webHidden/>
              </w:rPr>
              <w:tab/>
            </w:r>
            <w:r w:rsidR="00EA1E95">
              <w:rPr>
                <w:noProof/>
                <w:webHidden/>
              </w:rPr>
              <w:fldChar w:fldCharType="begin"/>
            </w:r>
            <w:r w:rsidR="00EA1E95">
              <w:rPr>
                <w:noProof/>
                <w:webHidden/>
              </w:rPr>
              <w:instrText xml:space="preserve"> PAGEREF _Toc217888757 \h </w:instrText>
            </w:r>
            <w:r w:rsidR="00EA1E95">
              <w:rPr>
                <w:noProof/>
                <w:webHidden/>
              </w:rPr>
            </w:r>
            <w:r w:rsidR="00EA1E95">
              <w:rPr>
                <w:noProof/>
                <w:webHidden/>
              </w:rPr>
              <w:fldChar w:fldCharType="separate"/>
            </w:r>
            <w:r>
              <w:rPr>
                <w:noProof/>
                <w:webHidden/>
              </w:rPr>
              <w:t>33</w:t>
            </w:r>
            <w:r w:rsidR="00EA1E95">
              <w:rPr>
                <w:noProof/>
                <w:webHidden/>
              </w:rPr>
              <w:fldChar w:fldCharType="end"/>
            </w:r>
          </w:hyperlink>
        </w:p>
        <w:p w14:paraId="22FCA8AA" w14:textId="1CA1F578"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58" w:history="1">
            <w:r w:rsidR="00EA1E95" w:rsidRPr="00CF58E1">
              <w:rPr>
                <w:rStyle w:val="Hyperlink"/>
                <w:noProof/>
                <w:lang w:val="bg-BG"/>
              </w:rPr>
              <w:t>Брой и обща разгъната площ на жилищните сгради</w:t>
            </w:r>
            <w:r w:rsidR="00EA1E95">
              <w:rPr>
                <w:noProof/>
                <w:webHidden/>
              </w:rPr>
              <w:tab/>
            </w:r>
            <w:r w:rsidR="00EA1E95">
              <w:rPr>
                <w:noProof/>
                <w:webHidden/>
              </w:rPr>
              <w:fldChar w:fldCharType="begin"/>
            </w:r>
            <w:r w:rsidR="00EA1E95">
              <w:rPr>
                <w:noProof/>
                <w:webHidden/>
              </w:rPr>
              <w:instrText xml:space="preserve"> PAGEREF _Toc217888758 \h </w:instrText>
            </w:r>
            <w:r w:rsidR="00EA1E95">
              <w:rPr>
                <w:noProof/>
                <w:webHidden/>
              </w:rPr>
            </w:r>
            <w:r w:rsidR="00EA1E95">
              <w:rPr>
                <w:noProof/>
                <w:webHidden/>
              </w:rPr>
              <w:fldChar w:fldCharType="separate"/>
            </w:r>
            <w:r>
              <w:rPr>
                <w:noProof/>
                <w:webHidden/>
              </w:rPr>
              <w:t>49</w:t>
            </w:r>
            <w:r w:rsidR="00EA1E95">
              <w:rPr>
                <w:noProof/>
                <w:webHidden/>
              </w:rPr>
              <w:fldChar w:fldCharType="end"/>
            </w:r>
          </w:hyperlink>
        </w:p>
        <w:p w14:paraId="51DF402C" w14:textId="3A464832"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59" w:history="1">
            <w:r w:rsidR="00EA1E95" w:rsidRPr="00CF58E1">
              <w:rPr>
                <w:rStyle w:val="Hyperlink"/>
                <w:noProof/>
                <w:lang w:val="bg-BG"/>
              </w:rPr>
              <w:t>Разпределение на жилищните сгради по клас на енергопотребление</w:t>
            </w:r>
            <w:r w:rsidR="00EA1E95">
              <w:rPr>
                <w:noProof/>
                <w:webHidden/>
              </w:rPr>
              <w:tab/>
            </w:r>
            <w:r w:rsidR="00EA1E95">
              <w:rPr>
                <w:noProof/>
                <w:webHidden/>
              </w:rPr>
              <w:fldChar w:fldCharType="begin"/>
            </w:r>
            <w:r w:rsidR="00EA1E95">
              <w:rPr>
                <w:noProof/>
                <w:webHidden/>
              </w:rPr>
              <w:instrText xml:space="preserve"> PAGEREF _Toc217888759 \h </w:instrText>
            </w:r>
            <w:r w:rsidR="00EA1E95">
              <w:rPr>
                <w:noProof/>
                <w:webHidden/>
              </w:rPr>
            </w:r>
            <w:r w:rsidR="00EA1E95">
              <w:rPr>
                <w:noProof/>
                <w:webHidden/>
              </w:rPr>
              <w:fldChar w:fldCharType="separate"/>
            </w:r>
            <w:r>
              <w:rPr>
                <w:noProof/>
                <w:webHidden/>
              </w:rPr>
              <w:t>54</w:t>
            </w:r>
            <w:r w:rsidR="00EA1E95">
              <w:rPr>
                <w:noProof/>
                <w:webHidden/>
              </w:rPr>
              <w:fldChar w:fldCharType="end"/>
            </w:r>
          </w:hyperlink>
        </w:p>
        <w:p w14:paraId="7CADC916" w14:textId="2F05AD8E"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0" w:history="1">
            <w:r w:rsidR="00EA1E95" w:rsidRPr="00CF58E1">
              <w:rPr>
                <w:rStyle w:val="Hyperlink"/>
                <w:noProof/>
                <w:lang w:val="bg-BG"/>
              </w:rPr>
              <w:t>Сгради с близко до нулево потребление на енергия (СБНПЕ)</w:t>
            </w:r>
            <w:r w:rsidR="00EA1E95">
              <w:rPr>
                <w:noProof/>
                <w:webHidden/>
              </w:rPr>
              <w:tab/>
            </w:r>
            <w:r w:rsidR="00EA1E95">
              <w:rPr>
                <w:noProof/>
                <w:webHidden/>
              </w:rPr>
              <w:fldChar w:fldCharType="begin"/>
            </w:r>
            <w:r w:rsidR="00EA1E95">
              <w:rPr>
                <w:noProof/>
                <w:webHidden/>
              </w:rPr>
              <w:instrText xml:space="preserve"> PAGEREF _Toc217888760 \h </w:instrText>
            </w:r>
            <w:r w:rsidR="00EA1E95">
              <w:rPr>
                <w:noProof/>
                <w:webHidden/>
              </w:rPr>
            </w:r>
            <w:r w:rsidR="00EA1E95">
              <w:rPr>
                <w:noProof/>
                <w:webHidden/>
              </w:rPr>
              <w:fldChar w:fldCharType="separate"/>
            </w:r>
            <w:r>
              <w:rPr>
                <w:noProof/>
                <w:webHidden/>
              </w:rPr>
              <w:t>56</w:t>
            </w:r>
            <w:r w:rsidR="00EA1E95">
              <w:rPr>
                <w:noProof/>
                <w:webHidden/>
              </w:rPr>
              <w:fldChar w:fldCharType="end"/>
            </w:r>
          </w:hyperlink>
        </w:p>
        <w:p w14:paraId="32084522" w14:textId="06D42EDA"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1" w:history="1">
            <w:r w:rsidR="00EA1E95" w:rsidRPr="00CF58E1">
              <w:rPr>
                <w:rStyle w:val="Hyperlink"/>
                <w:noProof/>
                <w:lang w:val="bg-BG"/>
              </w:rPr>
              <w:t>Сгради с най-лоши енергийни характеристики (включително дефиниция)</w:t>
            </w:r>
            <w:r w:rsidR="00EA1E95">
              <w:rPr>
                <w:noProof/>
                <w:webHidden/>
              </w:rPr>
              <w:tab/>
            </w:r>
            <w:r w:rsidR="00EA1E95">
              <w:rPr>
                <w:noProof/>
                <w:webHidden/>
              </w:rPr>
              <w:fldChar w:fldCharType="begin"/>
            </w:r>
            <w:r w:rsidR="00EA1E95">
              <w:rPr>
                <w:noProof/>
                <w:webHidden/>
              </w:rPr>
              <w:instrText xml:space="preserve"> PAGEREF _Toc217888761 \h </w:instrText>
            </w:r>
            <w:r w:rsidR="00EA1E95">
              <w:rPr>
                <w:noProof/>
                <w:webHidden/>
              </w:rPr>
            </w:r>
            <w:r w:rsidR="00EA1E95">
              <w:rPr>
                <w:noProof/>
                <w:webHidden/>
              </w:rPr>
              <w:fldChar w:fldCharType="separate"/>
            </w:r>
            <w:r>
              <w:rPr>
                <w:noProof/>
                <w:webHidden/>
              </w:rPr>
              <w:t>57</w:t>
            </w:r>
            <w:r w:rsidR="00EA1E95">
              <w:rPr>
                <w:noProof/>
                <w:webHidden/>
              </w:rPr>
              <w:fldChar w:fldCharType="end"/>
            </w:r>
          </w:hyperlink>
        </w:p>
        <w:p w14:paraId="0250F1D0" w14:textId="4E1775E9"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2" w:history="1">
            <w:r w:rsidR="00EA1E95" w:rsidRPr="00CF58E1">
              <w:rPr>
                <w:rStyle w:val="Hyperlink"/>
                <w:noProof/>
                <w:lang w:val="bg-BG"/>
              </w:rPr>
              <w:t>Брой на сертификатите за енергийните характеристики на жилищните сгради по типове сгради</w:t>
            </w:r>
            <w:r w:rsidR="00EA1E95">
              <w:rPr>
                <w:noProof/>
                <w:webHidden/>
              </w:rPr>
              <w:tab/>
            </w:r>
            <w:r w:rsidR="00EA1E95">
              <w:rPr>
                <w:noProof/>
                <w:webHidden/>
              </w:rPr>
              <w:fldChar w:fldCharType="begin"/>
            </w:r>
            <w:r w:rsidR="00EA1E95">
              <w:rPr>
                <w:noProof/>
                <w:webHidden/>
              </w:rPr>
              <w:instrText xml:space="preserve"> PAGEREF _Toc217888762 \h </w:instrText>
            </w:r>
            <w:r w:rsidR="00EA1E95">
              <w:rPr>
                <w:noProof/>
                <w:webHidden/>
              </w:rPr>
            </w:r>
            <w:r w:rsidR="00EA1E95">
              <w:rPr>
                <w:noProof/>
                <w:webHidden/>
              </w:rPr>
              <w:fldChar w:fldCharType="separate"/>
            </w:r>
            <w:r>
              <w:rPr>
                <w:noProof/>
                <w:webHidden/>
              </w:rPr>
              <w:t>60</w:t>
            </w:r>
            <w:r w:rsidR="00EA1E95">
              <w:rPr>
                <w:noProof/>
                <w:webHidden/>
              </w:rPr>
              <w:fldChar w:fldCharType="end"/>
            </w:r>
          </w:hyperlink>
        </w:p>
        <w:p w14:paraId="76595E79" w14:textId="13FD3C45"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3" w:history="1">
            <w:r w:rsidR="00EA1E95" w:rsidRPr="00CF58E1">
              <w:rPr>
                <w:rStyle w:val="Hyperlink"/>
                <w:noProof/>
                <w:lang w:val="bg-BG"/>
              </w:rPr>
              <w:t>Брой на сертификатите за енергийните характеристики на жилищните сгради по клас на енергопотребление</w:t>
            </w:r>
            <w:r w:rsidR="00EA1E95">
              <w:rPr>
                <w:noProof/>
                <w:webHidden/>
              </w:rPr>
              <w:tab/>
            </w:r>
            <w:r w:rsidR="00EA1E95">
              <w:rPr>
                <w:noProof/>
                <w:webHidden/>
              </w:rPr>
              <w:fldChar w:fldCharType="begin"/>
            </w:r>
            <w:r w:rsidR="00EA1E95">
              <w:rPr>
                <w:noProof/>
                <w:webHidden/>
              </w:rPr>
              <w:instrText xml:space="preserve"> PAGEREF _Toc217888763 \h </w:instrText>
            </w:r>
            <w:r w:rsidR="00EA1E95">
              <w:rPr>
                <w:noProof/>
                <w:webHidden/>
              </w:rPr>
            </w:r>
            <w:r w:rsidR="00EA1E95">
              <w:rPr>
                <w:noProof/>
                <w:webHidden/>
              </w:rPr>
              <w:fldChar w:fldCharType="separate"/>
            </w:r>
            <w:r>
              <w:rPr>
                <w:noProof/>
                <w:webHidden/>
              </w:rPr>
              <w:t>62</w:t>
            </w:r>
            <w:r w:rsidR="00EA1E95">
              <w:rPr>
                <w:noProof/>
                <w:webHidden/>
              </w:rPr>
              <w:fldChar w:fldCharType="end"/>
            </w:r>
          </w:hyperlink>
        </w:p>
        <w:p w14:paraId="5D8A44B7" w14:textId="4A9E424D"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4" w:history="1">
            <w:r w:rsidR="00EA1E95" w:rsidRPr="00CF58E1">
              <w:rPr>
                <w:rStyle w:val="Hyperlink"/>
                <w:noProof/>
                <w:lang w:val="bg-BG"/>
              </w:rPr>
              <w:t>Годишни темпове на обновяване – жилищни сгради</w:t>
            </w:r>
            <w:r w:rsidR="00EA1E95">
              <w:rPr>
                <w:noProof/>
                <w:webHidden/>
              </w:rPr>
              <w:tab/>
            </w:r>
            <w:r w:rsidR="00EA1E95">
              <w:rPr>
                <w:noProof/>
                <w:webHidden/>
              </w:rPr>
              <w:fldChar w:fldCharType="begin"/>
            </w:r>
            <w:r w:rsidR="00EA1E95">
              <w:rPr>
                <w:noProof/>
                <w:webHidden/>
              </w:rPr>
              <w:instrText xml:space="preserve"> PAGEREF _Toc217888764 \h </w:instrText>
            </w:r>
            <w:r w:rsidR="00EA1E95">
              <w:rPr>
                <w:noProof/>
                <w:webHidden/>
              </w:rPr>
            </w:r>
            <w:r w:rsidR="00EA1E95">
              <w:rPr>
                <w:noProof/>
                <w:webHidden/>
              </w:rPr>
              <w:fldChar w:fldCharType="separate"/>
            </w:r>
            <w:r>
              <w:rPr>
                <w:noProof/>
                <w:webHidden/>
              </w:rPr>
              <w:t>63</w:t>
            </w:r>
            <w:r w:rsidR="00EA1E95">
              <w:rPr>
                <w:noProof/>
                <w:webHidden/>
              </w:rPr>
              <w:fldChar w:fldCharType="end"/>
            </w:r>
          </w:hyperlink>
        </w:p>
        <w:p w14:paraId="1C7AFB85" w14:textId="00F07BDD"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5" w:history="1">
            <w:r w:rsidR="00EA1E95" w:rsidRPr="00CF58E1">
              <w:rPr>
                <w:rStyle w:val="Hyperlink"/>
                <w:noProof/>
                <w:lang w:val="bg-BG"/>
              </w:rPr>
              <w:t>Първично и крайно потребление на енергия по типове жилищни сгради (ktoe)</w:t>
            </w:r>
            <w:r w:rsidR="00EA1E95">
              <w:rPr>
                <w:noProof/>
                <w:webHidden/>
              </w:rPr>
              <w:tab/>
            </w:r>
            <w:r w:rsidR="00EA1E95">
              <w:rPr>
                <w:noProof/>
                <w:webHidden/>
              </w:rPr>
              <w:fldChar w:fldCharType="begin"/>
            </w:r>
            <w:r w:rsidR="00EA1E95">
              <w:rPr>
                <w:noProof/>
                <w:webHidden/>
              </w:rPr>
              <w:instrText xml:space="preserve"> PAGEREF _Toc217888765 \h </w:instrText>
            </w:r>
            <w:r w:rsidR="00EA1E95">
              <w:rPr>
                <w:noProof/>
                <w:webHidden/>
              </w:rPr>
            </w:r>
            <w:r w:rsidR="00EA1E95">
              <w:rPr>
                <w:noProof/>
                <w:webHidden/>
              </w:rPr>
              <w:fldChar w:fldCharType="separate"/>
            </w:r>
            <w:r>
              <w:rPr>
                <w:noProof/>
                <w:webHidden/>
              </w:rPr>
              <w:t>64</w:t>
            </w:r>
            <w:r w:rsidR="00EA1E95">
              <w:rPr>
                <w:noProof/>
                <w:webHidden/>
              </w:rPr>
              <w:fldChar w:fldCharType="end"/>
            </w:r>
          </w:hyperlink>
        </w:p>
        <w:p w14:paraId="350FEB65" w14:textId="1F751CCD"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6" w:history="1">
            <w:r w:rsidR="00EA1E95" w:rsidRPr="00CF58E1">
              <w:rPr>
                <w:rStyle w:val="Hyperlink"/>
                <w:noProof/>
                <w:lang w:val="bg-BG"/>
              </w:rPr>
              <w:t>Първично и крайно потребление на енергия по вид крайно потребление (ktoe)</w:t>
            </w:r>
            <w:r w:rsidR="00EA1E95">
              <w:rPr>
                <w:noProof/>
                <w:webHidden/>
              </w:rPr>
              <w:tab/>
            </w:r>
            <w:r w:rsidR="00EA1E95">
              <w:rPr>
                <w:noProof/>
                <w:webHidden/>
              </w:rPr>
              <w:fldChar w:fldCharType="begin"/>
            </w:r>
            <w:r w:rsidR="00EA1E95">
              <w:rPr>
                <w:noProof/>
                <w:webHidden/>
              </w:rPr>
              <w:instrText xml:space="preserve"> PAGEREF _Toc217888766 \h </w:instrText>
            </w:r>
            <w:r w:rsidR="00EA1E95">
              <w:rPr>
                <w:noProof/>
                <w:webHidden/>
              </w:rPr>
            </w:r>
            <w:r w:rsidR="00EA1E95">
              <w:rPr>
                <w:noProof/>
                <w:webHidden/>
              </w:rPr>
              <w:fldChar w:fldCharType="separate"/>
            </w:r>
            <w:r>
              <w:rPr>
                <w:noProof/>
                <w:webHidden/>
              </w:rPr>
              <w:t>65</w:t>
            </w:r>
            <w:r w:rsidR="00EA1E95">
              <w:rPr>
                <w:noProof/>
                <w:webHidden/>
              </w:rPr>
              <w:fldChar w:fldCharType="end"/>
            </w:r>
          </w:hyperlink>
        </w:p>
        <w:p w14:paraId="3EC63F82" w14:textId="7E14B4D5"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7" w:history="1">
            <w:r w:rsidR="00EA1E95" w:rsidRPr="00CF58E1">
              <w:rPr>
                <w:rStyle w:val="Hyperlink"/>
                <w:noProof/>
                <w:lang w:val="bg-BG"/>
              </w:rPr>
              <w:t>Спестявания на енергия (ktoe)</w:t>
            </w:r>
            <w:r w:rsidR="00EA1E95">
              <w:rPr>
                <w:noProof/>
                <w:webHidden/>
              </w:rPr>
              <w:tab/>
            </w:r>
            <w:r w:rsidR="00EA1E95">
              <w:rPr>
                <w:noProof/>
                <w:webHidden/>
              </w:rPr>
              <w:fldChar w:fldCharType="begin"/>
            </w:r>
            <w:r w:rsidR="00EA1E95">
              <w:rPr>
                <w:noProof/>
                <w:webHidden/>
              </w:rPr>
              <w:instrText xml:space="preserve"> PAGEREF _Toc217888767 \h </w:instrText>
            </w:r>
            <w:r w:rsidR="00EA1E95">
              <w:rPr>
                <w:noProof/>
                <w:webHidden/>
              </w:rPr>
            </w:r>
            <w:r w:rsidR="00EA1E95">
              <w:rPr>
                <w:noProof/>
                <w:webHidden/>
              </w:rPr>
              <w:fldChar w:fldCharType="separate"/>
            </w:r>
            <w:r>
              <w:rPr>
                <w:noProof/>
                <w:webHidden/>
              </w:rPr>
              <w:t>66</w:t>
            </w:r>
            <w:r w:rsidR="00EA1E95">
              <w:rPr>
                <w:noProof/>
                <w:webHidden/>
              </w:rPr>
              <w:fldChar w:fldCharType="end"/>
            </w:r>
          </w:hyperlink>
        </w:p>
        <w:p w14:paraId="567F3272" w14:textId="0422CDE0"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8" w:history="1">
            <w:r w:rsidR="00EA1E95" w:rsidRPr="00CF58E1">
              <w:rPr>
                <w:rStyle w:val="Hyperlink"/>
                <w:noProof/>
                <w:lang w:val="bg-BG"/>
              </w:rPr>
              <w:t>Изводи за Националния план за обновяване на сградите</w:t>
            </w:r>
            <w:r w:rsidR="00EA1E95">
              <w:rPr>
                <w:noProof/>
                <w:webHidden/>
              </w:rPr>
              <w:tab/>
            </w:r>
            <w:r w:rsidR="00EA1E95">
              <w:rPr>
                <w:noProof/>
                <w:webHidden/>
              </w:rPr>
              <w:fldChar w:fldCharType="begin"/>
            </w:r>
            <w:r w:rsidR="00EA1E95">
              <w:rPr>
                <w:noProof/>
                <w:webHidden/>
              </w:rPr>
              <w:instrText xml:space="preserve"> PAGEREF _Toc217888768 \h </w:instrText>
            </w:r>
            <w:r w:rsidR="00EA1E95">
              <w:rPr>
                <w:noProof/>
                <w:webHidden/>
              </w:rPr>
            </w:r>
            <w:r w:rsidR="00EA1E95">
              <w:rPr>
                <w:noProof/>
                <w:webHidden/>
              </w:rPr>
              <w:fldChar w:fldCharType="separate"/>
            </w:r>
            <w:r>
              <w:rPr>
                <w:noProof/>
                <w:webHidden/>
              </w:rPr>
              <w:t>66</w:t>
            </w:r>
            <w:r w:rsidR="00EA1E95">
              <w:rPr>
                <w:noProof/>
                <w:webHidden/>
              </w:rPr>
              <w:fldChar w:fldCharType="end"/>
            </w:r>
          </w:hyperlink>
        </w:p>
        <w:p w14:paraId="68BF1F8B" w14:textId="55CD9E26"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69" w:history="1">
            <w:r w:rsidR="00EA1E95" w:rsidRPr="00CF58E1">
              <w:rPr>
                <w:rStyle w:val="Hyperlink"/>
                <w:noProof/>
                <w:lang w:val="bg-BG"/>
              </w:rPr>
              <w:t>Дял на енергията от възобновяеми източници в сградния сектор</w:t>
            </w:r>
            <w:r w:rsidR="00EA1E95">
              <w:rPr>
                <w:noProof/>
                <w:webHidden/>
              </w:rPr>
              <w:tab/>
            </w:r>
            <w:r w:rsidR="00EA1E95">
              <w:rPr>
                <w:noProof/>
                <w:webHidden/>
              </w:rPr>
              <w:fldChar w:fldCharType="begin"/>
            </w:r>
            <w:r w:rsidR="00EA1E95">
              <w:rPr>
                <w:noProof/>
                <w:webHidden/>
              </w:rPr>
              <w:instrText xml:space="preserve"> PAGEREF _Toc217888769 \h </w:instrText>
            </w:r>
            <w:r w:rsidR="00EA1E95">
              <w:rPr>
                <w:noProof/>
                <w:webHidden/>
              </w:rPr>
            </w:r>
            <w:r w:rsidR="00EA1E95">
              <w:rPr>
                <w:noProof/>
                <w:webHidden/>
              </w:rPr>
              <w:fldChar w:fldCharType="separate"/>
            </w:r>
            <w:r>
              <w:rPr>
                <w:noProof/>
                <w:webHidden/>
              </w:rPr>
              <w:t>67</w:t>
            </w:r>
            <w:r w:rsidR="00EA1E95">
              <w:rPr>
                <w:noProof/>
                <w:webHidden/>
              </w:rPr>
              <w:fldChar w:fldCharType="end"/>
            </w:r>
          </w:hyperlink>
        </w:p>
        <w:p w14:paraId="072A196D" w14:textId="280E46EF"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70" w:history="1">
            <w:r w:rsidR="00EA1E95" w:rsidRPr="00CF58E1">
              <w:rPr>
                <w:rStyle w:val="Hyperlink"/>
                <w:noProof/>
                <w:lang w:val="bg-BG"/>
              </w:rPr>
              <w:t>Годишни оперативни емисии на парникови газове по видове сгради (kgCO₂eq/(m²·година))</w:t>
            </w:r>
            <w:r w:rsidR="00EA1E95">
              <w:rPr>
                <w:noProof/>
                <w:webHidden/>
              </w:rPr>
              <w:tab/>
            </w:r>
            <w:r w:rsidR="00EA1E95">
              <w:rPr>
                <w:noProof/>
                <w:webHidden/>
              </w:rPr>
              <w:fldChar w:fldCharType="begin"/>
            </w:r>
            <w:r w:rsidR="00EA1E95">
              <w:rPr>
                <w:noProof/>
                <w:webHidden/>
              </w:rPr>
              <w:instrText xml:space="preserve"> PAGEREF _Toc217888770 \h </w:instrText>
            </w:r>
            <w:r w:rsidR="00EA1E95">
              <w:rPr>
                <w:noProof/>
                <w:webHidden/>
              </w:rPr>
            </w:r>
            <w:r w:rsidR="00EA1E95">
              <w:rPr>
                <w:noProof/>
                <w:webHidden/>
              </w:rPr>
              <w:fldChar w:fldCharType="separate"/>
            </w:r>
            <w:r>
              <w:rPr>
                <w:noProof/>
                <w:webHidden/>
              </w:rPr>
              <w:t>67</w:t>
            </w:r>
            <w:r w:rsidR="00EA1E95">
              <w:rPr>
                <w:noProof/>
                <w:webHidden/>
              </w:rPr>
              <w:fldChar w:fldCharType="end"/>
            </w:r>
          </w:hyperlink>
        </w:p>
        <w:p w14:paraId="751E1CB9" w14:textId="2298A7CB"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71" w:history="1">
            <w:r w:rsidR="00EA1E95" w:rsidRPr="00CF58E1">
              <w:rPr>
                <w:rStyle w:val="Hyperlink"/>
                <w:noProof/>
                <w:lang w:val="bg-BG"/>
              </w:rPr>
              <w:t>Годишно намаление на оперативните емисии на парникови газове по видове сгради (kgCO₂eq/(m²·година))</w:t>
            </w:r>
            <w:r w:rsidR="00EA1E95">
              <w:rPr>
                <w:noProof/>
                <w:webHidden/>
              </w:rPr>
              <w:tab/>
            </w:r>
            <w:r w:rsidR="00EA1E95">
              <w:rPr>
                <w:noProof/>
                <w:webHidden/>
              </w:rPr>
              <w:fldChar w:fldCharType="begin"/>
            </w:r>
            <w:r w:rsidR="00EA1E95">
              <w:rPr>
                <w:noProof/>
                <w:webHidden/>
              </w:rPr>
              <w:instrText xml:space="preserve"> PAGEREF _Toc217888771 \h </w:instrText>
            </w:r>
            <w:r w:rsidR="00EA1E95">
              <w:rPr>
                <w:noProof/>
                <w:webHidden/>
              </w:rPr>
            </w:r>
            <w:r w:rsidR="00EA1E95">
              <w:rPr>
                <w:noProof/>
                <w:webHidden/>
              </w:rPr>
              <w:fldChar w:fldCharType="separate"/>
            </w:r>
            <w:r>
              <w:rPr>
                <w:noProof/>
                <w:webHidden/>
              </w:rPr>
              <w:t>69</w:t>
            </w:r>
            <w:r w:rsidR="00EA1E95">
              <w:rPr>
                <w:noProof/>
                <w:webHidden/>
              </w:rPr>
              <w:fldChar w:fldCharType="end"/>
            </w:r>
          </w:hyperlink>
        </w:p>
        <w:p w14:paraId="1F40D2E8" w14:textId="212A94D9"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72" w:history="1">
            <w:r w:rsidR="00EA1E95" w:rsidRPr="00CF58E1">
              <w:rPr>
                <w:rStyle w:val="Hyperlink"/>
                <w:noProof/>
                <w:lang w:val="bg-BG"/>
              </w:rPr>
              <w:t>Очаквани по-широки ползи: % намаление на броя на хората, засегнати от енергийна бедност</w:t>
            </w:r>
            <w:r w:rsidR="00EA1E95">
              <w:rPr>
                <w:noProof/>
                <w:webHidden/>
              </w:rPr>
              <w:tab/>
            </w:r>
            <w:r w:rsidR="00EA1E95">
              <w:rPr>
                <w:noProof/>
                <w:webHidden/>
              </w:rPr>
              <w:fldChar w:fldCharType="begin"/>
            </w:r>
            <w:r w:rsidR="00EA1E95">
              <w:rPr>
                <w:noProof/>
                <w:webHidden/>
              </w:rPr>
              <w:instrText xml:space="preserve"> PAGEREF _Toc217888772 \h </w:instrText>
            </w:r>
            <w:r w:rsidR="00EA1E95">
              <w:rPr>
                <w:noProof/>
                <w:webHidden/>
              </w:rPr>
            </w:r>
            <w:r w:rsidR="00EA1E95">
              <w:rPr>
                <w:noProof/>
                <w:webHidden/>
              </w:rPr>
              <w:fldChar w:fldCharType="separate"/>
            </w:r>
            <w:r>
              <w:rPr>
                <w:noProof/>
                <w:webHidden/>
              </w:rPr>
              <w:t>69</w:t>
            </w:r>
            <w:r w:rsidR="00EA1E95">
              <w:rPr>
                <w:noProof/>
                <w:webHidden/>
              </w:rPr>
              <w:fldChar w:fldCharType="end"/>
            </w:r>
          </w:hyperlink>
        </w:p>
        <w:p w14:paraId="14E7BEC3" w14:textId="7BBF8208" w:rsidR="00EA1E95" w:rsidRP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773" w:history="1">
            <w:r w:rsidR="00EA1E95" w:rsidRPr="00EA1E95">
              <w:rPr>
                <w:rStyle w:val="Hyperlink"/>
              </w:rPr>
              <w:t>Обобщена характеристика на нежилищния сграден фонд в България</w:t>
            </w:r>
            <w:r w:rsidR="00EA1E95" w:rsidRPr="00EA1E95">
              <w:rPr>
                <w:webHidden/>
              </w:rPr>
              <w:tab/>
            </w:r>
            <w:r w:rsidR="00EA1E95" w:rsidRPr="00EA1E95">
              <w:rPr>
                <w:webHidden/>
              </w:rPr>
              <w:fldChar w:fldCharType="begin"/>
            </w:r>
            <w:r w:rsidR="00EA1E95" w:rsidRPr="00EA1E95">
              <w:rPr>
                <w:webHidden/>
              </w:rPr>
              <w:instrText xml:space="preserve"> PAGEREF _Toc217888773 \h </w:instrText>
            </w:r>
            <w:r w:rsidR="00EA1E95" w:rsidRPr="00EA1E95">
              <w:rPr>
                <w:webHidden/>
              </w:rPr>
            </w:r>
            <w:r w:rsidR="00EA1E95" w:rsidRPr="00EA1E95">
              <w:rPr>
                <w:webHidden/>
              </w:rPr>
              <w:fldChar w:fldCharType="separate"/>
            </w:r>
            <w:r>
              <w:rPr>
                <w:webHidden/>
              </w:rPr>
              <w:t>70</w:t>
            </w:r>
            <w:r w:rsidR="00EA1E95" w:rsidRPr="00EA1E95">
              <w:rPr>
                <w:webHidden/>
              </w:rPr>
              <w:fldChar w:fldCharType="end"/>
            </w:r>
          </w:hyperlink>
        </w:p>
        <w:p w14:paraId="198E0653" w14:textId="6F968EF4"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74" w:history="1">
            <w:r w:rsidR="00EA1E95" w:rsidRPr="00CF58E1">
              <w:rPr>
                <w:rStyle w:val="Hyperlink"/>
                <w:noProof/>
                <w:lang w:val="bg-BG"/>
              </w:rPr>
              <w:t>Методология</w:t>
            </w:r>
            <w:r w:rsidR="00EA1E95">
              <w:rPr>
                <w:noProof/>
                <w:webHidden/>
              </w:rPr>
              <w:tab/>
            </w:r>
            <w:r w:rsidR="00EA1E95">
              <w:rPr>
                <w:noProof/>
                <w:webHidden/>
              </w:rPr>
              <w:fldChar w:fldCharType="begin"/>
            </w:r>
            <w:r w:rsidR="00EA1E95">
              <w:rPr>
                <w:noProof/>
                <w:webHidden/>
              </w:rPr>
              <w:instrText xml:space="preserve"> PAGEREF _Toc217888774 \h </w:instrText>
            </w:r>
            <w:r w:rsidR="00EA1E95">
              <w:rPr>
                <w:noProof/>
                <w:webHidden/>
              </w:rPr>
            </w:r>
            <w:r w:rsidR="00EA1E95">
              <w:rPr>
                <w:noProof/>
                <w:webHidden/>
              </w:rPr>
              <w:fldChar w:fldCharType="separate"/>
            </w:r>
            <w:r>
              <w:rPr>
                <w:noProof/>
                <w:webHidden/>
              </w:rPr>
              <w:t>70</w:t>
            </w:r>
            <w:r w:rsidR="00EA1E95">
              <w:rPr>
                <w:noProof/>
                <w:webHidden/>
              </w:rPr>
              <w:fldChar w:fldCharType="end"/>
            </w:r>
          </w:hyperlink>
        </w:p>
        <w:p w14:paraId="78955C91" w14:textId="2B716621"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75" w:history="1">
            <w:r w:rsidR="00EA1E95" w:rsidRPr="00CF58E1">
              <w:rPr>
                <w:rStyle w:val="Hyperlink"/>
                <w:noProof/>
                <w:lang w:val="bg-BG"/>
              </w:rPr>
              <w:t>Брой и обща разгъната площ на сградите</w:t>
            </w:r>
            <w:r w:rsidR="00EA1E95">
              <w:rPr>
                <w:noProof/>
                <w:webHidden/>
              </w:rPr>
              <w:tab/>
            </w:r>
            <w:r w:rsidR="00EA1E95">
              <w:rPr>
                <w:noProof/>
                <w:webHidden/>
              </w:rPr>
              <w:fldChar w:fldCharType="begin"/>
            </w:r>
            <w:r w:rsidR="00EA1E95">
              <w:rPr>
                <w:noProof/>
                <w:webHidden/>
              </w:rPr>
              <w:instrText xml:space="preserve"> PAGEREF _Toc217888775 \h </w:instrText>
            </w:r>
            <w:r w:rsidR="00EA1E95">
              <w:rPr>
                <w:noProof/>
                <w:webHidden/>
              </w:rPr>
            </w:r>
            <w:r w:rsidR="00EA1E95">
              <w:rPr>
                <w:noProof/>
                <w:webHidden/>
              </w:rPr>
              <w:fldChar w:fldCharType="separate"/>
            </w:r>
            <w:r>
              <w:rPr>
                <w:noProof/>
                <w:webHidden/>
              </w:rPr>
              <w:t>72</w:t>
            </w:r>
            <w:r w:rsidR="00EA1E95">
              <w:rPr>
                <w:noProof/>
                <w:webHidden/>
              </w:rPr>
              <w:fldChar w:fldCharType="end"/>
            </w:r>
          </w:hyperlink>
        </w:p>
        <w:p w14:paraId="150D0C48" w14:textId="62E0BC6E"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76" w:history="1">
            <w:r w:rsidR="00EA1E95" w:rsidRPr="00CF58E1">
              <w:rPr>
                <w:rStyle w:val="Hyperlink"/>
                <w:noProof/>
                <w:lang w:val="bg-BG"/>
              </w:rPr>
              <w:t>Разпределение на нежилищните сгради по клас на енергопотребление</w:t>
            </w:r>
            <w:r w:rsidR="00EA1E95">
              <w:rPr>
                <w:noProof/>
                <w:webHidden/>
              </w:rPr>
              <w:tab/>
            </w:r>
            <w:r w:rsidR="00EA1E95">
              <w:rPr>
                <w:noProof/>
                <w:webHidden/>
              </w:rPr>
              <w:fldChar w:fldCharType="begin"/>
            </w:r>
            <w:r w:rsidR="00EA1E95">
              <w:rPr>
                <w:noProof/>
                <w:webHidden/>
              </w:rPr>
              <w:instrText xml:space="preserve"> PAGEREF _Toc217888776 \h </w:instrText>
            </w:r>
            <w:r w:rsidR="00EA1E95">
              <w:rPr>
                <w:noProof/>
                <w:webHidden/>
              </w:rPr>
            </w:r>
            <w:r w:rsidR="00EA1E95">
              <w:rPr>
                <w:noProof/>
                <w:webHidden/>
              </w:rPr>
              <w:fldChar w:fldCharType="separate"/>
            </w:r>
            <w:r>
              <w:rPr>
                <w:noProof/>
                <w:webHidden/>
              </w:rPr>
              <w:t>74</w:t>
            </w:r>
            <w:r w:rsidR="00EA1E95">
              <w:rPr>
                <w:noProof/>
                <w:webHidden/>
              </w:rPr>
              <w:fldChar w:fldCharType="end"/>
            </w:r>
          </w:hyperlink>
        </w:p>
        <w:p w14:paraId="309CE552" w14:textId="41C0638E"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77" w:history="1">
            <w:r w:rsidR="00EA1E95" w:rsidRPr="00CF58E1">
              <w:rPr>
                <w:rStyle w:val="Hyperlink"/>
                <w:noProof/>
                <w:lang w:val="bg-BG"/>
              </w:rPr>
              <w:t>Сгради с близко до нулево потребление на енергия (СБНПЕ)</w:t>
            </w:r>
            <w:r w:rsidR="00EA1E95">
              <w:rPr>
                <w:noProof/>
                <w:webHidden/>
              </w:rPr>
              <w:tab/>
            </w:r>
            <w:r w:rsidR="00EA1E95">
              <w:rPr>
                <w:noProof/>
                <w:webHidden/>
              </w:rPr>
              <w:fldChar w:fldCharType="begin"/>
            </w:r>
            <w:r w:rsidR="00EA1E95">
              <w:rPr>
                <w:noProof/>
                <w:webHidden/>
              </w:rPr>
              <w:instrText xml:space="preserve"> PAGEREF _Toc217888777 \h </w:instrText>
            </w:r>
            <w:r w:rsidR="00EA1E95">
              <w:rPr>
                <w:noProof/>
                <w:webHidden/>
              </w:rPr>
            </w:r>
            <w:r w:rsidR="00EA1E95">
              <w:rPr>
                <w:noProof/>
                <w:webHidden/>
              </w:rPr>
              <w:fldChar w:fldCharType="separate"/>
            </w:r>
            <w:r>
              <w:rPr>
                <w:noProof/>
                <w:webHidden/>
              </w:rPr>
              <w:t>76</w:t>
            </w:r>
            <w:r w:rsidR="00EA1E95">
              <w:rPr>
                <w:noProof/>
                <w:webHidden/>
              </w:rPr>
              <w:fldChar w:fldCharType="end"/>
            </w:r>
          </w:hyperlink>
        </w:p>
        <w:p w14:paraId="0E16595A" w14:textId="1D2A8E4B"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78" w:history="1">
            <w:r w:rsidR="00EA1E95" w:rsidRPr="00CF58E1">
              <w:rPr>
                <w:rStyle w:val="Hyperlink"/>
                <w:noProof/>
                <w:lang w:val="bg-BG"/>
              </w:rPr>
              <w:t>Сгради с най-лоши енергийни характеристики (включително дефиниция)</w:t>
            </w:r>
            <w:r w:rsidR="00EA1E95">
              <w:rPr>
                <w:noProof/>
                <w:webHidden/>
              </w:rPr>
              <w:tab/>
            </w:r>
            <w:r w:rsidR="00EA1E95">
              <w:rPr>
                <w:noProof/>
                <w:webHidden/>
              </w:rPr>
              <w:fldChar w:fldCharType="begin"/>
            </w:r>
            <w:r w:rsidR="00EA1E95">
              <w:rPr>
                <w:noProof/>
                <w:webHidden/>
              </w:rPr>
              <w:instrText xml:space="preserve"> PAGEREF _Toc217888778 \h </w:instrText>
            </w:r>
            <w:r w:rsidR="00EA1E95">
              <w:rPr>
                <w:noProof/>
                <w:webHidden/>
              </w:rPr>
            </w:r>
            <w:r w:rsidR="00EA1E95">
              <w:rPr>
                <w:noProof/>
                <w:webHidden/>
              </w:rPr>
              <w:fldChar w:fldCharType="separate"/>
            </w:r>
            <w:r>
              <w:rPr>
                <w:noProof/>
                <w:webHidden/>
              </w:rPr>
              <w:t>77</w:t>
            </w:r>
            <w:r w:rsidR="00EA1E95">
              <w:rPr>
                <w:noProof/>
                <w:webHidden/>
              </w:rPr>
              <w:fldChar w:fldCharType="end"/>
            </w:r>
          </w:hyperlink>
        </w:p>
        <w:p w14:paraId="0A6E8E04" w14:textId="5C2AEA4C"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79" w:history="1">
            <w:r w:rsidR="00EA1E95" w:rsidRPr="00CF58E1">
              <w:rPr>
                <w:rStyle w:val="Hyperlink"/>
                <w:noProof/>
                <w:lang w:val="bg-BG"/>
              </w:rPr>
              <w:t>Оценка на дела на изключените сгради съгласно чл. 9(6), буква (а) от преработената ДЕХС</w:t>
            </w:r>
            <w:r w:rsidR="00EA1E95">
              <w:rPr>
                <w:noProof/>
                <w:webHidden/>
              </w:rPr>
              <w:tab/>
            </w:r>
            <w:r w:rsidR="00EA1E95">
              <w:rPr>
                <w:noProof/>
                <w:webHidden/>
              </w:rPr>
              <w:fldChar w:fldCharType="begin"/>
            </w:r>
            <w:r w:rsidR="00EA1E95">
              <w:rPr>
                <w:noProof/>
                <w:webHidden/>
              </w:rPr>
              <w:instrText xml:space="preserve"> PAGEREF _Toc217888779 \h </w:instrText>
            </w:r>
            <w:r w:rsidR="00EA1E95">
              <w:rPr>
                <w:noProof/>
                <w:webHidden/>
              </w:rPr>
            </w:r>
            <w:r w:rsidR="00EA1E95">
              <w:rPr>
                <w:noProof/>
                <w:webHidden/>
              </w:rPr>
              <w:fldChar w:fldCharType="separate"/>
            </w:r>
            <w:r>
              <w:rPr>
                <w:noProof/>
                <w:webHidden/>
              </w:rPr>
              <w:t>79</w:t>
            </w:r>
            <w:r w:rsidR="00EA1E95">
              <w:rPr>
                <w:noProof/>
                <w:webHidden/>
              </w:rPr>
              <w:fldChar w:fldCharType="end"/>
            </w:r>
          </w:hyperlink>
        </w:p>
        <w:p w14:paraId="4E4AEB65" w14:textId="1CFDF624"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0" w:history="1">
            <w:r w:rsidR="00EA1E95" w:rsidRPr="00CF58E1">
              <w:rPr>
                <w:rStyle w:val="Hyperlink"/>
                <w:noProof/>
                <w:lang w:val="bg-BG"/>
              </w:rPr>
              <w:t>Брой на сертификатите за енергийните характеристики на сгради по типове сгради</w:t>
            </w:r>
            <w:r w:rsidR="00EA1E95">
              <w:rPr>
                <w:noProof/>
                <w:webHidden/>
              </w:rPr>
              <w:tab/>
            </w:r>
            <w:r w:rsidR="00EA1E95">
              <w:rPr>
                <w:noProof/>
                <w:webHidden/>
              </w:rPr>
              <w:fldChar w:fldCharType="begin"/>
            </w:r>
            <w:r w:rsidR="00EA1E95">
              <w:rPr>
                <w:noProof/>
                <w:webHidden/>
              </w:rPr>
              <w:instrText xml:space="preserve"> PAGEREF _Toc217888780 \h </w:instrText>
            </w:r>
            <w:r w:rsidR="00EA1E95">
              <w:rPr>
                <w:noProof/>
                <w:webHidden/>
              </w:rPr>
            </w:r>
            <w:r w:rsidR="00EA1E95">
              <w:rPr>
                <w:noProof/>
                <w:webHidden/>
              </w:rPr>
              <w:fldChar w:fldCharType="separate"/>
            </w:r>
            <w:r>
              <w:rPr>
                <w:noProof/>
                <w:webHidden/>
              </w:rPr>
              <w:t>80</w:t>
            </w:r>
            <w:r w:rsidR="00EA1E95">
              <w:rPr>
                <w:noProof/>
                <w:webHidden/>
              </w:rPr>
              <w:fldChar w:fldCharType="end"/>
            </w:r>
          </w:hyperlink>
        </w:p>
        <w:p w14:paraId="2B356785" w14:textId="22B02F0B"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1" w:history="1">
            <w:r w:rsidR="00EA1E95" w:rsidRPr="00CF58E1">
              <w:rPr>
                <w:rStyle w:val="Hyperlink"/>
                <w:noProof/>
                <w:lang w:val="bg-BG"/>
              </w:rPr>
              <w:t>Брой на сертификатите за енергийните характеристики на сгради по клас на енергопотребление</w:t>
            </w:r>
            <w:r w:rsidR="00EA1E95">
              <w:rPr>
                <w:noProof/>
                <w:webHidden/>
              </w:rPr>
              <w:tab/>
            </w:r>
            <w:r w:rsidR="00EA1E95">
              <w:rPr>
                <w:noProof/>
                <w:webHidden/>
              </w:rPr>
              <w:fldChar w:fldCharType="begin"/>
            </w:r>
            <w:r w:rsidR="00EA1E95">
              <w:rPr>
                <w:noProof/>
                <w:webHidden/>
              </w:rPr>
              <w:instrText xml:space="preserve"> PAGEREF _Toc217888781 \h </w:instrText>
            </w:r>
            <w:r w:rsidR="00EA1E95">
              <w:rPr>
                <w:noProof/>
                <w:webHidden/>
              </w:rPr>
            </w:r>
            <w:r w:rsidR="00EA1E95">
              <w:rPr>
                <w:noProof/>
                <w:webHidden/>
              </w:rPr>
              <w:fldChar w:fldCharType="separate"/>
            </w:r>
            <w:r>
              <w:rPr>
                <w:noProof/>
                <w:webHidden/>
              </w:rPr>
              <w:t>83</w:t>
            </w:r>
            <w:r w:rsidR="00EA1E95">
              <w:rPr>
                <w:noProof/>
                <w:webHidden/>
              </w:rPr>
              <w:fldChar w:fldCharType="end"/>
            </w:r>
          </w:hyperlink>
        </w:p>
        <w:p w14:paraId="3AD12D63" w14:textId="63198132"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2" w:history="1">
            <w:r w:rsidR="00EA1E95" w:rsidRPr="00CF58E1">
              <w:rPr>
                <w:rStyle w:val="Hyperlink"/>
                <w:noProof/>
                <w:lang w:val="bg-BG"/>
              </w:rPr>
              <w:t>Годишни темпове на обновяване – нежилищни сгради</w:t>
            </w:r>
            <w:r w:rsidR="00EA1E95">
              <w:rPr>
                <w:noProof/>
                <w:webHidden/>
              </w:rPr>
              <w:tab/>
            </w:r>
            <w:r w:rsidR="00EA1E95">
              <w:rPr>
                <w:noProof/>
                <w:webHidden/>
              </w:rPr>
              <w:fldChar w:fldCharType="begin"/>
            </w:r>
            <w:r w:rsidR="00EA1E95">
              <w:rPr>
                <w:noProof/>
                <w:webHidden/>
              </w:rPr>
              <w:instrText xml:space="preserve"> PAGEREF _Toc217888782 \h </w:instrText>
            </w:r>
            <w:r w:rsidR="00EA1E95">
              <w:rPr>
                <w:noProof/>
                <w:webHidden/>
              </w:rPr>
            </w:r>
            <w:r w:rsidR="00EA1E95">
              <w:rPr>
                <w:noProof/>
                <w:webHidden/>
              </w:rPr>
              <w:fldChar w:fldCharType="separate"/>
            </w:r>
            <w:r>
              <w:rPr>
                <w:noProof/>
                <w:webHidden/>
              </w:rPr>
              <w:t>85</w:t>
            </w:r>
            <w:r w:rsidR="00EA1E95">
              <w:rPr>
                <w:noProof/>
                <w:webHidden/>
              </w:rPr>
              <w:fldChar w:fldCharType="end"/>
            </w:r>
          </w:hyperlink>
        </w:p>
        <w:p w14:paraId="05C7012A" w14:textId="4729B213"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3" w:history="1">
            <w:r w:rsidR="00EA1E95" w:rsidRPr="00CF58E1">
              <w:rPr>
                <w:rStyle w:val="Hyperlink"/>
                <w:noProof/>
                <w:lang w:val="bg-BG"/>
              </w:rPr>
              <w:t>Първично и крайно потребление на енергия по типове сгради (ktoe)</w:t>
            </w:r>
            <w:r w:rsidR="00EA1E95">
              <w:rPr>
                <w:noProof/>
                <w:webHidden/>
              </w:rPr>
              <w:tab/>
            </w:r>
            <w:r w:rsidR="00EA1E95">
              <w:rPr>
                <w:noProof/>
                <w:webHidden/>
              </w:rPr>
              <w:fldChar w:fldCharType="begin"/>
            </w:r>
            <w:r w:rsidR="00EA1E95">
              <w:rPr>
                <w:noProof/>
                <w:webHidden/>
              </w:rPr>
              <w:instrText xml:space="preserve"> PAGEREF _Toc217888783 \h </w:instrText>
            </w:r>
            <w:r w:rsidR="00EA1E95">
              <w:rPr>
                <w:noProof/>
                <w:webHidden/>
              </w:rPr>
            </w:r>
            <w:r w:rsidR="00EA1E95">
              <w:rPr>
                <w:noProof/>
                <w:webHidden/>
              </w:rPr>
              <w:fldChar w:fldCharType="separate"/>
            </w:r>
            <w:r>
              <w:rPr>
                <w:noProof/>
                <w:webHidden/>
              </w:rPr>
              <w:t>86</w:t>
            </w:r>
            <w:r w:rsidR="00EA1E95">
              <w:rPr>
                <w:noProof/>
                <w:webHidden/>
              </w:rPr>
              <w:fldChar w:fldCharType="end"/>
            </w:r>
          </w:hyperlink>
        </w:p>
        <w:p w14:paraId="3E8465B3" w14:textId="0A46EB0B"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4" w:history="1">
            <w:r w:rsidR="00EA1E95" w:rsidRPr="00CF58E1">
              <w:rPr>
                <w:rStyle w:val="Hyperlink"/>
                <w:noProof/>
                <w:lang w:val="bg-BG"/>
              </w:rPr>
              <w:t>Първично и крайно потребление на енергия по вид крайно потребление (ktoe)</w:t>
            </w:r>
            <w:r w:rsidR="00EA1E95">
              <w:rPr>
                <w:noProof/>
                <w:webHidden/>
              </w:rPr>
              <w:tab/>
            </w:r>
            <w:r w:rsidR="00EA1E95">
              <w:rPr>
                <w:noProof/>
                <w:webHidden/>
              </w:rPr>
              <w:fldChar w:fldCharType="begin"/>
            </w:r>
            <w:r w:rsidR="00EA1E95">
              <w:rPr>
                <w:noProof/>
                <w:webHidden/>
              </w:rPr>
              <w:instrText xml:space="preserve"> PAGEREF _Toc217888784 \h </w:instrText>
            </w:r>
            <w:r w:rsidR="00EA1E95">
              <w:rPr>
                <w:noProof/>
                <w:webHidden/>
              </w:rPr>
            </w:r>
            <w:r w:rsidR="00EA1E95">
              <w:rPr>
                <w:noProof/>
                <w:webHidden/>
              </w:rPr>
              <w:fldChar w:fldCharType="separate"/>
            </w:r>
            <w:r>
              <w:rPr>
                <w:noProof/>
                <w:webHidden/>
              </w:rPr>
              <w:t>87</w:t>
            </w:r>
            <w:r w:rsidR="00EA1E95">
              <w:rPr>
                <w:noProof/>
                <w:webHidden/>
              </w:rPr>
              <w:fldChar w:fldCharType="end"/>
            </w:r>
          </w:hyperlink>
        </w:p>
        <w:p w14:paraId="783E5BC4" w14:textId="6F65FEBE"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5" w:history="1">
            <w:r w:rsidR="00EA1E95" w:rsidRPr="00CF58E1">
              <w:rPr>
                <w:rStyle w:val="Hyperlink"/>
                <w:noProof/>
                <w:lang w:val="bg-BG"/>
              </w:rPr>
              <w:t>Спестявания на енергия (ktoe)</w:t>
            </w:r>
            <w:r w:rsidR="00EA1E95">
              <w:rPr>
                <w:noProof/>
                <w:webHidden/>
              </w:rPr>
              <w:tab/>
            </w:r>
            <w:r w:rsidR="00EA1E95">
              <w:rPr>
                <w:noProof/>
                <w:webHidden/>
              </w:rPr>
              <w:fldChar w:fldCharType="begin"/>
            </w:r>
            <w:r w:rsidR="00EA1E95">
              <w:rPr>
                <w:noProof/>
                <w:webHidden/>
              </w:rPr>
              <w:instrText xml:space="preserve"> PAGEREF _Toc217888785 \h </w:instrText>
            </w:r>
            <w:r w:rsidR="00EA1E95">
              <w:rPr>
                <w:noProof/>
                <w:webHidden/>
              </w:rPr>
            </w:r>
            <w:r w:rsidR="00EA1E95">
              <w:rPr>
                <w:noProof/>
                <w:webHidden/>
              </w:rPr>
              <w:fldChar w:fldCharType="separate"/>
            </w:r>
            <w:r>
              <w:rPr>
                <w:noProof/>
                <w:webHidden/>
              </w:rPr>
              <w:t>88</w:t>
            </w:r>
            <w:r w:rsidR="00EA1E95">
              <w:rPr>
                <w:noProof/>
                <w:webHidden/>
              </w:rPr>
              <w:fldChar w:fldCharType="end"/>
            </w:r>
          </w:hyperlink>
        </w:p>
        <w:p w14:paraId="0B5362F2" w14:textId="239053BD"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6" w:history="1">
            <w:r w:rsidR="00EA1E95" w:rsidRPr="00CF58E1">
              <w:rPr>
                <w:rStyle w:val="Hyperlink"/>
                <w:noProof/>
                <w:lang w:val="bg-BG"/>
              </w:rPr>
              <w:t>Изводи за Националния план за обновяване на сградите</w:t>
            </w:r>
            <w:r w:rsidR="00EA1E95">
              <w:rPr>
                <w:noProof/>
                <w:webHidden/>
              </w:rPr>
              <w:tab/>
            </w:r>
            <w:r w:rsidR="00EA1E95">
              <w:rPr>
                <w:noProof/>
                <w:webHidden/>
              </w:rPr>
              <w:fldChar w:fldCharType="begin"/>
            </w:r>
            <w:r w:rsidR="00EA1E95">
              <w:rPr>
                <w:noProof/>
                <w:webHidden/>
              </w:rPr>
              <w:instrText xml:space="preserve"> PAGEREF _Toc217888786 \h </w:instrText>
            </w:r>
            <w:r w:rsidR="00EA1E95">
              <w:rPr>
                <w:noProof/>
                <w:webHidden/>
              </w:rPr>
            </w:r>
            <w:r w:rsidR="00EA1E95">
              <w:rPr>
                <w:noProof/>
                <w:webHidden/>
              </w:rPr>
              <w:fldChar w:fldCharType="separate"/>
            </w:r>
            <w:r>
              <w:rPr>
                <w:noProof/>
                <w:webHidden/>
              </w:rPr>
              <w:t>89</w:t>
            </w:r>
            <w:r w:rsidR="00EA1E95">
              <w:rPr>
                <w:noProof/>
                <w:webHidden/>
              </w:rPr>
              <w:fldChar w:fldCharType="end"/>
            </w:r>
          </w:hyperlink>
        </w:p>
        <w:p w14:paraId="19079164" w14:textId="403558F5"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7" w:history="1">
            <w:r w:rsidR="00EA1E95" w:rsidRPr="00CF58E1">
              <w:rPr>
                <w:rStyle w:val="Hyperlink"/>
                <w:noProof/>
                <w:lang w:val="bg-BG"/>
              </w:rPr>
              <w:t>Дял на енергията от възобновяеми източници в сградния сектор</w:t>
            </w:r>
            <w:r w:rsidR="00EA1E95">
              <w:rPr>
                <w:noProof/>
                <w:webHidden/>
              </w:rPr>
              <w:tab/>
            </w:r>
            <w:r w:rsidR="00EA1E95">
              <w:rPr>
                <w:noProof/>
                <w:webHidden/>
              </w:rPr>
              <w:fldChar w:fldCharType="begin"/>
            </w:r>
            <w:r w:rsidR="00EA1E95">
              <w:rPr>
                <w:noProof/>
                <w:webHidden/>
              </w:rPr>
              <w:instrText xml:space="preserve"> PAGEREF _Toc217888787 \h </w:instrText>
            </w:r>
            <w:r w:rsidR="00EA1E95">
              <w:rPr>
                <w:noProof/>
                <w:webHidden/>
              </w:rPr>
            </w:r>
            <w:r w:rsidR="00EA1E95">
              <w:rPr>
                <w:noProof/>
                <w:webHidden/>
              </w:rPr>
              <w:fldChar w:fldCharType="separate"/>
            </w:r>
            <w:r>
              <w:rPr>
                <w:noProof/>
                <w:webHidden/>
              </w:rPr>
              <w:t>90</w:t>
            </w:r>
            <w:r w:rsidR="00EA1E95">
              <w:rPr>
                <w:noProof/>
                <w:webHidden/>
              </w:rPr>
              <w:fldChar w:fldCharType="end"/>
            </w:r>
          </w:hyperlink>
        </w:p>
        <w:p w14:paraId="52617B00" w14:textId="00ECCA48"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8" w:history="1">
            <w:r w:rsidR="00EA1E95" w:rsidRPr="00CF58E1">
              <w:rPr>
                <w:rStyle w:val="Hyperlink"/>
                <w:noProof/>
                <w:lang w:val="bg-BG"/>
              </w:rPr>
              <w:t>Годишни екплоатационни емисии на парникови газове по видове сгради (kgCO₂eq/(m²·година))</w:t>
            </w:r>
            <w:r w:rsidR="00EA1E95">
              <w:rPr>
                <w:noProof/>
                <w:webHidden/>
              </w:rPr>
              <w:tab/>
            </w:r>
            <w:r w:rsidR="00EA1E95">
              <w:rPr>
                <w:noProof/>
                <w:webHidden/>
              </w:rPr>
              <w:fldChar w:fldCharType="begin"/>
            </w:r>
            <w:r w:rsidR="00EA1E95">
              <w:rPr>
                <w:noProof/>
                <w:webHidden/>
              </w:rPr>
              <w:instrText xml:space="preserve"> PAGEREF _Toc217888788 \h </w:instrText>
            </w:r>
            <w:r w:rsidR="00EA1E95">
              <w:rPr>
                <w:noProof/>
                <w:webHidden/>
              </w:rPr>
            </w:r>
            <w:r w:rsidR="00EA1E95">
              <w:rPr>
                <w:noProof/>
                <w:webHidden/>
              </w:rPr>
              <w:fldChar w:fldCharType="separate"/>
            </w:r>
            <w:r>
              <w:rPr>
                <w:noProof/>
                <w:webHidden/>
              </w:rPr>
              <w:t>90</w:t>
            </w:r>
            <w:r w:rsidR="00EA1E95">
              <w:rPr>
                <w:noProof/>
                <w:webHidden/>
              </w:rPr>
              <w:fldChar w:fldCharType="end"/>
            </w:r>
          </w:hyperlink>
        </w:p>
        <w:p w14:paraId="00B88865" w14:textId="04FF1695"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89" w:history="1">
            <w:r w:rsidR="00EA1E95" w:rsidRPr="00CF58E1">
              <w:rPr>
                <w:rStyle w:val="Hyperlink"/>
                <w:noProof/>
                <w:lang w:val="bg-BG"/>
              </w:rPr>
              <w:t>Годишно намаление на оперативните емисии на парникови газове по видове сгради (kgCO₂eq/(m²·година))</w:t>
            </w:r>
            <w:r w:rsidR="00EA1E95">
              <w:rPr>
                <w:noProof/>
                <w:webHidden/>
              </w:rPr>
              <w:tab/>
            </w:r>
            <w:r w:rsidR="00EA1E95">
              <w:rPr>
                <w:noProof/>
                <w:webHidden/>
              </w:rPr>
              <w:fldChar w:fldCharType="begin"/>
            </w:r>
            <w:r w:rsidR="00EA1E95">
              <w:rPr>
                <w:noProof/>
                <w:webHidden/>
              </w:rPr>
              <w:instrText xml:space="preserve"> PAGEREF _Toc217888789 \h </w:instrText>
            </w:r>
            <w:r w:rsidR="00EA1E95">
              <w:rPr>
                <w:noProof/>
                <w:webHidden/>
              </w:rPr>
            </w:r>
            <w:r w:rsidR="00EA1E95">
              <w:rPr>
                <w:noProof/>
                <w:webHidden/>
              </w:rPr>
              <w:fldChar w:fldCharType="separate"/>
            </w:r>
            <w:r>
              <w:rPr>
                <w:noProof/>
                <w:webHidden/>
              </w:rPr>
              <w:t>92</w:t>
            </w:r>
            <w:r w:rsidR="00EA1E95">
              <w:rPr>
                <w:noProof/>
                <w:webHidden/>
              </w:rPr>
              <w:fldChar w:fldCharType="end"/>
            </w:r>
          </w:hyperlink>
        </w:p>
        <w:p w14:paraId="4255328E" w14:textId="1EE23931"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790" w:history="1">
            <w:r w:rsidR="00EA1E95" w:rsidRPr="00CF58E1">
              <w:rPr>
                <w:rStyle w:val="Hyperlink"/>
              </w:rPr>
              <w:t>Описание на бариерите и неуспехите на пазара</w:t>
            </w:r>
            <w:r w:rsidR="00EA1E95">
              <w:rPr>
                <w:webHidden/>
              </w:rPr>
              <w:tab/>
            </w:r>
            <w:r w:rsidR="00EA1E95">
              <w:rPr>
                <w:webHidden/>
              </w:rPr>
              <w:fldChar w:fldCharType="begin"/>
            </w:r>
            <w:r w:rsidR="00EA1E95">
              <w:rPr>
                <w:webHidden/>
              </w:rPr>
              <w:instrText xml:space="preserve"> PAGEREF _Toc217888790 \h </w:instrText>
            </w:r>
            <w:r w:rsidR="00EA1E95">
              <w:rPr>
                <w:webHidden/>
              </w:rPr>
            </w:r>
            <w:r w:rsidR="00EA1E95">
              <w:rPr>
                <w:webHidden/>
              </w:rPr>
              <w:fldChar w:fldCharType="separate"/>
            </w:r>
            <w:r>
              <w:rPr>
                <w:webHidden/>
              </w:rPr>
              <w:t>93</w:t>
            </w:r>
            <w:r w:rsidR="00EA1E95">
              <w:rPr>
                <w:webHidden/>
              </w:rPr>
              <w:fldChar w:fldCharType="end"/>
            </w:r>
          </w:hyperlink>
        </w:p>
        <w:p w14:paraId="59813D57" w14:textId="6F94E3E9"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91" w:history="1">
            <w:r w:rsidR="00EA1E95" w:rsidRPr="00CF58E1">
              <w:rPr>
                <w:rStyle w:val="Hyperlink"/>
                <w:noProof/>
                <w:lang w:val="bg-BG"/>
              </w:rPr>
              <w:t>Разделени стимули („split incentives“)</w:t>
            </w:r>
            <w:r w:rsidR="00EA1E95">
              <w:rPr>
                <w:noProof/>
                <w:webHidden/>
              </w:rPr>
              <w:tab/>
            </w:r>
            <w:r w:rsidR="00EA1E95">
              <w:rPr>
                <w:noProof/>
                <w:webHidden/>
              </w:rPr>
              <w:fldChar w:fldCharType="begin"/>
            </w:r>
            <w:r w:rsidR="00EA1E95">
              <w:rPr>
                <w:noProof/>
                <w:webHidden/>
              </w:rPr>
              <w:instrText xml:space="preserve"> PAGEREF _Toc217888791 \h </w:instrText>
            </w:r>
            <w:r w:rsidR="00EA1E95">
              <w:rPr>
                <w:noProof/>
                <w:webHidden/>
              </w:rPr>
            </w:r>
            <w:r w:rsidR="00EA1E95">
              <w:rPr>
                <w:noProof/>
                <w:webHidden/>
              </w:rPr>
              <w:fldChar w:fldCharType="separate"/>
            </w:r>
            <w:r>
              <w:rPr>
                <w:noProof/>
                <w:webHidden/>
              </w:rPr>
              <w:t>93</w:t>
            </w:r>
            <w:r w:rsidR="00EA1E95">
              <w:rPr>
                <w:noProof/>
                <w:webHidden/>
              </w:rPr>
              <w:fldChar w:fldCharType="end"/>
            </w:r>
          </w:hyperlink>
        </w:p>
        <w:p w14:paraId="4E1B0A0C" w14:textId="4BB9A558"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92" w:history="1">
            <w:r w:rsidR="00EA1E95" w:rsidRPr="00CF58E1">
              <w:rPr>
                <w:rStyle w:val="Hyperlink"/>
                <w:noProof/>
              </w:rPr>
              <w:t>Други бариери, произтичащи от  спецификите в жилищния сектор и провежданите политики за енергийно обновяване в страната</w:t>
            </w:r>
            <w:r w:rsidR="00EA1E95">
              <w:rPr>
                <w:noProof/>
                <w:webHidden/>
              </w:rPr>
              <w:tab/>
            </w:r>
            <w:r w:rsidR="00EA1E95">
              <w:rPr>
                <w:noProof/>
                <w:webHidden/>
              </w:rPr>
              <w:fldChar w:fldCharType="begin"/>
            </w:r>
            <w:r w:rsidR="00EA1E95">
              <w:rPr>
                <w:noProof/>
                <w:webHidden/>
              </w:rPr>
              <w:instrText xml:space="preserve"> PAGEREF _Toc217888792 \h </w:instrText>
            </w:r>
            <w:r w:rsidR="00EA1E95">
              <w:rPr>
                <w:noProof/>
                <w:webHidden/>
              </w:rPr>
            </w:r>
            <w:r w:rsidR="00EA1E95">
              <w:rPr>
                <w:noProof/>
                <w:webHidden/>
              </w:rPr>
              <w:fldChar w:fldCharType="separate"/>
            </w:r>
            <w:r>
              <w:rPr>
                <w:noProof/>
                <w:webHidden/>
              </w:rPr>
              <w:t>94</w:t>
            </w:r>
            <w:r w:rsidR="00EA1E95">
              <w:rPr>
                <w:noProof/>
                <w:webHidden/>
              </w:rPr>
              <w:fldChar w:fldCharType="end"/>
            </w:r>
          </w:hyperlink>
        </w:p>
        <w:p w14:paraId="7E5D4739" w14:textId="00316CF8"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793" w:history="1">
            <w:r w:rsidR="00EA1E95" w:rsidRPr="00CF58E1">
              <w:rPr>
                <w:rStyle w:val="Hyperlink"/>
              </w:rPr>
              <w:t>Оценка на капацитета в секторите строителство, енергийна ефективност и възобновяема енергия</w:t>
            </w:r>
            <w:r w:rsidR="00EA1E95">
              <w:rPr>
                <w:webHidden/>
              </w:rPr>
              <w:tab/>
            </w:r>
            <w:r w:rsidR="00EA1E95">
              <w:rPr>
                <w:webHidden/>
              </w:rPr>
              <w:fldChar w:fldCharType="begin"/>
            </w:r>
            <w:r w:rsidR="00EA1E95">
              <w:rPr>
                <w:webHidden/>
              </w:rPr>
              <w:instrText xml:space="preserve"> PAGEREF _Toc217888793 \h </w:instrText>
            </w:r>
            <w:r w:rsidR="00EA1E95">
              <w:rPr>
                <w:webHidden/>
              </w:rPr>
            </w:r>
            <w:r w:rsidR="00EA1E95">
              <w:rPr>
                <w:webHidden/>
              </w:rPr>
              <w:fldChar w:fldCharType="separate"/>
            </w:r>
            <w:r>
              <w:rPr>
                <w:webHidden/>
              </w:rPr>
              <w:t>102</w:t>
            </w:r>
            <w:r w:rsidR="00EA1E95">
              <w:rPr>
                <w:webHidden/>
              </w:rPr>
              <w:fldChar w:fldCharType="end"/>
            </w:r>
          </w:hyperlink>
        </w:p>
        <w:p w14:paraId="5B823FE1" w14:textId="6AFE688B"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94" w:history="1">
            <w:r w:rsidR="00EA1E95" w:rsidRPr="00CF58E1">
              <w:rPr>
                <w:rStyle w:val="Hyperlink"/>
                <w:noProof/>
                <w:lang w:val="bg-BG"/>
              </w:rPr>
              <w:t>Въведение и контекст</w:t>
            </w:r>
            <w:r w:rsidR="00EA1E95">
              <w:rPr>
                <w:noProof/>
                <w:webHidden/>
              </w:rPr>
              <w:tab/>
            </w:r>
            <w:r w:rsidR="00EA1E95">
              <w:rPr>
                <w:noProof/>
                <w:webHidden/>
              </w:rPr>
              <w:fldChar w:fldCharType="begin"/>
            </w:r>
            <w:r w:rsidR="00EA1E95">
              <w:rPr>
                <w:noProof/>
                <w:webHidden/>
              </w:rPr>
              <w:instrText xml:space="preserve"> PAGEREF _Toc217888794 \h </w:instrText>
            </w:r>
            <w:r w:rsidR="00EA1E95">
              <w:rPr>
                <w:noProof/>
                <w:webHidden/>
              </w:rPr>
            </w:r>
            <w:r w:rsidR="00EA1E95">
              <w:rPr>
                <w:noProof/>
                <w:webHidden/>
              </w:rPr>
              <w:fldChar w:fldCharType="separate"/>
            </w:r>
            <w:r>
              <w:rPr>
                <w:noProof/>
                <w:webHidden/>
              </w:rPr>
              <w:t>102</w:t>
            </w:r>
            <w:r w:rsidR="00EA1E95">
              <w:rPr>
                <w:noProof/>
                <w:webHidden/>
              </w:rPr>
              <w:fldChar w:fldCharType="end"/>
            </w:r>
          </w:hyperlink>
        </w:p>
        <w:p w14:paraId="2ED9836A" w14:textId="2F855369"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95" w:history="1">
            <w:r w:rsidR="00EA1E95" w:rsidRPr="00CF58E1">
              <w:rPr>
                <w:rStyle w:val="Hyperlink"/>
                <w:noProof/>
                <w:lang w:val="bg-BG"/>
              </w:rPr>
              <w:t>Икономически и производствен капацитет на строителния сектор</w:t>
            </w:r>
            <w:r w:rsidR="00EA1E95">
              <w:rPr>
                <w:noProof/>
                <w:webHidden/>
              </w:rPr>
              <w:tab/>
            </w:r>
            <w:r w:rsidR="00EA1E95">
              <w:rPr>
                <w:noProof/>
                <w:webHidden/>
              </w:rPr>
              <w:fldChar w:fldCharType="begin"/>
            </w:r>
            <w:r w:rsidR="00EA1E95">
              <w:rPr>
                <w:noProof/>
                <w:webHidden/>
              </w:rPr>
              <w:instrText xml:space="preserve"> PAGEREF _Toc217888795 \h </w:instrText>
            </w:r>
            <w:r w:rsidR="00EA1E95">
              <w:rPr>
                <w:noProof/>
                <w:webHidden/>
              </w:rPr>
            </w:r>
            <w:r w:rsidR="00EA1E95">
              <w:rPr>
                <w:noProof/>
                <w:webHidden/>
              </w:rPr>
              <w:fldChar w:fldCharType="separate"/>
            </w:r>
            <w:r>
              <w:rPr>
                <w:noProof/>
                <w:webHidden/>
              </w:rPr>
              <w:t>103</w:t>
            </w:r>
            <w:r w:rsidR="00EA1E95">
              <w:rPr>
                <w:noProof/>
                <w:webHidden/>
              </w:rPr>
              <w:fldChar w:fldCharType="end"/>
            </w:r>
          </w:hyperlink>
        </w:p>
        <w:p w14:paraId="699349D4" w14:textId="72C57D0B"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96" w:history="1">
            <w:r w:rsidR="00EA1E95" w:rsidRPr="00CF58E1">
              <w:rPr>
                <w:rStyle w:val="Hyperlink"/>
                <w:noProof/>
                <w:lang w:val="bg-BG"/>
              </w:rPr>
              <w:t>Работна сила и човешки ресурси</w:t>
            </w:r>
            <w:r w:rsidR="00EA1E95">
              <w:rPr>
                <w:noProof/>
                <w:webHidden/>
              </w:rPr>
              <w:tab/>
            </w:r>
            <w:r w:rsidR="00EA1E95">
              <w:rPr>
                <w:noProof/>
                <w:webHidden/>
              </w:rPr>
              <w:fldChar w:fldCharType="begin"/>
            </w:r>
            <w:r w:rsidR="00EA1E95">
              <w:rPr>
                <w:noProof/>
                <w:webHidden/>
              </w:rPr>
              <w:instrText xml:space="preserve"> PAGEREF _Toc217888796 \h </w:instrText>
            </w:r>
            <w:r w:rsidR="00EA1E95">
              <w:rPr>
                <w:noProof/>
                <w:webHidden/>
              </w:rPr>
            </w:r>
            <w:r w:rsidR="00EA1E95">
              <w:rPr>
                <w:noProof/>
                <w:webHidden/>
              </w:rPr>
              <w:fldChar w:fldCharType="separate"/>
            </w:r>
            <w:r>
              <w:rPr>
                <w:noProof/>
                <w:webHidden/>
              </w:rPr>
              <w:t>105</w:t>
            </w:r>
            <w:r w:rsidR="00EA1E95">
              <w:rPr>
                <w:noProof/>
                <w:webHidden/>
              </w:rPr>
              <w:fldChar w:fldCharType="end"/>
            </w:r>
          </w:hyperlink>
        </w:p>
        <w:p w14:paraId="52843F6D" w14:textId="2D7A9170"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97" w:history="1">
            <w:r w:rsidR="00EA1E95" w:rsidRPr="00CF58E1">
              <w:rPr>
                <w:rStyle w:val="Hyperlink"/>
                <w:noProof/>
                <w:lang w:val="bg-BG"/>
              </w:rPr>
              <w:t>Технически и организационен капацитет</w:t>
            </w:r>
            <w:r w:rsidR="00EA1E95">
              <w:rPr>
                <w:noProof/>
                <w:webHidden/>
              </w:rPr>
              <w:tab/>
            </w:r>
            <w:r w:rsidR="00EA1E95">
              <w:rPr>
                <w:noProof/>
                <w:webHidden/>
              </w:rPr>
              <w:fldChar w:fldCharType="begin"/>
            </w:r>
            <w:r w:rsidR="00EA1E95">
              <w:rPr>
                <w:noProof/>
                <w:webHidden/>
              </w:rPr>
              <w:instrText xml:space="preserve"> PAGEREF _Toc217888797 \h </w:instrText>
            </w:r>
            <w:r w:rsidR="00EA1E95">
              <w:rPr>
                <w:noProof/>
                <w:webHidden/>
              </w:rPr>
            </w:r>
            <w:r w:rsidR="00EA1E95">
              <w:rPr>
                <w:noProof/>
                <w:webHidden/>
              </w:rPr>
              <w:fldChar w:fldCharType="separate"/>
            </w:r>
            <w:r>
              <w:rPr>
                <w:noProof/>
                <w:webHidden/>
              </w:rPr>
              <w:t>107</w:t>
            </w:r>
            <w:r w:rsidR="00EA1E95">
              <w:rPr>
                <w:noProof/>
                <w:webHidden/>
              </w:rPr>
              <w:fldChar w:fldCharType="end"/>
            </w:r>
          </w:hyperlink>
        </w:p>
        <w:p w14:paraId="36822AA4" w14:textId="636DEC65"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98" w:history="1">
            <w:r w:rsidR="00EA1E95" w:rsidRPr="00CF58E1">
              <w:rPr>
                <w:rStyle w:val="Hyperlink"/>
                <w:noProof/>
                <w:lang w:val="bg-BG"/>
              </w:rPr>
              <w:t>Капацитет в областта на енергийната ефективност и възобновяемите източници</w:t>
            </w:r>
            <w:r w:rsidR="00EA1E95">
              <w:rPr>
                <w:noProof/>
                <w:webHidden/>
              </w:rPr>
              <w:tab/>
            </w:r>
            <w:r w:rsidR="00EA1E95">
              <w:rPr>
                <w:noProof/>
                <w:webHidden/>
              </w:rPr>
              <w:fldChar w:fldCharType="begin"/>
            </w:r>
            <w:r w:rsidR="00EA1E95">
              <w:rPr>
                <w:noProof/>
                <w:webHidden/>
              </w:rPr>
              <w:instrText xml:space="preserve"> PAGEREF _Toc217888798 \h </w:instrText>
            </w:r>
            <w:r w:rsidR="00EA1E95">
              <w:rPr>
                <w:noProof/>
                <w:webHidden/>
              </w:rPr>
            </w:r>
            <w:r w:rsidR="00EA1E95">
              <w:rPr>
                <w:noProof/>
                <w:webHidden/>
              </w:rPr>
              <w:fldChar w:fldCharType="separate"/>
            </w:r>
            <w:r>
              <w:rPr>
                <w:noProof/>
                <w:webHidden/>
              </w:rPr>
              <w:t>109</w:t>
            </w:r>
            <w:r w:rsidR="00EA1E95">
              <w:rPr>
                <w:noProof/>
                <w:webHidden/>
              </w:rPr>
              <w:fldChar w:fldCharType="end"/>
            </w:r>
          </w:hyperlink>
        </w:p>
        <w:p w14:paraId="3AAA9A96" w14:textId="2CF79C46"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799" w:history="1">
            <w:r w:rsidR="00EA1E95" w:rsidRPr="00CF58E1">
              <w:rPr>
                <w:rStyle w:val="Hyperlink"/>
                <w:noProof/>
                <w:lang w:val="bg-BG"/>
              </w:rPr>
              <w:t>Административен и институционален капацитет</w:t>
            </w:r>
            <w:r w:rsidR="00EA1E95">
              <w:rPr>
                <w:noProof/>
                <w:webHidden/>
              </w:rPr>
              <w:tab/>
            </w:r>
            <w:r w:rsidR="00EA1E95">
              <w:rPr>
                <w:noProof/>
                <w:webHidden/>
              </w:rPr>
              <w:fldChar w:fldCharType="begin"/>
            </w:r>
            <w:r w:rsidR="00EA1E95">
              <w:rPr>
                <w:noProof/>
                <w:webHidden/>
              </w:rPr>
              <w:instrText xml:space="preserve"> PAGEREF _Toc217888799 \h </w:instrText>
            </w:r>
            <w:r w:rsidR="00EA1E95">
              <w:rPr>
                <w:noProof/>
                <w:webHidden/>
              </w:rPr>
            </w:r>
            <w:r w:rsidR="00EA1E95">
              <w:rPr>
                <w:noProof/>
                <w:webHidden/>
              </w:rPr>
              <w:fldChar w:fldCharType="separate"/>
            </w:r>
            <w:r>
              <w:rPr>
                <w:noProof/>
                <w:webHidden/>
              </w:rPr>
              <w:t>110</w:t>
            </w:r>
            <w:r w:rsidR="00EA1E95">
              <w:rPr>
                <w:noProof/>
                <w:webHidden/>
              </w:rPr>
              <w:fldChar w:fldCharType="end"/>
            </w:r>
          </w:hyperlink>
        </w:p>
        <w:p w14:paraId="3DF9517F" w14:textId="49283909"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00" w:history="1">
            <w:r w:rsidR="00EA1E95" w:rsidRPr="00CF58E1">
              <w:rPr>
                <w:rStyle w:val="Hyperlink"/>
                <w:noProof/>
                <w:lang w:val="bg-BG"/>
              </w:rPr>
              <w:t>Основни бариери и ограничения: обобщение</w:t>
            </w:r>
            <w:r w:rsidR="00EA1E95">
              <w:rPr>
                <w:noProof/>
                <w:webHidden/>
              </w:rPr>
              <w:tab/>
            </w:r>
            <w:r w:rsidR="00EA1E95">
              <w:rPr>
                <w:noProof/>
                <w:webHidden/>
              </w:rPr>
              <w:fldChar w:fldCharType="begin"/>
            </w:r>
            <w:r w:rsidR="00EA1E95">
              <w:rPr>
                <w:noProof/>
                <w:webHidden/>
              </w:rPr>
              <w:instrText xml:space="preserve"> PAGEREF _Toc217888800 \h </w:instrText>
            </w:r>
            <w:r w:rsidR="00EA1E95">
              <w:rPr>
                <w:noProof/>
                <w:webHidden/>
              </w:rPr>
            </w:r>
            <w:r w:rsidR="00EA1E95">
              <w:rPr>
                <w:noProof/>
                <w:webHidden/>
              </w:rPr>
              <w:fldChar w:fldCharType="separate"/>
            </w:r>
            <w:r>
              <w:rPr>
                <w:noProof/>
                <w:webHidden/>
              </w:rPr>
              <w:t>113</w:t>
            </w:r>
            <w:r w:rsidR="00EA1E95">
              <w:rPr>
                <w:noProof/>
                <w:webHidden/>
              </w:rPr>
              <w:fldChar w:fldCharType="end"/>
            </w:r>
          </w:hyperlink>
        </w:p>
        <w:p w14:paraId="20B84949" w14:textId="717E4BCF"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01" w:history="1">
            <w:r w:rsidR="00EA1E95" w:rsidRPr="00CF58E1">
              <w:rPr>
                <w:rStyle w:val="Hyperlink"/>
              </w:rPr>
              <w:t>Енергийна бедност (определение)</w:t>
            </w:r>
            <w:r w:rsidR="00EA1E95">
              <w:rPr>
                <w:webHidden/>
              </w:rPr>
              <w:tab/>
            </w:r>
            <w:r w:rsidR="00EA1E95">
              <w:rPr>
                <w:webHidden/>
              </w:rPr>
              <w:fldChar w:fldCharType="begin"/>
            </w:r>
            <w:r w:rsidR="00EA1E95">
              <w:rPr>
                <w:webHidden/>
              </w:rPr>
              <w:instrText xml:space="preserve"> PAGEREF _Toc217888801 \h </w:instrText>
            </w:r>
            <w:r w:rsidR="00EA1E95">
              <w:rPr>
                <w:webHidden/>
              </w:rPr>
            </w:r>
            <w:r w:rsidR="00EA1E95">
              <w:rPr>
                <w:webHidden/>
              </w:rPr>
              <w:fldChar w:fldCharType="separate"/>
            </w:r>
            <w:r>
              <w:rPr>
                <w:webHidden/>
              </w:rPr>
              <w:t>116</w:t>
            </w:r>
            <w:r w:rsidR="00EA1E95">
              <w:rPr>
                <w:webHidden/>
              </w:rPr>
              <w:fldChar w:fldCharType="end"/>
            </w:r>
          </w:hyperlink>
        </w:p>
        <w:p w14:paraId="58E02852" w14:textId="7D893852"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02" w:history="1">
            <w:r w:rsidR="00EA1E95" w:rsidRPr="00CF58E1">
              <w:rPr>
                <w:rStyle w:val="Hyperlink"/>
                <w:noProof/>
                <w:lang w:val="bg-BG"/>
              </w:rPr>
              <w:t>Определяне на индикатори по Показател 25 „Енергийна бедност“</w:t>
            </w:r>
            <w:r w:rsidR="00EA1E95">
              <w:rPr>
                <w:noProof/>
                <w:webHidden/>
              </w:rPr>
              <w:tab/>
            </w:r>
            <w:r w:rsidR="00EA1E95">
              <w:rPr>
                <w:noProof/>
                <w:webHidden/>
              </w:rPr>
              <w:fldChar w:fldCharType="begin"/>
            </w:r>
            <w:r w:rsidR="00EA1E95">
              <w:rPr>
                <w:noProof/>
                <w:webHidden/>
              </w:rPr>
              <w:instrText xml:space="preserve"> PAGEREF _Toc217888802 \h </w:instrText>
            </w:r>
            <w:r w:rsidR="00EA1E95">
              <w:rPr>
                <w:noProof/>
                <w:webHidden/>
              </w:rPr>
            </w:r>
            <w:r w:rsidR="00EA1E95">
              <w:rPr>
                <w:noProof/>
                <w:webHidden/>
              </w:rPr>
              <w:fldChar w:fldCharType="separate"/>
            </w:r>
            <w:r>
              <w:rPr>
                <w:noProof/>
                <w:webHidden/>
              </w:rPr>
              <w:t>122</w:t>
            </w:r>
            <w:r w:rsidR="00EA1E95">
              <w:rPr>
                <w:noProof/>
                <w:webHidden/>
              </w:rPr>
              <w:fldChar w:fldCharType="end"/>
            </w:r>
          </w:hyperlink>
        </w:p>
        <w:p w14:paraId="2A77B179" w14:textId="5827D8BB"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03" w:history="1">
            <w:r w:rsidR="00EA1E95" w:rsidRPr="00CF58E1">
              <w:rPr>
                <w:rStyle w:val="Hyperlink"/>
              </w:rPr>
              <w:t>Фактори за първична енергия</w:t>
            </w:r>
            <w:r w:rsidR="00EA1E95">
              <w:rPr>
                <w:webHidden/>
              </w:rPr>
              <w:tab/>
            </w:r>
            <w:r w:rsidR="00EA1E95">
              <w:rPr>
                <w:webHidden/>
              </w:rPr>
              <w:fldChar w:fldCharType="begin"/>
            </w:r>
            <w:r w:rsidR="00EA1E95">
              <w:rPr>
                <w:webHidden/>
              </w:rPr>
              <w:instrText xml:space="preserve"> PAGEREF _Toc217888803 \h </w:instrText>
            </w:r>
            <w:r w:rsidR="00EA1E95">
              <w:rPr>
                <w:webHidden/>
              </w:rPr>
            </w:r>
            <w:r w:rsidR="00EA1E95">
              <w:rPr>
                <w:webHidden/>
              </w:rPr>
              <w:fldChar w:fldCharType="separate"/>
            </w:r>
            <w:r>
              <w:rPr>
                <w:webHidden/>
              </w:rPr>
              <w:t>126</w:t>
            </w:r>
            <w:r w:rsidR="00EA1E95">
              <w:rPr>
                <w:webHidden/>
              </w:rPr>
              <w:fldChar w:fldCharType="end"/>
            </w:r>
          </w:hyperlink>
        </w:p>
        <w:p w14:paraId="4CE04712" w14:textId="1BBEE420"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04" w:history="1">
            <w:r w:rsidR="00EA1E95" w:rsidRPr="00CF58E1">
              <w:rPr>
                <w:rStyle w:val="Hyperlink"/>
              </w:rPr>
              <w:t>Дефиниция за сгради с почти нулево потребление на енергия за нови и съществуващи сгради</w:t>
            </w:r>
            <w:r w:rsidR="00EA1E95">
              <w:rPr>
                <w:webHidden/>
              </w:rPr>
              <w:tab/>
            </w:r>
            <w:r w:rsidR="00EA1E95">
              <w:rPr>
                <w:webHidden/>
              </w:rPr>
              <w:fldChar w:fldCharType="begin"/>
            </w:r>
            <w:r w:rsidR="00EA1E95">
              <w:rPr>
                <w:webHidden/>
              </w:rPr>
              <w:instrText xml:space="preserve"> PAGEREF _Toc217888804 \h </w:instrText>
            </w:r>
            <w:r w:rsidR="00EA1E95">
              <w:rPr>
                <w:webHidden/>
              </w:rPr>
            </w:r>
            <w:r w:rsidR="00EA1E95">
              <w:rPr>
                <w:webHidden/>
              </w:rPr>
              <w:fldChar w:fldCharType="separate"/>
            </w:r>
            <w:r>
              <w:rPr>
                <w:webHidden/>
              </w:rPr>
              <w:t>127</w:t>
            </w:r>
            <w:r w:rsidR="00EA1E95">
              <w:rPr>
                <w:webHidden/>
              </w:rPr>
              <w:fldChar w:fldCharType="end"/>
            </w:r>
          </w:hyperlink>
        </w:p>
        <w:p w14:paraId="53136EC1" w14:textId="75FF5328"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05" w:history="1">
            <w:r w:rsidR="00EA1E95" w:rsidRPr="00CF58E1">
              <w:rPr>
                <w:rStyle w:val="Hyperlink"/>
              </w:rPr>
              <w:t>Разходно ефективни минимални стойности за енергийните характеристики на нежилищните сгради</w:t>
            </w:r>
            <w:r w:rsidR="00EA1E95">
              <w:rPr>
                <w:webHidden/>
              </w:rPr>
              <w:tab/>
            </w:r>
            <w:r w:rsidR="00EA1E95">
              <w:rPr>
                <w:webHidden/>
              </w:rPr>
              <w:fldChar w:fldCharType="begin"/>
            </w:r>
            <w:r w:rsidR="00EA1E95">
              <w:rPr>
                <w:webHidden/>
              </w:rPr>
              <w:instrText xml:space="preserve"> PAGEREF _Toc217888805 \h </w:instrText>
            </w:r>
            <w:r w:rsidR="00EA1E95">
              <w:rPr>
                <w:webHidden/>
              </w:rPr>
            </w:r>
            <w:r w:rsidR="00EA1E95">
              <w:rPr>
                <w:webHidden/>
              </w:rPr>
              <w:fldChar w:fldCharType="separate"/>
            </w:r>
            <w:r>
              <w:rPr>
                <w:webHidden/>
              </w:rPr>
              <w:t>128</w:t>
            </w:r>
            <w:r w:rsidR="00EA1E95">
              <w:rPr>
                <w:webHidden/>
              </w:rPr>
              <w:fldChar w:fldCharType="end"/>
            </w:r>
          </w:hyperlink>
        </w:p>
        <w:p w14:paraId="2B8CCD90" w14:textId="37820C99"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06" w:history="1">
            <w:r w:rsidR="00EA1E95" w:rsidRPr="00CF58E1">
              <w:rPr>
                <w:rStyle w:val="Hyperlink"/>
              </w:rPr>
              <w:t>Пътна карта за 2030, 2040 и 2050 г.</w:t>
            </w:r>
            <w:r w:rsidR="00EA1E95">
              <w:rPr>
                <w:webHidden/>
              </w:rPr>
              <w:tab/>
            </w:r>
            <w:r w:rsidR="00EA1E95">
              <w:rPr>
                <w:webHidden/>
              </w:rPr>
              <w:fldChar w:fldCharType="begin"/>
            </w:r>
            <w:r w:rsidR="00EA1E95">
              <w:rPr>
                <w:webHidden/>
              </w:rPr>
              <w:instrText xml:space="preserve"> PAGEREF _Toc217888806 \h </w:instrText>
            </w:r>
            <w:r w:rsidR="00EA1E95">
              <w:rPr>
                <w:webHidden/>
              </w:rPr>
            </w:r>
            <w:r w:rsidR="00EA1E95">
              <w:rPr>
                <w:webHidden/>
              </w:rPr>
              <w:fldChar w:fldCharType="separate"/>
            </w:r>
            <w:r>
              <w:rPr>
                <w:webHidden/>
              </w:rPr>
              <w:t>131</w:t>
            </w:r>
            <w:r w:rsidR="00EA1E95">
              <w:rPr>
                <w:webHidden/>
              </w:rPr>
              <w:fldChar w:fldCharType="end"/>
            </w:r>
          </w:hyperlink>
        </w:p>
        <w:p w14:paraId="53B6D2EC" w14:textId="197DCBE4" w:rsidR="00EA1E95" w:rsidRP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07" w:history="1">
            <w:r w:rsidR="00EA1E95" w:rsidRPr="00EA1E95">
              <w:rPr>
                <w:rStyle w:val="Hyperlink"/>
                <w:rFonts w:eastAsia="Times New Roman" w:cs="Times New Roman"/>
                <w:noProof/>
                <w:lang w:val="bg-BG"/>
              </w:rPr>
              <w:t>Очаквани спестявания на крайна и първична енергия от обновяването на нежилищния сграден фонд – по вид крайно потребление</w:t>
            </w:r>
            <w:r w:rsidR="00EA1E95" w:rsidRPr="00EA1E95">
              <w:rPr>
                <w:noProof/>
                <w:webHidden/>
              </w:rPr>
              <w:tab/>
            </w:r>
            <w:r w:rsidR="00EA1E95" w:rsidRPr="00EA1E95">
              <w:rPr>
                <w:noProof/>
                <w:webHidden/>
              </w:rPr>
              <w:fldChar w:fldCharType="begin"/>
            </w:r>
            <w:r w:rsidR="00EA1E95" w:rsidRPr="00EA1E95">
              <w:rPr>
                <w:noProof/>
                <w:webHidden/>
              </w:rPr>
              <w:instrText xml:space="preserve"> PAGEREF _Toc217888807 \h </w:instrText>
            </w:r>
            <w:r w:rsidR="00EA1E95" w:rsidRPr="00EA1E95">
              <w:rPr>
                <w:noProof/>
                <w:webHidden/>
              </w:rPr>
            </w:r>
            <w:r w:rsidR="00EA1E95" w:rsidRPr="00EA1E95">
              <w:rPr>
                <w:noProof/>
                <w:webHidden/>
              </w:rPr>
              <w:fldChar w:fldCharType="separate"/>
            </w:r>
            <w:r>
              <w:rPr>
                <w:noProof/>
                <w:webHidden/>
              </w:rPr>
              <w:t>135</w:t>
            </w:r>
            <w:r w:rsidR="00EA1E95" w:rsidRPr="00EA1E95">
              <w:rPr>
                <w:noProof/>
                <w:webHidden/>
              </w:rPr>
              <w:fldChar w:fldCharType="end"/>
            </w:r>
          </w:hyperlink>
        </w:p>
        <w:p w14:paraId="27C677C2" w14:textId="626CD02A" w:rsidR="00EA1E95" w:rsidRP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08" w:history="1">
            <w:r w:rsidR="00EA1E95" w:rsidRPr="00EA1E95">
              <w:rPr>
                <w:rStyle w:val="Hyperlink"/>
                <w:rFonts w:eastAsia="Times New Roman" w:cs="Times New Roman"/>
                <w:noProof/>
                <w:lang w:val="bg-BG"/>
              </w:rPr>
              <w:t>Фактори за първична енергия</w:t>
            </w:r>
            <w:r w:rsidR="00EA1E95" w:rsidRPr="00EA1E95">
              <w:rPr>
                <w:noProof/>
                <w:webHidden/>
              </w:rPr>
              <w:tab/>
            </w:r>
            <w:r w:rsidR="00EA1E95" w:rsidRPr="00EA1E95">
              <w:rPr>
                <w:noProof/>
                <w:webHidden/>
              </w:rPr>
              <w:fldChar w:fldCharType="begin"/>
            </w:r>
            <w:r w:rsidR="00EA1E95" w:rsidRPr="00EA1E95">
              <w:rPr>
                <w:noProof/>
                <w:webHidden/>
              </w:rPr>
              <w:instrText xml:space="preserve"> PAGEREF _Toc217888808 \h </w:instrText>
            </w:r>
            <w:r w:rsidR="00EA1E95" w:rsidRPr="00EA1E95">
              <w:rPr>
                <w:noProof/>
                <w:webHidden/>
              </w:rPr>
            </w:r>
            <w:r w:rsidR="00EA1E95" w:rsidRPr="00EA1E95">
              <w:rPr>
                <w:noProof/>
                <w:webHidden/>
              </w:rPr>
              <w:fldChar w:fldCharType="separate"/>
            </w:r>
            <w:r>
              <w:rPr>
                <w:noProof/>
                <w:webHidden/>
              </w:rPr>
              <w:t>136</w:t>
            </w:r>
            <w:r w:rsidR="00EA1E95" w:rsidRPr="00EA1E95">
              <w:rPr>
                <w:noProof/>
                <w:webHidden/>
              </w:rPr>
              <w:fldChar w:fldCharType="end"/>
            </w:r>
          </w:hyperlink>
        </w:p>
        <w:p w14:paraId="03ED2705" w14:textId="2606ECB1" w:rsidR="00EA1E95" w:rsidRP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09" w:history="1">
            <w:r w:rsidR="00EA1E95" w:rsidRPr="00EA1E95">
              <w:rPr>
                <w:rStyle w:val="Hyperlink"/>
                <w:rFonts w:eastAsia="Times New Roman" w:cs="Times New Roman"/>
                <w:noProof/>
                <w:lang w:val="bg-BG"/>
              </w:rPr>
              <w:t>Очаквани енергийни спестявания</w:t>
            </w:r>
            <w:r w:rsidR="00EA1E95" w:rsidRPr="00EA1E95">
              <w:rPr>
                <w:noProof/>
                <w:webHidden/>
              </w:rPr>
              <w:tab/>
            </w:r>
            <w:r w:rsidR="00EA1E95" w:rsidRPr="00EA1E95">
              <w:rPr>
                <w:noProof/>
                <w:webHidden/>
              </w:rPr>
              <w:fldChar w:fldCharType="begin"/>
            </w:r>
            <w:r w:rsidR="00EA1E95" w:rsidRPr="00EA1E95">
              <w:rPr>
                <w:noProof/>
                <w:webHidden/>
              </w:rPr>
              <w:instrText xml:space="preserve"> PAGEREF _Toc217888809 \h </w:instrText>
            </w:r>
            <w:r w:rsidR="00EA1E95" w:rsidRPr="00EA1E95">
              <w:rPr>
                <w:noProof/>
                <w:webHidden/>
              </w:rPr>
            </w:r>
            <w:r w:rsidR="00EA1E95" w:rsidRPr="00EA1E95">
              <w:rPr>
                <w:noProof/>
                <w:webHidden/>
              </w:rPr>
              <w:fldChar w:fldCharType="separate"/>
            </w:r>
            <w:r>
              <w:rPr>
                <w:noProof/>
                <w:webHidden/>
              </w:rPr>
              <w:t>138</w:t>
            </w:r>
            <w:r w:rsidR="00EA1E95" w:rsidRPr="00EA1E95">
              <w:rPr>
                <w:noProof/>
                <w:webHidden/>
              </w:rPr>
              <w:fldChar w:fldCharType="end"/>
            </w:r>
          </w:hyperlink>
        </w:p>
        <w:p w14:paraId="3BFEA09E" w14:textId="7AF4BF18" w:rsidR="00EA1E95" w:rsidRP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10" w:history="1">
            <w:r w:rsidR="00EA1E95" w:rsidRPr="00EA1E95">
              <w:rPr>
                <w:rStyle w:val="Hyperlink"/>
                <w:rFonts w:eastAsia="Times New Roman" w:cs="Times New Roman"/>
                <w:noProof/>
                <w:lang w:val="bg-BG"/>
              </w:rPr>
              <w:t xml:space="preserve">Цели за увеличаване на дела на енергията от възобновяеми източници в сградите </w:t>
            </w:r>
            <w:r w:rsidR="00EA1E95" w:rsidRPr="00EA1E95">
              <w:rPr>
                <w:rStyle w:val="Hyperlink"/>
                <w:rFonts w:eastAsia="Times New Roman" w:cs="Times New Roman"/>
                <w:i/>
                <w:iCs/>
                <w:noProof/>
                <w:lang w:val="bg-BG"/>
              </w:rPr>
              <w:t>(в съответствие с член 15a от Директива (ЕС) 2018/2001)</w:t>
            </w:r>
            <w:r w:rsidR="00EA1E95" w:rsidRPr="00EA1E95">
              <w:rPr>
                <w:noProof/>
                <w:webHidden/>
              </w:rPr>
              <w:tab/>
            </w:r>
            <w:r w:rsidR="00EA1E95" w:rsidRPr="00EA1E95">
              <w:rPr>
                <w:noProof/>
                <w:webHidden/>
              </w:rPr>
              <w:fldChar w:fldCharType="begin"/>
            </w:r>
            <w:r w:rsidR="00EA1E95" w:rsidRPr="00EA1E95">
              <w:rPr>
                <w:noProof/>
                <w:webHidden/>
              </w:rPr>
              <w:instrText xml:space="preserve"> PAGEREF _Toc217888810 \h </w:instrText>
            </w:r>
            <w:r w:rsidR="00EA1E95" w:rsidRPr="00EA1E95">
              <w:rPr>
                <w:noProof/>
                <w:webHidden/>
              </w:rPr>
            </w:r>
            <w:r w:rsidR="00EA1E95" w:rsidRPr="00EA1E95">
              <w:rPr>
                <w:noProof/>
                <w:webHidden/>
              </w:rPr>
              <w:fldChar w:fldCharType="separate"/>
            </w:r>
            <w:r>
              <w:rPr>
                <w:noProof/>
                <w:webHidden/>
              </w:rPr>
              <w:t>139</w:t>
            </w:r>
            <w:r w:rsidR="00EA1E95" w:rsidRPr="00EA1E95">
              <w:rPr>
                <w:noProof/>
                <w:webHidden/>
              </w:rPr>
              <w:fldChar w:fldCharType="end"/>
            </w:r>
          </w:hyperlink>
        </w:p>
        <w:p w14:paraId="326490E9" w14:textId="3FC4DD23" w:rsidR="00EA1E95" w:rsidRP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11" w:history="1">
            <w:r w:rsidR="00EA1E95" w:rsidRPr="00EA1E95">
              <w:rPr>
                <w:rStyle w:val="Hyperlink"/>
                <w:rFonts w:eastAsia="Times New Roman" w:cs="Times New Roman"/>
                <w:noProof/>
                <w:lang w:val="bg-BG"/>
              </w:rPr>
              <w:t>Числови цели за внедряването на слънчева енергия в сградите</w:t>
            </w:r>
            <w:r w:rsidR="00EA1E95" w:rsidRPr="00EA1E95">
              <w:rPr>
                <w:noProof/>
                <w:webHidden/>
              </w:rPr>
              <w:tab/>
            </w:r>
            <w:r w:rsidR="00EA1E95" w:rsidRPr="00EA1E95">
              <w:rPr>
                <w:noProof/>
                <w:webHidden/>
              </w:rPr>
              <w:fldChar w:fldCharType="begin"/>
            </w:r>
            <w:r w:rsidR="00EA1E95" w:rsidRPr="00EA1E95">
              <w:rPr>
                <w:noProof/>
                <w:webHidden/>
              </w:rPr>
              <w:instrText xml:space="preserve"> PAGEREF _Toc217888811 \h </w:instrText>
            </w:r>
            <w:r w:rsidR="00EA1E95" w:rsidRPr="00EA1E95">
              <w:rPr>
                <w:noProof/>
                <w:webHidden/>
              </w:rPr>
            </w:r>
            <w:r w:rsidR="00EA1E95" w:rsidRPr="00EA1E95">
              <w:rPr>
                <w:noProof/>
                <w:webHidden/>
              </w:rPr>
              <w:fldChar w:fldCharType="separate"/>
            </w:r>
            <w:r>
              <w:rPr>
                <w:noProof/>
                <w:webHidden/>
              </w:rPr>
              <w:t>141</w:t>
            </w:r>
            <w:r w:rsidR="00EA1E95" w:rsidRPr="00EA1E95">
              <w:rPr>
                <w:noProof/>
                <w:webHidden/>
              </w:rPr>
              <w:fldChar w:fldCharType="end"/>
            </w:r>
          </w:hyperlink>
        </w:p>
        <w:p w14:paraId="5718075F" w14:textId="18BF5F84" w:rsidR="00EA1E95" w:rsidRP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12" w:history="1">
            <w:r w:rsidR="00EA1E95" w:rsidRPr="00EA1E95">
              <w:rPr>
                <w:rStyle w:val="Hyperlink"/>
                <w:rFonts w:eastAsia="Times New Roman" w:cs="Times New Roman"/>
                <w:noProof/>
                <w:lang w:val="bg-BG"/>
              </w:rPr>
              <w:t>Цели за очакваните експлоатационни емисии на парникови газове по типове сгради</w:t>
            </w:r>
            <w:r w:rsidR="00EA1E95" w:rsidRPr="00EA1E95">
              <w:rPr>
                <w:rStyle w:val="Hyperlink"/>
                <w:rFonts w:eastAsia="Times New Roman" w:cs="Times New Roman"/>
                <w:i/>
                <w:iCs/>
                <w:noProof/>
                <w:lang w:val="bg-BG"/>
              </w:rPr>
              <w:t xml:space="preserve"> (kgCO₂eq/(m²·год))</w:t>
            </w:r>
            <w:r w:rsidR="00EA1E95" w:rsidRPr="00EA1E95">
              <w:rPr>
                <w:noProof/>
                <w:webHidden/>
              </w:rPr>
              <w:tab/>
            </w:r>
            <w:r w:rsidR="00EA1E95" w:rsidRPr="00EA1E95">
              <w:rPr>
                <w:noProof/>
                <w:webHidden/>
              </w:rPr>
              <w:fldChar w:fldCharType="begin"/>
            </w:r>
            <w:r w:rsidR="00EA1E95" w:rsidRPr="00EA1E95">
              <w:rPr>
                <w:noProof/>
                <w:webHidden/>
              </w:rPr>
              <w:instrText xml:space="preserve"> PAGEREF _Toc217888812 \h </w:instrText>
            </w:r>
            <w:r w:rsidR="00EA1E95" w:rsidRPr="00EA1E95">
              <w:rPr>
                <w:noProof/>
                <w:webHidden/>
              </w:rPr>
            </w:r>
            <w:r w:rsidR="00EA1E95" w:rsidRPr="00EA1E95">
              <w:rPr>
                <w:noProof/>
                <w:webHidden/>
              </w:rPr>
              <w:fldChar w:fldCharType="separate"/>
            </w:r>
            <w:r>
              <w:rPr>
                <w:noProof/>
                <w:webHidden/>
              </w:rPr>
              <w:t>142</w:t>
            </w:r>
            <w:r w:rsidR="00EA1E95" w:rsidRPr="00EA1E95">
              <w:rPr>
                <w:noProof/>
                <w:webHidden/>
              </w:rPr>
              <w:fldChar w:fldCharType="end"/>
            </w:r>
          </w:hyperlink>
        </w:p>
        <w:p w14:paraId="4FDFA15A" w14:textId="4F01B6F9" w:rsidR="00EA1E95" w:rsidRP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13" w:history="1">
            <w:r w:rsidR="00EA1E95" w:rsidRPr="00EA1E95">
              <w:rPr>
                <w:rStyle w:val="Hyperlink"/>
                <w:rFonts w:eastAsia="Times New Roman" w:cs="Times New Roman"/>
                <w:noProof/>
                <w:lang w:val="bg-BG"/>
              </w:rPr>
              <w:t>Цели за очакваното намаление на експлоатационните емисии на парникови газове по типове сгради</w:t>
            </w:r>
            <w:r w:rsidR="00EA1E95" w:rsidRPr="00EA1E95">
              <w:rPr>
                <w:noProof/>
                <w:webHidden/>
              </w:rPr>
              <w:tab/>
            </w:r>
            <w:r w:rsidR="00EA1E95" w:rsidRPr="00EA1E95">
              <w:rPr>
                <w:noProof/>
                <w:webHidden/>
              </w:rPr>
              <w:fldChar w:fldCharType="begin"/>
            </w:r>
            <w:r w:rsidR="00EA1E95" w:rsidRPr="00EA1E95">
              <w:rPr>
                <w:noProof/>
                <w:webHidden/>
              </w:rPr>
              <w:instrText xml:space="preserve"> PAGEREF _Toc217888813 \h </w:instrText>
            </w:r>
            <w:r w:rsidR="00EA1E95" w:rsidRPr="00EA1E95">
              <w:rPr>
                <w:noProof/>
                <w:webHidden/>
              </w:rPr>
            </w:r>
            <w:r w:rsidR="00EA1E95" w:rsidRPr="00EA1E95">
              <w:rPr>
                <w:noProof/>
                <w:webHidden/>
              </w:rPr>
              <w:fldChar w:fldCharType="separate"/>
            </w:r>
            <w:r>
              <w:rPr>
                <w:noProof/>
                <w:webHidden/>
              </w:rPr>
              <w:t>144</w:t>
            </w:r>
            <w:r w:rsidR="00EA1E95" w:rsidRPr="00EA1E95">
              <w:rPr>
                <w:noProof/>
                <w:webHidden/>
              </w:rPr>
              <w:fldChar w:fldCharType="end"/>
            </w:r>
          </w:hyperlink>
        </w:p>
        <w:p w14:paraId="513DCB5E" w14:textId="273F4F71" w:rsidR="00EA1E95" w:rsidRP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14" w:history="1">
            <w:r w:rsidR="00EA1E95" w:rsidRPr="00EA1E95">
              <w:rPr>
                <w:rStyle w:val="Hyperlink"/>
                <w:rFonts w:eastAsia="Times New Roman" w:cs="Times New Roman"/>
                <w:noProof/>
                <w:lang w:val="bg-BG"/>
              </w:rPr>
              <w:t xml:space="preserve">Принос на обновяването на сградния фонд към целите на ЕС за енергийна ефективност </w:t>
            </w:r>
            <w:r w:rsidR="00EA1E95" w:rsidRPr="00EA1E95">
              <w:rPr>
                <w:rStyle w:val="Hyperlink"/>
                <w:rFonts w:eastAsia="Times New Roman" w:cs="Times New Roman"/>
                <w:i/>
                <w:iCs/>
                <w:noProof/>
                <w:lang w:val="bg-BG"/>
              </w:rPr>
              <w:t>(в съответствие с член 4 от Директива (ЕС) 2023/1791)</w:t>
            </w:r>
            <w:r w:rsidR="00EA1E95" w:rsidRPr="00EA1E95">
              <w:rPr>
                <w:noProof/>
                <w:webHidden/>
              </w:rPr>
              <w:tab/>
            </w:r>
            <w:r w:rsidR="00EA1E95" w:rsidRPr="00EA1E95">
              <w:rPr>
                <w:noProof/>
                <w:webHidden/>
              </w:rPr>
              <w:fldChar w:fldCharType="begin"/>
            </w:r>
            <w:r w:rsidR="00EA1E95" w:rsidRPr="00EA1E95">
              <w:rPr>
                <w:noProof/>
                <w:webHidden/>
              </w:rPr>
              <w:instrText xml:space="preserve"> PAGEREF _Toc217888814 \h </w:instrText>
            </w:r>
            <w:r w:rsidR="00EA1E95" w:rsidRPr="00EA1E95">
              <w:rPr>
                <w:noProof/>
                <w:webHidden/>
              </w:rPr>
            </w:r>
            <w:r w:rsidR="00EA1E95" w:rsidRPr="00EA1E95">
              <w:rPr>
                <w:noProof/>
                <w:webHidden/>
              </w:rPr>
              <w:fldChar w:fldCharType="separate"/>
            </w:r>
            <w:r>
              <w:rPr>
                <w:noProof/>
                <w:webHidden/>
              </w:rPr>
              <w:t>145</w:t>
            </w:r>
            <w:r w:rsidR="00EA1E95" w:rsidRPr="00EA1E95">
              <w:rPr>
                <w:noProof/>
                <w:webHidden/>
              </w:rPr>
              <w:fldChar w:fldCharType="end"/>
            </w:r>
          </w:hyperlink>
        </w:p>
        <w:p w14:paraId="4AAFAE8A" w14:textId="7886B048" w:rsidR="00EA1E95" w:rsidRP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15" w:history="1">
            <w:r w:rsidR="00EA1E95" w:rsidRPr="00EA1E95">
              <w:rPr>
                <w:rStyle w:val="Hyperlink"/>
                <w:rFonts w:eastAsia="Times New Roman" w:cs="Times New Roman"/>
                <w:noProof/>
                <w:lang w:val="bg-BG"/>
              </w:rPr>
              <w:t xml:space="preserve">Принос на обновяването на сградния фонд към целите на ЕС за възобновяема енергия </w:t>
            </w:r>
            <w:r w:rsidR="00EA1E95" w:rsidRPr="00EA1E95">
              <w:rPr>
                <w:rStyle w:val="Hyperlink"/>
                <w:rFonts w:eastAsia="Times New Roman" w:cs="Times New Roman"/>
                <w:i/>
                <w:iCs/>
                <w:noProof/>
                <w:lang w:val="bg-BG"/>
              </w:rPr>
              <w:t>(в съответствие с Директива (ЕС) 2018/2001)</w:t>
            </w:r>
            <w:r w:rsidR="00EA1E95" w:rsidRPr="00EA1E95">
              <w:rPr>
                <w:noProof/>
                <w:webHidden/>
              </w:rPr>
              <w:tab/>
            </w:r>
            <w:r w:rsidR="00EA1E95" w:rsidRPr="00EA1E95">
              <w:rPr>
                <w:noProof/>
                <w:webHidden/>
              </w:rPr>
              <w:fldChar w:fldCharType="begin"/>
            </w:r>
            <w:r w:rsidR="00EA1E95" w:rsidRPr="00EA1E95">
              <w:rPr>
                <w:noProof/>
                <w:webHidden/>
              </w:rPr>
              <w:instrText xml:space="preserve"> PAGEREF _Toc217888815 \h </w:instrText>
            </w:r>
            <w:r w:rsidR="00EA1E95" w:rsidRPr="00EA1E95">
              <w:rPr>
                <w:noProof/>
                <w:webHidden/>
              </w:rPr>
            </w:r>
            <w:r w:rsidR="00EA1E95" w:rsidRPr="00EA1E95">
              <w:rPr>
                <w:noProof/>
                <w:webHidden/>
              </w:rPr>
              <w:fldChar w:fldCharType="separate"/>
            </w:r>
            <w:r>
              <w:rPr>
                <w:noProof/>
                <w:webHidden/>
              </w:rPr>
              <w:t>146</w:t>
            </w:r>
            <w:r w:rsidR="00EA1E95" w:rsidRPr="00EA1E95">
              <w:rPr>
                <w:noProof/>
                <w:webHidden/>
              </w:rPr>
              <w:fldChar w:fldCharType="end"/>
            </w:r>
          </w:hyperlink>
        </w:p>
        <w:p w14:paraId="50C7B25B" w14:textId="5E3574D2"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16" w:history="1">
            <w:r w:rsidR="00EA1E95" w:rsidRPr="00CF58E1">
              <w:rPr>
                <w:rStyle w:val="Hyperlink"/>
                <w:lang w:eastAsia="bg-BG"/>
              </w:rPr>
              <w:t>Преглед на политиките и финансовите инструменти за сградно обновяване</w:t>
            </w:r>
            <w:r w:rsidR="00EA1E95">
              <w:rPr>
                <w:webHidden/>
              </w:rPr>
              <w:tab/>
            </w:r>
            <w:r w:rsidR="00EA1E95">
              <w:rPr>
                <w:webHidden/>
              </w:rPr>
              <w:fldChar w:fldCharType="begin"/>
            </w:r>
            <w:r w:rsidR="00EA1E95">
              <w:rPr>
                <w:webHidden/>
              </w:rPr>
              <w:instrText xml:space="preserve"> PAGEREF _Toc217888816 \h </w:instrText>
            </w:r>
            <w:r w:rsidR="00EA1E95">
              <w:rPr>
                <w:webHidden/>
              </w:rPr>
            </w:r>
            <w:r w:rsidR="00EA1E95">
              <w:rPr>
                <w:webHidden/>
              </w:rPr>
              <w:fldChar w:fldCharType="separate"/>
            </w:r>
            <w:r>
              <w:rPr>
                <w:webHidden/>
              </w:rPr>
              <w:t>147</w:t>
            </w:r>
            <w:r w:rsidR="00EA1E95">
              <w:rPr>
                <w:webHidden/>
              </w:rPr>
              <w:fldChar w:fldCharType="end"/>
            </w:r>
          </w:hyperlink>
        </w:p>
        <w:p w14:paraId="18123F2D" w14:textId="7782BEB1"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17" w:history="1">
            <w:r w:rsidR="00EA1E95" w:rsidRPr="00CF58E1">
              <w:rPr>
                <w:rStyle w:val="Hyperlink"/>
                <w:noProof/>
                <w:lang w:val="bg-BG" w:eastAsia="bg-BG"/>
              </w:rPr>
              <w:t>Жилищни сгради</w:t>
            </w:r>
            <w:r w:rsidR="00EA1E95">
              <w:rPr>
                <w:noProof/>
                <w:webHidden/>
              </w:rPr>
              <w:tab/>
            </w:r>
            <w:r w:rsidR="00EA1E95">
              <w:rPr>
                <w:noProof/>
                <w:webHidden/>
              </w:rPr>
              <w:fldChar w:fldCharType="begin"/>
            </w:r>
            <w:r w:rsidR="00EA1E95">
              <w:rPr>
                <w:noProof/>
                <w:webHidden/>
              </w:rPr>
              <w:instrText xml:space="preserve"> PAGEREF _Toc217888817 \h </w:instrText>
            </w:r>
            <w:r w:rsidR="00EA1E95">
              <w:rPr>
                <w:noProof/>
                <w:webHidden/>
              </w:rPr>
            </w:r>
            <w:r w:rsidR="00EA1E95">
              <w:rPr>
                <w:noProof/>
                <w:webHidden/>
              </w:rPr>
              <w:fldChar w:fldCharType="separate"/>
            </w:r>
            <w:r>
              <w:rPr>
                <w:noProof/>
                <w:webHidden/>
              </w:rPr>
              <w:t>147</w:t>
            </w:r>
            <w:r w:rsidR="00EA1E95">
              <w:rPr>
                <w:noProof/>
                <w:webHidden/>
              </w:rPr>
              <w:fldChar w:fldCharType="end"/>
            </w:r>
          </w:hyperlink>
        </w:p>
        <w:p w14:paraId="0F0E6D54" w14:textId="31C05E76"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18" w:history="1">
            <w:r w:rsidR="00EA1E95" w:rsidRPr="00CF58E1">
              <w:rPr>
                <w:rStyle w:val="Hyperlink"/>
                <w:noProof/>
                <w:lang w:val="bg-BG" w:eastAsia="bg-BG"/>
              </w:rPr>
              <w:t>Нежилищни сгради</w:t>
            </w:r>
            <w:r w:rsidR="00EA1E95">
              <w:rPr>
                <w:noProof/>
                <w:webHidden/>
              </w:rPr>
              <w:tab/>
            </w:r>
            <w:r w:rsidR="00EA1E95">
              <w:rPr>
                <w:noProof/>
                <w:webHidden/>
              </w:rPr>
              <w:fldChar w:fldCharType="begin"/>
            </w:r>
            <w:r w:rsidR="00EA1E95">
              <w:rPr>
                <w:noProof/>
                <w:webHidden/>
              </w:rPr>
              <w:instrText xml:space="preserve"> PAGEREF _Toc217888818 \h </w:instrText>
            </w:r>
            <w:r w:rsidR="00EA1E95">
              <w:rPr>
                <w:noProof/>
                <w:webHidden/>
              </w:rPr>
            </w:r>
            <w:r w:rsidR="00EA1E95">
              <w:rPr>
                <w:noProof/>
                <w:webHidden/>
              </w:rPr>
              <w:fldChar w:fldCharType="separate"/>
            </w:r>
            <w:r>
              <w:rPr>
                <w:noProof/>
                <w:webHidden/>
              </w:rPr>
              <w:t>164</w:t>
            </w:r>
            <w:r w:rsidR="00EA1E95">
              <w:rPr>
                <w:noProof/>
                <w:webHidden/>
              </w:rPr>
              <w:fldChar w:fldCharType="end"/>
            </w:r>
          </w:hyperlink>
        </w:p>
        <w:p w14:paraId="3784EA09" w14:textId="5091301C"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19" w:history="1">
            <w:r w:rsidR="00EA1E95" w:rsidRPr="00CF58E1">
              <w:rPr>
                <w:rStyle w:val="Hyperlink"/>
                <w:noProof/>
                <w:lang w:val="bg-BG" w:eastAsia="en-GB"/>
              </w:rPr>
              <w:t>Обобщение</w:t>
            </w:r>
            <w:r w:rsidR="00EA1E95">
              <w:rPr>
                <w:noProof/>
                <w:webHidden/>
              </w:rPr>
              <w:tab/>
            </w:r>
            <w:r w:rsidR="00EA1E95">
              <w:rPr>
                <w:noProof/>
                <w:webHidden/>
              </w:rPr>
              <w:fldChar w:fldCharType="begin"/>
            </w:r>
            <w:r w:rsidR="00EA1E95">
              <w:rPr>
                <w:noProof/>
                <w:webHidden/>
              </w:rPr>
              <w:instrText xml:space="preserve"> PAGEREF _Toc217888819 \h </w:instrText>
            </w:r>
            <w:r w:rsidR="00EA1E95">
              <w:rPr>
                <w:noProof/>
                <w:webHidden/>
              </w:rPr>
            </w:r>
            <w:r w:rsidR="00EA1E95">
              <w:rPr>
                <w:noProof/>
                <w:webHidden/>
              </w:rPr>
              <w:fldChar w:fldCharType="separate"/>
            </w:r>
            <w:r>
              <w:rPr>
                <w:noProof/>
                <w:webHidden/>
              </w:rPr>
              <w:t>168</w:t>
            </w:r>
            <w:r w:rsidR="00EA1E95">
              <w:rPr>
                <w:noProof/>
                <w:webHidden/>
              </w:rPr>
              <w:fldChar w:fldCharType="end"/>
            </w:r>
          </w:hyperlink>
        </w:p>
        <w:p w14:paraId="01132FCB" w14:textId="6CD5FBE2"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20" w:history="1">
            <w:r w:rsidR="00EA1E95" w:rsidRPr="00CF58E1">
              <w:rPr>
                <w:rStyle w:val="Hyperlink"/>
                <w:lang w:eastAsia="bg-BG"/>
              </w:rPr>
              <w:t>Политически мерки и инструменти в подкрепа на сградното обновяване</w:t>
            </w:r>
            <w:r w:rsidR="00EA1E95">
              <w:rPr>
                <w:webHidden/>
              </w:rPr>
              <w:tab/>
            </w:r>
            <w:r w:rsidR="00EA1E95">
              <w:rPr>
                <w:webHidden/>
              </w:rPr>
              <w:fldChar w:fldCharType="begin"/>
            </w:r>
            <w:r w:rsidR="00EA1E95">
              <w:rPr>
                <w:webHidden/>
              </w:rPr>
              <w:instrText xml:space="preserve"> PAGEREF _Toc217888820 \h </w:instrText>
            </w:r>
            <w:r w:rsidR="00EA1E95">
              <w:rPr>
                <w:webHidden/>
              </w:rPr>
            </w:r>
            <w:r w:rsidR="00EA1E95">
              <w:rPr>
                <w:webHidden/>
              </w:rPr>
              <w:fldChar w:fldCharType="separate"/>
            </w:r>
            <w:r>
              <w:rPr>
                <w:webHidden/>
              </w:rPr>
              <w:t>170</w:t>
            </w:r>
            <w:r w:rsidR="00EA1E95">
              <w:rPr>
                <w:webHidden/>
              </w:rPr>
              <w:fldChar w:fldCharType="end"/>
            </w:r>
          </w:hyperlink>
        </w:p>
        <w:p w14:paraId="581D2E06" w14:textId="6D422785"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21" w:history="1">
            <w:r w:rsidR="00EA1E95" w:rsidRPr="00CF58E1">
              <w:rPr>
                <w:rStyle w:val="Hyperlink"/>
                <w:noProof/>
                <w:lang w:val="bg-BG"/>
              </w:rPr>
              <w:t>а) Определяне на разходоефективни подходи за саниране за различни типове сгради и климатични зони, като се отчитат евентуалните значими пазарни събития в жизнения цикъл на сградата</w:t>
            </w:r>
            <w:r w:rsidR="00EA1E95">
              <w:rPr>
                <w:noProof/>
                <w:webHidden/>
              </w:rPr>
              <w:tab/>
            </w:r>
            <w:r w:rsidR="00EA1E95">
              <w:rPr>
                <w:noProof/>
                <w:webHidden/>
              </w:rPr>
              <w:fldChar w:fldCharType="begin"/>
            </w:r>
            <w:r w:rsidR="00EA1E95">
              <w:rPr>
                <w:noProof/>
                <w:webHidden/>
              </w:rPr>
              <w:instrText xml:space="preserve"> PAGEREF _Toc217888821 \h </w:instrText>
            </w:r>
            <w:r w:rsidR="00EA1E95">
              <w:rPr>
                <w:noProof/>
                <w:webHidden/>
              </w:rPr>
            </w:r>
            <w:r w:rsidR="00EA1E95">
              <w:rPr>
                <w:noProof/>
                <w:webHidden/>
              </w:rPr>
              <w:fldChar w:fldCharType="separate"/>
            </w:r>
            <w:r>
              <w:rPr>
                <w:noProof/>
                <w:webHidden/>
              </w:rPr>
              <w:t>170</w:t>
            </w:r>
            <w:r w:rsidR="00EA1E95">
              <w:rPr>
                <w:noProof/>
                <w:webHidden/>
              </w:rPr>
              <w:fldChar w:fldCharType="end"/>
            </w:r>
          </w:hyperlink>
        </w:p>
        <w:p w14:paraId="7BCD6FD1" w14:textId="579FB781"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26" w:history="1">
            <w:r w:rsidR="00EA1E95" w:rsidRPr="00CF58E1">
              <w:rPr>
                <w:rStyle w:val="Hyperlink"/>
                <w:noProof/>
                <w:lang w:val="bg-BG"/>
              </w:rPr>
              <w:t>b) национални минимални стандарти за енергийни характеристики съгласно член 9 и други политики и действия, насочени към сегментите от националния сграден фонд с най-лоши характеристики, включително гаранциите, посочени в член 17, параграф 19;</w:t>
            </w:r>
            <w:r w:rsidR="00EA1E95">
              <w:rPr>
                <w:noProof/>
                <w:webHidden/>
              </w:rPr>
              <w:tab/>
            </w:r>
            <w:r w:rsidR="00EA1E95">
              <w:rPr>
                <w:noProof/>
                <w:webHidden/>
              </w:rPr>
              <w:fldChar w:fldCharType="begin"/>
            </w:r>
            <w:r w:rsidR="00EA1E95">
              <w:rPr>
                <w:noProof/>
                <w:webHidden/>
              </w:rPr>
              <w:instrText xml:space="preserve"> PAGEREF _Toc217888826 \h </w:instrText>
            </w:r>
            <w:r w:rsidR="00EA1E95">
              <w:rPr>
                <w:noProof/>
                <w:webHidden/>
              </w:rPr>
            </w:r>
            <w:r w:rsidR="00EA1E95">
              <w:rPr>
                <w:noProof/>
                <w:webHidden/>
              </w:rPr>
              <w:fldChar w:fldCharType="separate"/>
            </w:r>
            <w:r>
              <w:rPr>
                <w:noProof/>
                <w:webHidden/>
              </w:rPr>
              <w:t>176</w:t>
            </w:r>
            <w:r w:rsidR="00EA1E95">
              <w:rPr>
                <w:noProof/>
                <w:webHidden/>
              </w:rPr>
              <w:fldChar w:fldCharType="end"/>
            </w:r>
          </w:hyperlink>
        </w:p>
        <w:p w14:paraId="48B94DB5" w14:textId="27E27BE8"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33" w:history="1">
            <w:r w:rsidR="00EA1E95" w:rsidRPr="00CF58E1">
              <w:rPr>
                <w:rStyle w:val="Hyperlink"/>
                <w:noProof/>
                <w:lang w:val="bg-BG"/>
              </w:rPr>
              <w:t>c) насърчаване на основното саниране на сгради, включително поетапно основно саниране;</w:t>
            </w:r>
            <w:r w:rsidR="00EA1E95">
              <w:rPr>
                <w:noProof/>
                <w:webHidden/>
              </w:rPr>
              <w:tab/>
            </w:r>
            <w:r w:rsidR="00EA1E95">
              <w:rPr>
                <w:noProof/>
                <w:webHidden/>
              </w:rPr>
              <w:fldChar w:fldCharType="begin"/>
            </w:r>
            <w:r w:rsidR="00EA1E95">
              <w:rPr>
                <w:noProof/>
                <w:webHidden/>
              </w:rPr>
              <w:instrText xml:space="preserve"> PAGEREF _Toc217888833 \h </w:instrText>
            </w:r>
            <w:r w:rsidR="00EA1E95">
              <w:rPr>
                <w:noProof/>
                <w:webHidden/>
              </w:rPr>
            </w:r>
            <w:r w:rsidR="00EA1E95">
              <w:rPr>
                <w:noProof/>
                <w:webHidden/>
              </w:rPr>
              <w:fldChar w:fldCharType="separate"/>
            </w:r>
            <w:r>
              <w:rPr>
                <w:noProof/>
                <w:webHidden/>
              </w:rPr>
              <w:t>183</w:t>
            </w:r>
            <w:r w:rsidR="00EA1E95">
              <w:rPr>
                <w:noProof/>
                <w:webHidden/>
              </w:rPr>
              <w:fldChar w:fldCharType="end"/>
            </w:r>
          </w:hyperlink>
        </w:p>
        <w:p w14:paraId="1D68164F" w14:textId="74FCFBC7"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45" w:history="1">
            <w:r w:rsidR="00EA1E95" w:rsidRPr="00CF58E1">
              <w:rPr>
                <w:rStyle w:val="Hyperlink"/>
                <w:noProof/>
                <w:lang w:val="bg-BG"/>
              </w:rPr>
              <w:t>(d) Овластяване и защита на уязвимите клиенти и намаляване на енергийната бедност, включително политики и мерки (чл. 24)</w:t>
            </w:r>
            <w:r w:rsidR="00EA1E95">
              <w:rPr>
                <w:noProof/>
                <w:webHidden/>
              </w:rPr>
              <w:tab/>
            </w:r>
            <w:r w:rsidR="00EA1E95">
              <w:rPr>
                <w:noProof/>
                <w:webHidden/>
              </w:rPr>
              <w:fldChar w:fldCharType="begin"/>
            </w:r>
            <w:r w:rsidR="00EA1E95">
              <w:rPr>
                <w:noProof/>
                <w:webHidden/>
              </w:rPr>
              <w:instrText xml:space="preserve"> PAGEREF _Toc217888845 \h </w:instrText>
            </w:r>
            <w:r w:rsidR="00EA1E95">
              <w:rPr>
                <w:noProof/>
                <w:webHidden/>
              </w:rPr>
            </w:r>
            <w:r w:rsidR="00EA1E95">
              <w:rPr>
                <w:noProof/>
                <w:webHidden/>
              </w:rPr>
              <w:fldChar w:fldCharType="separate"/>
            </w:r>
            <w:r>
              <w:rPr>
                <w:noProof/>
                <w:webHidden/>
              </w:rPr>
              <w:t>195</w:t>
            </w:r>
            <w:r w:rsidR="00EA1E95">
              <w:rPr>
                <w:noProof/>
                <w:webHidden/>
              </w:rPr>
              <w:fldChar w:fldCharType="end"/>
            </w:r>
          </w:hyperlink>
        </w:p>
        <w:p w14:paraId="3D2CA3E6" w14:textId="52B601AE"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46" w:history="1">
            <w:r w:rsidR="00EA1E95" w:rsidRPr="00CF58E1">
              <w:rPr>
                <w:rStyle w:val="Hyperlink"/>
                <w:noProof/>
                <w:lang w:val="bg-BG"/>
              </w:rPr>
              <w:t>(е) Създаване на центрове за комплексно обслужване (ЦКО) и сходни механизми (чл. 18)</w:t>
            </w:r>
            <w:r w:rsidR="00EA1E95">
              <w:rPr>
                <w:noProof/>
                <w:webHidden/>
              </w:rPr>
              <w:tab/>
            </w:r>
            <w:r w:rsidR="00EA1E95">
              <w:rPr>
                <w:noProof/>
                <w:webHidden/>
              </w:rPr>
              <w:fldChar w:fldCharType="begin"/>
            </w:r>
            <w:r w:rsidR="00EA1E95">
              <w:rPr>
                <w:noProof/>
                <w:webHidden/>
              </w:rPr>
              <w:instrText xml:space="preserve"> PAGEREF _Toc217888846 \h </w:instrText>
            </w:r>
            <w:r w:rsidR="00EA1E95">
              <w:rPr>
                <w:noProof/>
                <w:webHidden/>
              </w:rPr>
            </w:r>
            <w:r w:rsidR="00EA1E95">
              <w:rPr>
                <w:noProof/>
                <w:webHidden/>
              </w:rPr>
              <w:fldChar w:fldCharType="separate"/>
            </w:r>
            <w:r>
              <w:rPr>
                <w:noProof/>
                <w:webHidden/>
              </w:rPr>
              <w:t>195</w:t>
            </w:r>
            <w:r w:rsidR="00EA1E95">
              <w:rPr>
                <w:noProof/>
                <w:webHidden/>
              </w:rPr>
              <w:fldChar w:fldCharType="end"/>
            </w:r>
          </w:hyperlink>
        </w:p>
        <w:p w14:paraId="7498882B" w14:textId="36F1A726"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47" w:history="1">
            <w:r w:rsidR="00EA1E95" w:rsidRPr="00CF58E1">
              <w:rPr>
                <w:rStyle w:val="Hyperlink"/>
                <w:noProof/>
                <w:lang w:val="bg-BG" w:eastAsia="bg-BG"/>
              </w:rPr>
              <w:t>f) Декарбонизация на отоплението и охлаждането, включително чрез централизирани системи за отопление и охлаждане, и поетапно извеждане от употреба на изкопаемите горива до пълна замяна на котлите на изкопаеми горива до 2040 г.</w:t>
            </w:r>
            <w:r w:rsidR="00EA1E95">
              <w:rPr>
                <w:noProof/>
                <w:webHidden/>
              </w:rPr>
              <w:tab/>
            </w:r>
            <w:r w:rsidR="00EA1E95">
              <w:rPr>
                <w:noProof/>
                <w:webHidden/>
              </w:rPr>
              <w:fldChar w:fldCharType="begin"/>
            </w:r>
            <w:r w:rsidR="00EA1E95">
              <w:rPr>
                <w:noProof/>
                <w:webHidden/>
              </w:rPr>
              <w:instrText xml:space="preserve"> PAGEREF _Toc217888847 \h </w:instrText>
            </w:r>
            <w:r w:rsidR="00EA1E95">
              <w:rPr>
                <w:noProof/>
                <w:webHidden/>
              </w:rPr>
            </w:r>
            <w:r w:rsidR="00EA1E95">
              <w:rPr>
                <w:noProof/>
                <w:webHidden/>
              </w:rPr>
              <w:fldChar w:fldCharType="separate"/>
            </w:r>
            <w:r>
              <w:rPr>
                <w:noProof/>
                <w:webHidden/>
              </w:rPr>
              <w:t>199</w:t>
            </w:r>
            <w:r w:rsidR="00EA1E95">
              <w:rPr>
                <w:noProof/>
                <w:webHidden/>
              </w:rPr>
              <w:fldChar w:fldCharType="end"/>
            </w:r>
          </w:hyperlink>
        </w:p>
        <w:p w14:paraId="1AACBCC1" w14:textId="43D931C2"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48" w:history="1">
            <w:r w:rsidR="00EA1E95" w:rsidRPr="00CF58E1">
              <w:rPr>
                <w:rStyle w:val="Hyperlink"/>
                <w:noProof/>
                <w:lang w:val="bg-BG"/>
              </w:rPr>
              <w:t>(g) Предотвратяване и висококачествено третиране на отпадъци от строителство и разрушаване (ОСР) в съответствие с Директива 2008/98/ЕО и целите на кръговата икономика</w:t>
            </w:r>
            <w:r w:rsidR="00EA1E95">
              <w:rPr>
                <w:noProof/>
                <w:webHidden/>
              </w:rPr>
              <w:tab/>
            </w:r>
            <w:r w:rsidR="00EA1E95">
              <w:rPr>
                <w:noProof/>
                <w:webHidden/>
              </w:rPr>
              <w:fldChar w:fldCharType="begin"/>
            </w:r>
            <w:r w:rsidR="00EA1E95">
              <w:rPr>
                <w:noProof/>
                <w:webHidden/>
              </w:rPr>
              <w:instrText xml:space="preserve"> PAGEREF _Toc217888848 \h </w:instrText>
            </w:r>
            <w:r w:rsidR="00EA1E95">
              <w:rPr>
                <w:noProof/>
                <w:webHidden/>
              </w:rPr>
            </w:r>
            <w:r w:rsidR="00EA1E95">
              <w:rPr>
                <w:noProof/>
                <w:webHidden/>
              </w:rPr>
              <w:fldChar w:fldCharType="separate"/>
            </w:r>
            <w:r>
              <w:rPr>
                <w:noProof/>
                <w:webHidden/>
              </w:rPr>
              <w:t>207</w:t>
            </w:r>
            <w:r w:rsidR="00EA1E95">
              <w:rPr>
                <w:noProof/>
                <w:webHidden/>
              </w:rPr>
              <w:fldChar w:fldCharType="end"/>
            </w:r>
          </w:hyperlink>
        </w:p>
        <w:p w14:paraId="47F2D4CC" w14:textId="1C1A62AA"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53" w:history="1">
            <w:r w:rsidR="00EA1E95" w:rsidRPr="00CF58E1">
              <w:rPr>
                <w:rStyle w:val="Hyperlink"/>
                <w:noProof/>
                <w:lang w:val="bg-BG"/>
              </w:rPr>
              <w:t>(h) Насърчаване на използването на енергия от възобновяеми източници в сградите</w:t>
            </w:r>
            <w:r w:rsidR="00EA1E95">
              <w:rPr>
                <w:noProof/>
                <w:webHidden/>
              </w:rPr>
              <w:tab/>
            </w:r>
            <w:r w:rsidR="00EA1E95">
              <w:rPr>
                <w:noProof/>
                <w:webHidden/>
              </w:rPr>
              <w:fldChar w:fldCharType="begin"/>
            </w:r>
            <w:r w:rsidR="00EA1E95">
              <w:rPr>
                <w:noProof/>
                <w:webHidden/>
              </w:rPr>
              <w:instrText xml:space="preserve"> PAGEREF _Toc217888853 \h </w:instrText>
            </w:r>
            <w:r w:rsidR="00EA1E95">
              <w:rPr>
                <w:noProof/>
                <w:webHidden/>
              </w:rPr>
            </w:r>
            <w:r w:rsidR="00EA1E95">
              <w:rPr>
                <w:noProof/>
                <w:webHidden/>
              </w:rPr>
              <w:fldChar w:fldCharType="separate"/>
            </w:r>
            <w:r>
              <w:rPr>
                <w:noProof/>
                <w:webHidden/>
              </w:rPr>
              <w:t>210</w:t>
            </w:r>
            <w:r w:rsidR="00EA1E95">
              <w:rPr>
                <w:noProof/>
                <w:webHidden/>
              </w:rPr>
              <w:fldChar w:fldCharType="end"/>
            </w:r>
          </w:hyperlink>
        </w:p>
        <w:p w14:paraId="49DA653C" w14:textId="77D28250"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54" w:history="1">
            <w:r w:rsidR="00EA1E95" w:rsidRPr="00CF58E1">
              <w:rPr>
                <w:rStyle w:val="Hyperlink"/>
                <w:noProof/>
                <w:lang w:val="bg-BG"/>
              </w:rPr>
              <w:t>(i) Разгръщане на слънчева енергия в сградите</w:t>
            </w:r>
            <w:r w:rsidR="00EA1E95">
              <w:rPr>
                <w:noProof/>
                <w:webHidden/>
              </w:rPr>
              <w:tab/>
            </w:r>
            <w:r w:rsidR="00EA1E95">
              <w:rPr>
                <w:noProof/>
                <w:webHidden/>
              </w:rPr>
              <w:fldChar w:fldCharType="begin"/>
            </w:r>
            <w:r w:rsidR="00EA1E95">
              <w:rPr>
                <w:noProof/>
                <w:webHidden/>
              </w:rPr>
              <w:instrText xml:space="preserve"> PAGEREF _Toc217888854 \h </w:instrText>
            </w:r>
            <w:r w:rsidR="00EA1E95">
              <w:rPr>
                <w:noProof/>
                <w:webHidden/>
              </w:rPr>
            </w:r>
            <w:r w:rsidR="00EA1E95">
              <w:rPr>
                <w:noProof/>
                <w:webHidden/>
              </w:rPr>
              <w:fldChar w:fldCharType="separate"/>
            </w:r>
            <w:r>
              <w:rPr>
                <w:noProof/>
                <w:webHidden/>
              </w:rPr>
              <w:t>216</w:t>
            </w:r>
            <w:r w:rsidR="00EA1E95">
              <w:rPr>
                <w:noProof/>
                <w:webHidden/>
              </w:rPr>
              <w:fldChar w:fldCharType="end"/>
            </w:r>
          </w:hyperlink>
        </w:p>
        <w:p w14:paraId="25B5E221" w14:textId="5C4848B7"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63" w:history="1">
            <w:r w:rsidR="00EA1E95" w:rsidRPr="00CF58E1">
              <w:rPr>
                <w:rStyle w:val="Hyperlink"/>
                <w:noProof/>
                <w:lang w:val="bg-BG"/>
              </w:rPr>
              <w:t>(j) Намаляване на емисиите на парникови газове през целия жизнен цикъл на сградите и насърчаване на улавянето и съхранението на въглерод</w:t>
            </w:r>
            <w:r w:rsidR="00EA1E95">
              <w:rPr>
                <w:noProof/>
                <w:webHidden/>
              </w:rPr>
              <w:tab/>
            </w:r>
            <w:r w:rsidR="00EA1E95">
              <w:rPr>
                <w:noProof/>
                <w:webHidden/>
              </w:rPr>
              <w:fldChar w:fldCharType="begin"/>
            </w:r>
            <w:r w:rsidR="00EA1E95">
              <w:rPr>
                <w:noProof/>
                <w:webHidden/>
              </w:rPr>
              <w:instrText xml:space="preserve"> PAGEREF _Toc217888863 \h </w:instrText>
            </w:r>
            <w:r w:rsidR="00EA1E95">
              <w:rPr>
                <w:noProof/>
                <w:webHidden/>
              </w:rPr>
            </w:r>
            <w:r w:rsidR="00EA1E95">
              <w:rPr>
                <w:noProof/>
                <w:webHidden/>
              </w:rPr>
              <w:fldChar w:fldCharType="separate"/>
            </w:r>
            <w:r>
              <w:rPr>
                <w:noProof/>
                <w:webHidden/>
              </w:rPr>
              <w:t>223</w:t>
            </w:r>
            <w:r w:rsidR="00EA1E95">
              <w:rPr>
                <w:noProof/>
                <w:webHidden/>
              </w:rPr>
              <w:fldChar w:fldCharType="end"/>
            </w:r>
          </w:hyperlink>
        </w:p>
        <w:p w14:paraId="7DDD21BA" w14:textId="22E94A33"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71" w:history="1">
            <w:r w:rsidR="00EA1E95" w:rsidRPr="00CF58E1">
              <w:rPr>
                <w:rStyle w:val="Hyperlink"/>
                <w:noProof/>
                <w:lang w:val="bg-BG"/>
              </w:rPr>
              <w:t>k) Насърчаване на интегрирани квартални и териториални подходи и програми за обновяване</w:t>
            </w:r>
            <w:r w:rsidR="00EA1E95">
              <w:rPr>
                <w:noProof/>
                <w:webHidden/>
              </w:rPr>
              <w:tab/>
            </w:r>
            <w:r w:rsidR="00EA1E95">
              <w:rPr>
                <w:noProof/>
                <w:webHidden/>
              </w:rPr>
              <w:fldChar w:fldCharType="begin"/>
            </w:r>
            <w:r w:rsidR="00EA1E95">
              <w:rPr>
                <w:noProof/>
                <w:webHidden/>
              </w:rPr>
              <w:instrText xml:space="preserve"> PAGEREF _Toc217888871 \h </w:instrText>
            </w:r>
            <w:r w:rsidR="00EA1E95">
              <w:rPr>
                <w:noProof/>
                <w:webHidden/>
              </w:rPr>
            </w:r>
            <w:r w:rsidR="00EA1E95">
              <w:rPr>
                <w:noProof/>
                <w:webHidden/>
              </w:rPr>
              <w:fldChar w:fldCharType="separate"/>
            </w:r>
            <w:r>
              <w:rPr>
                <w:noProof/>
                <w:webHidden/>
              </w:rPr>
              <w:t>230</w:t>
            </w:r>
            <w:r w:rsidR="00EA1E95">
              <w:rPr>
                <w:noProof/>
                <w:webHidden/>
              </w:rPr>
              <w:fldChar w:fldCharType="end"/>
            </w:r>
          </w:hyperlink>
        </w:p>
        <w:p w14:paraId="1F5D4D39" w14:textId="320A0A31"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76" w:history="1">
            <w:r w:rsidR="00EA1E95" w:rsidRPr="00CF58E1">
              <w:rPr>
                <w:rStyle w:val="Hyperlink"/>
                <w:noProof/>
                <w:lang w:val="bg-BG"/>
              </w:rPr>
              <w:t>(l) Подобряване на сградите, притежавани от публични органи (чл. 5, 6 и 7 от ДЕЕ)</w:t>
            </w:r>
            <w:r w:rsidR="00EA1E95">
              <w:rPr>
                <w:noProof/>
                <w:webHidden/>
              </w:rPr>
              <w:tab/>
            </w:r>
            <w:r w:rsidR="00EA1E95">
              <w:rPr>
                <w:noProof/>
                <w:webHidden/>
              </w:rPr>
              <w:fldChar w:fldCharType="begin"/>
            </w:r>
            <w:r w:rsidR="00EA1E95">
              <w:rPr>
                <w:noProof/>
                <w:webHidden/>
              </w:rPr>
              <w:instrText xml:space="preserve"> PAGEREF _Toc217888876 \h </w:instrText>
            </w:r>
            <w:r w:rsidR="00EA1E95">
              <w:rPr>
                <w:noProof/>
                <w:webHidden/>
              </w:rPr>
            </w:r>
            <w:r w:rsidR="00EA1E95">
              <w:rPr>
                <w:noProof/>
                <w:webHidden/>
              </w:rPr>
              <w:fldChar w:fldCharType="separate"/>
            </w:r>
            <w:r>
              <w:rPr>
                <w:noProof/>
                <w:webHidden/>
              </w:rPr>
              <w:t>232</w:t>
            </w:r>
            <w:r w:rsidR="00EA1E95">
              <w:rPr>
                <w:noProof/>
                <w:webHidden/>
              </w:rPr>
              <w:fldChar w:fldCharType="end"/>
            </w:r>
          </w:hyperlink>
        </w:p>
        <w:p w14:paraId="5360D083" w14:textId="62D0BB3D"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80" w:history="1">
            <w:r w:rsidR="00EA1E95" w:rsidRPr="00CF58E1">
              <w:rPr>
                <w:rStyle w:val="Hyperlink"/>
                <w:noProof/>
                <w:lang w:val="bg-BG"/>
              </w:rPr>
              <w:t>m) Интелигентни технологии и индикатор за интелигентна готовност на сградите (SRI)</w:t>
            </w:r>
            <w:r w:rsidR="00EA1E95">
              <w:rPr>
                <w:noProof/>
                <w:webHidden/>
              </w:rPr>
              <w:tab/>
            </w:r>
            <w:r w:rsidR="00EA1E95">
              <w:rPr>
                <w:noProof/>
                <w:webHidden/>
              </w:rPr>
              <w:fldChar w:fldCharType="begin"/>
            </w:r>
            <w:r w:rsidR="00EA1E95">
              <w:rPr>
                <w:noProof/>
                <w:webHidden/>
              </w:rPr>
              <w:instrText xml:space="preserve"> PAGEREF _Toc217888880 \h </w:instrText>
            </w:r>
            <w:r w:rsidR="00EA1E95">
              <w:rPr>
                <w:noProof/>
                <w:webHidden/>
              </w:rPr>
            </w:r>
            <w:r w:rsidR="00EA1E95">
              <w:rPr>
                <w:noProof/>
                <w:webHidden/>
              </w:rPr>
              <w:fldChar w:fldCharType="separate"/>
            </w:r>
            <w:r>
              <w:rPr>
                <w:noProof/>
                <w:webHidden/>
              </w:rPr>
              <w:t>235</w:t>
            </w:r>
            <w:r w:rsidR="00EA1E95">
              <w:rPr>
                <w:noProof/>
                <w:webHidden/>
              </w:rPr>
              <w:fldChar w:fldCharType="end"/>
            </w:r>
          </w:hyperlink>
        </w:p>
        <w:p w14:paraId="6C1DA5D5" w14:textId="40348609"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82" w:history="1">
            <w:r w:rsidR="00EA1E95" w:rsidRPr="00CF58E1">
              <w:rPr>
                <w:rStyle w:val="Hyperlink"/>
                <w:noProof/>
                <w:lang w:val="bg-BG"/>
              </w:rPr>
              <w:t>(n) Преодоляване на пазарните бариери и пазарните неуспехи</w:t>
            </w:r>
            <w:r w:rsidR="00EA1E95">
              <w:rPr>
                <w:noProof/>
                <w:webHidden/>
              </w:rPr>
              <w:tab/>
            </w:r>
            <w:r w:rsidR="00EA1E95">
              <w:rPr>
                <w:noProof/>
                <w:webHidden/>
              </w:rPr>
              <w:fldChar w:fldCharType="begin"/>
            </w:r>
            <w:r w:rsidR="00EA1E95">
              <w:rPr>
                <w:noProof/>
                <w:webHidden/>
              </w:rPr>
              <w:instrText xml:space="preserve"> PAGEREF _Toc217888882 \h </w:instrText>
            </w:r>
            <w:r w:rsidR="00EA1E95">
              <w:rPr>
                <w:noProof/>
                <w:webHidden/>
              </w:rPr>
            </w:r>
            <w:r w:rsidR="00EA1E95">
              <w:rPr>
                <w:noProof/>
                <w:webHidden/>
              </w:rPr>
              <w:fldChar w:fldCharType="separate"/>
            </w:r>
            <w:r>
              <w:rPr>
                <w:noProof/>
                <w:webHidden/>
              </w:rPr>
              <w:t>238</w:t>
            </w:r>
            <w:r w:rsidR="00EA1E95">
              <w:rPr>
                <w:noProof/>
                <w:webHidden/>
              </w:rPr>
              <w:fldChar w:fldCharType="end"/>
            </w:r>
          </w:hyperlink>
        </w:p>
        <w:p w14:paraId="050F61A8" w14:textId="7BB45059"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84" w:history="1">
            <w:r w:rsidR="00EA1E95" w:rsidRPr="00CF58E1">
              <w:rPr>
                <w:rStyle w:val="Hyperlink"/>
                <w:noProof/>
                <w:lang w:val="bg-BG" w:eastAsia="bg-BG"/>
              </w:rPr>
              <w:t>o) Преодоляване на дефицита на умения и насърчаване на образованието, целевите обучения, повишаването и придобиването на нови квалификации в строителството, енергийната ефективност и възобновяемите енергийни източници (с фокус върху недостатъчно представените групи)</w:t>
            </w:r>
            <w:r w:rsidR="00EA1E95">
              <w:rPr>
                <w:noProof/>
                <w:webHidden/>
              </w:rPr>
              <w:tab/>
            </w:r>
            <w:r w:rsidR="00EA1E95">
              <w:rPr>
                <w:noProof/>
                <w:webHidden/>
              </w:rPr>
              <w:fldChar w:fldCharType="begin"/>
            </w:r>
            <w:r w:rsidR="00EA1E95">
              <w:rPr>
                <w:noProof/>
                <w:webHidden/>
              </w:rPr>
              <w:instrText xml:space="preserve"> PAGEREF _Toc217888884 \h </w:instrText>
            </w:r>
            <w:r w:rsidR="00EA1E95">
              <w:rPr>
                <w:noProof/>
                <w:webHidden/>
              </w:rPr>
            </w:r>
            <w:r w:rsidR="00EA1E95">
              <w:rPr>
                <w:noProof/>
                <w:webHidden/>
              </w:rPr>
              <w:fldChar w:fldCharType="separate"/>
            </w:r>
            <w:r>
              <w:rPr>
                <w:noProof/>
                <w:webHidden/>
              </w:rPr>
              <w:t>244</w:t>
            </w:r>
            <w:r w:rsidR="00EA1E95">
              <w:rPr>
                <w:noProof/>
                <w:webHidden/>
              </w:rPr>
              <w:fldChar w:fldCharType="end"/>
            </w:r>
          </w:hyperlink>
        </w:p>
        <w:p w14:paraId="3A222813" w14:textId="669860E2"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85" w:history="1">
            <w:r w:rsidR="00EA1E95" w:rsidRPr="00CF58E1">
              <w:rPr>
                <w:rStyle w:val="Hyperlink"/>
                <w:noProof/>
                <w:lang w:val="bg-BG"/>
              </w:rPr>
              <w:t>(p) Кампании за повишаване на осведомеността и консултантски инструменти</w:t>
            </w:r>
            <w:r w:rsidR="00EA1E95">
              <w:rPr>
                <w:noProof/>
                <w:webHidden/>
              </w:rPr>
              <w:tab/>
            </w:r>
            <w:r w:rsidR="00EA1E95">
              <w:rPr>
                <w:noProof/>
                <w:webHidden/>
              </w:rPr>
              <w:fldChar w:fldCharType="begin"/>
            </w:r>
            <w:r w:rsidR="00EA1E95">
              <w:rPr>
                <w:noProof/>
                <w:webHidden/>
              </w:rPr>
              <w:instrText xml:space="preserve"> PAGEREF _Toc217888885 \h </w:instrText>
            </w:r>
            <w:r w:rsidR="00EA1E95">
              <w:rPr>
                <w:noProof/>
                <w:webHidden/>
              </w:rPr>
            </w:r>
            <w:r w:rsidR="00EA1E95">
              <w:rPr>
                <w:noProof/>
                <w:webHidden/>
              </w:rPr>
              <w:fldChar w:fldCharType="separate"/>
            </w:r>
            <w:r>
              <w:rPr>
                <w:noProof/>
                <w:webHidden/>
              </w:rPr>
              <w:t>253</w:t>
            </w:r>
            <w:r w:rsidR="00EA1E95">
              <w:rPr>
                <w:noProof/>
                <w:webHidden/>
              </w:rPr>
              <w:fldChar w:fldCharType="end"/>
            </w:r>
          </w:hyperlink>
        </w:p>
        <w:p w14:paraId="4B6823AA" w14:textId="0FC0E453"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86" w:history="1">
            <w:r w:rsidR="00EA1E95" w:rsidRPr="00CF58E1">
              <w:rPr>
                <w:rStyle w:val="Hyperlink"/>
                <w:noProof/>
                <w:lang w:val="bg-BG"/>
              </w:rPr>
              <w:t>(q) Насърчаване на модулни и индустриализирани решения за строителство и обновяване на сгради</w:t>
            </w:r>
            <w:r w:rsidR="00EA1E95">
              <w:rPr>
                <w:noProof/>
                <w:webHidden/>
              </w:rPr>
              <w:tab/>
            </w:r>
            <w:r w:rsidR="00EA1E95">
              <w:rPr>
                <w:noProof/>
                <w:webHidden/>
              </w:rPr>
              <w:fldChar w:fldCharType="begin"/>
            </w:r>
            <w:r w:rsidR="00EA1E95">
              <w:rPr>
                <w:noProof/>
                <w:webHidden/>
              </w:rPr>
              <w:instrText xml:space="preserve"> PAGEREF _Toc217888886 \h </w:instrText>
            </w:r>
            <w:r w:rsidR="00EA1E95">
              <w:rPr>
                <w:noProof/>
                <w:webHidden/>
              </w:rPr>
            </w:r>
            <w:r w:rsidR="00EA1E95">
              <w:rPr>
                <w:noProof/>
                <w:webHidden/>
              </w:rPr>
              <w:fldChar w:fldCharType="separate"/>
            </w:r>
            <w:r>
              <w:rPr>
                <w:noProof/>
                <w:webHidden/>
              </w:rPr>
              <w:t>257</w:t>
            </w:r>
            <w:r w:rsidR="00EA1E95">
              <w:rPr>
                <w:noProof/>
                <w:webHidden/>
              </w:rPr>
              <w:fldChar w:fldCharType="end"/>
            </w:r>
          </w:hyperlink>
        </w:p>
        <w:p w14:paraId="752D0486" w14:textId="62B58967"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87" w:history="1">
            <w:r w:rsidR="00EA1E95" w:rsidRPr="00CF58E1">
              <w:rPr>
                <w:rStyle w:val="Hyperlink"/>
              </w:rPr>
              <w:t>Обобщение на инвестиционните потребности, бюджетните източници и административния капацитет</w:t>
            </w:r>
            <w:r w:rsidR="00EA1E95">
              <w:rPr>
                <w:webHidden/>
              </w:rPr>
              <w:tab/>
            </w:r>
            <w:r w:rsidR="00EA1E95">
              <w:rPr>
                <w:webHidden/>
              </w:rPr>
              <w:fldChar w:fldCharType="begin"/>
            </w:r>
            <w:r w:rsidR="00EA1E95">
              <w:rPr>
                <w:webHidden/>
              </w:rPr>
              <w:instrText xml:space="preserve"> PAGEREF _Toc217888887 \h </w:instrText>
            </w:r>
            <w:r w:rsidR="00EA1E95">
              <w:rPr>
                <w:webHidden/>
              </w:rPr>
            </w:r>
            <w:r w:rsidR="00EA1E95">
              <w:rPr>
                <w:webHidden/>
              </w:rPr>
              <w:fldChar w:fldCharType="separate"/>
            </w:r>
            <w:r>
              <w:rPr>
                <w:webHidden/>
              </w:rPr>
              <w:t>260</w:t>
            </w:r>
            <w:r w:rsidR="00EA1E95">
              <w:rPr>
                <w:webHidden/>
              </w:rPr>
              <w:fldChar w:fldCharType="end"/>
            </w:r>
          </w:hyperlink>
        </w:p>
        <w:p w14:paraId="5B138BBA" w14:textId="45D515B8"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88" w:history="1">
            <w:r w:rsidR="00EA1E95" w:rsidRPr="00CF58E1">
              <w:rPr>
                <w:rStyle w:val="Hyperlink"/>
              </w:rPr>
              <w:t>Развитие на средата за финансиране на проекти за сградно обновяване в България</w:t>
            </w:r>
            <w:r w:rsidR="00EA1E95">
              <w:rPr>
                <w:webHidden/>
              </w:rPr>
              <w:tab/>
            </w:r>
            <w:r w:rsidR="00EA1E95">
              <w:rPr>
                <w:webHidden/>
              </w:rPr>
              <w:fldChar w:fldCharType="begin"/>
            </w:r>
            <w:r w:rsidR="00EA1E95">
              <w:rPr>
                <w:webHidden/>
              </w:rPr>
              <w:instrText xml:space="preserve"> PAGEREF _Toc217888888 \h </w:instrText>
            </w:r>
            <w:r w:rsidR="00EA1E95">
              <w:rPr>
                <w:webHidden/>
              </w:rPr>
            </w:r>
            <w:r w:rsidR="00EA1E95">
              <w:rPr>
                <w:webHidden/>
              </w:rPr>
              <w:fldChar w:fldCharType="separate"/>
            </w:r>
            <w:r>
              <w:rPr>
                <w:webHidden/>
              </w:rPr>
              <w:t>265</w:t>
            </w:r>
            <w:r w:rsidR="00EA1E95">
              <w:rPr>
                <w:webHidden/>
              </w:rPr>
              <w:fldChar w:fldCharType="end"/>
            </w:r>
          </w:hyperlink>
        </w:p>
        <w:p w14:paraId="17E452F0" w14:textId="0B19E251"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89" w:history="1">
            <w:r w:rsidR="00EA1E95" w:rsidRPr="00CF58E1">
              <w:rPr>
                <w:rStyle w:val="Hyperlink"/>
                <w:noProof/>
                <w:lang w:val="bg-BG"/>
              </w:rPr>
              <w:t>Произход на средствата и рамка на финансирането за изпълнение на Плана за саниране на жилищни и нежилищни сгради до 2050 г.</w:t>
            </w:r>
            <w:r w:rsidR="00EA1E95">
              <w:rPr>
                <w:noProof/>
                <w:webHidden/>
              </w:rPr>
              <w:tab/>
            </w:r>
            <w:r w:rsidR="00EA1E95">
              <w:rPr>
                <w:noProof/>
                <w:webHidden/>
              </w:rPr>
              <w:fldChar w:fldCharType="begin"/>
            </w:r>
            <w:r w:rsidR="00EA1E95">
              <w:rPr>
                <w:noProof/>
                <w:webHidden/>
              </w:rPr>
              <w:instrText xml:space="preserve"> PAGEREF _Toc217888889 \h </w:instrText>
            </w:r>
            <w:r w:rsidR="00EA1E95">
              <w:rPr>
                <w:noProof/>
                <w:webHidden/>
              </w:rPr>
            </w:r>
            <w:r w:rsidR="00EA1E95">
              <w:rPr>
                <w:noProof/>
                <w:webHidden/>
              </w:rPr>
              <w:fldChar w:fldCharType="separate"/>
            </w:r>
            <w:r>
              <w:rPr>
                <w:noProof/>
                <w:webHidden/>
              </w:rPr>
              <w:t>266</w:t>
            </w:r>
            <w:r w:rsidR="00EA1E95">
              <w:rPr>
                <w:noProof/>
                <w:webHidden/>
              </w:rPr>
              <w:fldChar w:fldCharType="end"/>
            </w:r>
          </w:hyperlink>
        </w:p>
        <w:p w14:paraId="2D4E7809" w14:textId="25BC4C6F"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90" w:history="1">
            <w:r w:rsidR="00EA1E95" w:rsidRPr="00CF58E1">
              <w:rPr>
                <w:rStyle w:val="Hyperlink"/>
                <w:noProof/>
                <w:lang w:val="bg-BG"/>
              </w:rPr>
              <w:t>Национален фонд за декарбонизация – роля, функции и очакван принос за изпълнението на политиките за обновяване</w:t>
            </w:r>
            <w:r w:rsidR="00EA1E95">
              <w:rPr>
                <w:noProof/>
                <w:webHidden/>
              </w:rPr>
              <w:tab/>
            </w:r>
            <w:r w:rsidR="00EA1E95">
              <w:rPr>
                <w:noProof/>
                <w:webHidden/>
              </w:rPr>
              <w:fldChar w:fldCharType="begin"/>
            </w:r>
            <w:r w:rsidR="00EA1E95">
              <w:rPr>
                <w:noProof/>
                <w:webHidden/>
              </w:rPr>
              <w:instrText xml:space="preserve"> PAGEREF _Toc217888890 \h </w:instrText>
            </w:r>
            <w:r w:rsidR="00EA1E95">
              <w:rPr>
                <w:noProof/>
                <w:webHidden/>
              </w:rPr>
            </w:r>
            <w:r w:rsidR="00EA1E95">
              <w:rPr>
                <w:noProof/>
                <w:webHidden/>
              </w:rPr>
              <w:fldChar w:fldCharType="separate"/>
            </w:r>
            <w:r>
              <w:rPr>
                <w:noProof/>
                <w:webHidden/>
              </w:rPr>
              <w:t>271</w:t>
            </w:r>
            <w:r w:rsidR="00EA1E95">
              <w:rPr>
                <w:noProof/>
                <w:webHidden/>
              </w:rPr>
              <w:fldChar w:fldCharType="end"/>
            </w:r>
          </w:hyperlink>
        </w:p>
        <w:p w14:paraId="365FC99C" w14:textId="44CC662B" w:rsidR="00EA1E95" w:rsidRDefault="00220456" w:rsidP="000B4EEB">
          <w:pPr>
            <w:pStyle w:val="TOC2"/>
            <w:tabs>
              <w:tab w:val="right" w:leader="dot" w:pos="9062"/>
            </w:tabs>
            <w:jc w:val="both"/>
            <w:rPr>
              <w:rFonts w:asciiTheme="minorHAnsi" w:eastAsiaTheme="minorEastAsia" w:hAnsiTheme="minorHAnsi"/>
              <w:noProof/>
              <w:kern w:val="2"/>
              <w:szCs w:val="24"/>
              <w:lang w:val="bg-BG" w:eastAsia="bg-BG"/>
              <w14:ligatures w14:val="standardContextual"/>
            </w:rPr>
          </w:pPr>
          <w:hyperlink w:anchor="_Toc217888891" w:history="1">
            <w:r w:rsidR="00EA1E95" w:rsidRPr="00CF58E1">
              <w:rPr>
                <w:rStyle w:val="Hyperlink"/>
                <w:noProof/>
                <w:lang w:val="bg-BG"/>
              </w:rPr>
              <w:t>Допълващи финансови инструменти за изпълнение на политиките за сградно обновяване</w:t>
            </w:r>
            <w:r w:rsidR="00EA1E95">
              <w:rPr>
                <w:noProof/>
                <w:webHidden/>
              </w:rPr>
              <w:tab/>
            </w:r>
            <w:r w:rsidR="00EA1E95">
              <w:rPr>
                <w:noProof/>
                <w:webHidden/>
              </w:rPr>
              <w:fldChar w:fldCharType="begin"/>
            </w:r>
            <w:r w:rsidR="00EA1E95">
              <w:rPr>
                <w:noProof/>
                <w:webHidden/>
              </w:rPr>
              <w:instrText xml:space="preserve"> PAGEREF _Toc217888891 \h </w:instrText>
            </w:r>
            <w:r w:rsidR="00EA1E95">
              <w:rPr>
                <w:noProof/>
                <w:webHidden/>
              </w:rPr>
            </w:r>
            <w:r w:rsidR="00EA1E95">
              <w:rPr>
                <w:noProof/>
                <w:webHidden/>
              </w:rPr>
              <w:fldChar w:fldCharType="separate"/>
            </w:r>
            <w:r>
              <w:rPr>
                <w:noProof/>
                <w:webHidden/>
              </w:rPr>
              <w:t>273</w:t>
            </w:r>
            <w:r w:rsidR="00EA1E95">
              <w:rPr>
                <w:noProof/>
                <w:webHidden/>
              </w:rPr>
              <w:fldChar w:fldCharType="end"/>
            </w:r>
          </w:hyperlink>
        </w:p>
        <w:p w14:paraId="13C6456F" w14:textId="17107B1F"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92" w:history="1">
            <w:r w:rsidR="00EA1E95" w:rsidRPr="00CF58E1">
              <w:rPr>
                <w:rStyle w:val="Hyperlink"/>
              </w:rPr>
              <w:t>Прагове за нулевоемисионни сгради при ново строителство и при обновяване (във връзка с чл. 11 от ДЕХС)</w:t>
            </w:r>
            <w:r w:rsidR="00EA1E95">
              <w:rPr>
                <w:webHidden/>
              </w:rPr>
              <w:tab/>
            </w:r>
            <w:r w:rsidR="00EA1E95">
              <w:rPr>
                <w:webHidden/>
              </w:rPr>
              <w:fldChar w:fldCharType="begin"/>
            </w:r>
            <w:r w:rsidR="00EA1E95">
              <w:rPr>
                <w:webHidden/>
              </w:rPr>
              <w:instrText xml:space="preserve"> PAGEREF _Toc217888892 \h </w:instrText>
            </w:r>
            <w:r w:rsidR="00EA1E95">
              <w:rPr>
                <w:webHidden/>
              </w:rPr>
            </w:r>
            <w:r w:rsidR="00EA1E95">
              <w:rPr>
                <w:webHidden/>
              </w:rPr>
              <w:fldChar w:fldCharType="separate"/>
            </w:r>
            <w:r>
              <w:rPr>
                <w:webHidden/>
              </w:rPr>
              <w:t>275</w:t>
            </w:r>
            <w:r w:rsidR="00EA1E95">
              <w:rPr>
                <w:webHidden/>
              </w:rPr>
              <w:fldChar w:fldCharType="end"/>
            </w:r>
          </w:hyperlink>
        </w:p>
        <w:p w14:paraId="38626C0C" w14:textId="7507E946"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93" w:history="1">
            <w:r w:rsidR="00EA1E95" w:rsidRPr="00CF58E1">
              <w:rPr>
                <w:rStyle w:val="Hyperlink"/>
              </w:rPr>
              <w:t>Минимални стандарти за енергийните характеристики на нежилищните сгради</w:t>
            </w:r>
            <w:r w:rsidR="00EA1E95">
              <w:rPr>
                <w:webHidden/>
              </w:rPr>
              <w:tab/>
            </w:r>
            <w:r w:rsidR="00EA1E95">
              <w:rPr>
                <w:webHidden/>
              </w:rPr>
              <w:fldChar w:fldCharType="begin"/>
            </w:r>
            <w:r w:rsidR="00EA1E95">
              <w:rPr>
                <w:webHidden/>
              </w:rPr>
              <w:instrText xml:space="preserve"> PAGEREF _Toc217888893 \h </w:instrText>
            </w:r>
            <w:r w:rsidR="00EA1E95">
              <w:rPr>
                <w:webHidden/>
              </w:rPr>
            </w:r>
            <w:r w:rsidR="00EA1E95">
              <w:rPr>
                <w:webHidden/>
              </w:rPr>
              <w:fldChar w:fldCharType="separate"/>
            </w:r>
            <w:r>
              <w:rPr>
                <w:webHidden/>
              </w:rPr>
              <w:t>27</w:t>
            </w:r>
            <w:r>
              <w:rPr>
                <w:webHidden/>
              </w:rPr>
              <w:t>8</w:t>
            </w:r>
            <w:r w:rsidR="00EA1E95">
              <w:rPr>
                <w:webHidden/>
              </w:rPr>
              <w:fldChar w:fldCharType="end"/>
            </w:r>
          </w:hyperlink>
        </w:p>
        <w:p w14:paraId="32D7CF18" w14:textId="4BBE1A73" w:rsidR="00EA1E95" w:rsidRDefault="00220456" w:rsidP="000B4EEB">
          <w:pPr>
            <w:pStyle w:val="TOC1"/>
            <w:jc w:val="both"/>
            <w:rPr>
              <w:rFonts w:asciiTheme="minorHAnsi" w:eastAsiaTheme="minorEastAsia" w:hAnsiTheme="minorHAnsi"/>
              <w:kern w:val="2"/>
              <w:szCs w:val="24"/>
              <w:lang w:eastAsia="bg-BG"/>
              <w14:ligatures w14:val="standardContextual"/>
            </w:rPr>
          </w:pPr>
          <w:hyperlink w:anchor="_Toc217888894" w:history="1">
            <w:r w:rsidR="00EA1E95" w:rsidRPr="00CF58E1">
              <w:rPr>
                <w:rStyle w:val="Hyperlink"/>
                <w:lang w:eastAsia="bg-BG"/>
              </w:rPr>
              <w:t>Заключение и следващи стъпки</w:t>
            </w:r>
            <w:r w:rsidR="00EA1E95">
              <w:rPr>
                <w:webHidden/>
              </w:rPr>
              <w:tab/>
            </w:r>
            <w:r w:rsidR="00EA1E95">
              <w:rPr>
                <w:webHidden/>
              </w:rPr>
              <w:fldChar w:fldCharType="begin"/>
            </w:r>
            <w:r w:rsidR="00EA1E95">
              <w:rPr>
                <w:webHidden/>
              </w:rPr>
              <w:instrText xml:space="preserve"> PAGEREF _Toc217888894 \h </w:instrText>
            </w:r>
            <w:r w:rsidR="00EA1E95">
              <w:rPr>
                <w:webHidden/>
              </w:rPr>
            </w:r>
            <w:r w:rsidR="00EA1E95">
              <w:rPr>
                <w:webHidden/>
              </w:rPr>
              <w:fldChar w:fldCharType="separate"/>
            </w:r>
            <w:r>
              <w:rPr>
                <w:webHidden/>
              </w:rPr>
              <w:t>284</w:t>
            </w:r>
            <w:r w:rsidR="00EA1E95">
              <w:rPr>
                <w:webHidden/>
              </w:rPr>
              <w:fldChar w:fldCharType="end"/>
            </w:r>
          </w:hyperlink>
        </w:p>
        <w:p w14:paraId="0065E9F6" w14:textId="50141621" w:rsidR="001F747C" w:rsidRPr="006F3533" w:rsidRDefault="001F747C" w:rsidP="00077D42">
          <w:pPr>
            <w:jc w:val="both"/>
            <w:rPr>
              <w:lang w:val="bg-BG"/>
            </w:rPr>
          </w:pPr>
          <w:r w:rsidRPr="006F3533">
            <w:rPr>
              <w:b/>
              <w:bCs/>
              <w:noProof/>
              <w:lang w:val="bg-BG"/>
            </w:rPr>
            <w:fldChar w:fldCharType="end"/>
          </w:r>
        </w:p>
      </w:sdtContent>
    </w:sdt>
    <w:p w14:paraId="5AFFC881" w14:textId="77777777" w:rsidR="00FD1FA6" w:rsidRDefault="00FD1FA6" w:rsidP="00FD1FA6">
      <w:pPr>
        <w:spacing w:before="100" w:beforeAutospacing="1" w:after="100" w:afterAutospacing="1" w:line="240" w:lineRule="auto"/>
        <w:jc w:val="both"/>
        <w:outlineLvl w:val="1"/>
        <w:rPr>
          <w:rFonts w:eastAsia="Times New Roman" w:cs="Times New Roman"/>
          <w:b/>
          <w:bCs/>
          <w:szCs w:val="24"/>
          <w:lang w:val="bg-BG"/>
        </w:rPr>
      </w:pPr>
    </w:p>
    <w:p w14:paraId="41840265"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7F12B9BD"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3BB61D0F"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23B8B930"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5D66638F"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5AA5DA59"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1D596735"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69487311"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2F16A728"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07AA6A1A"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523E1CC0" w14:textId="1813E34F"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4E040E37" w14:textId="0CA22206" w:rsidR="000A52E4" w:rsidRDefault="000A52E4" w:rsidP="00FD1FA6">
      <w:pPr>
        <w:spacing w:before="100" w:beforeAutospacing="1" w:after="100" w:afterAutospacing="1" w:line="240" w:lineRule="auto"/>
        <w:jc w:val="both"/>
        <w:outlineLvl w:val="1"/>
        <w:rPr>
          <w:rFonts w:eastAsia="Times New Roman" w:cs="Times New Roman"/>
          <w:b/>
          <w:bCs/>
          <w:szCs w:val="24"/>
          <w:lang w:val="bg-BG"/>
        </w:rPr>
      </w:pPr>
    </w:p>
    <w:p w14:paraId="42FFE74B" w14:textId="6E58FB0A" w:rsidR="000A52E4" w:rsidRDefault="000A52E4" w:rsidP="00FD1FA6">
      <w:pPr>
        <w:spacing w:before="100" w:beforeAutospacing="1" w:after="100" w:afterAutospacing="1" w:line="240" w:lineRule="auto"/>
        <w:jc w:val="both"/>
        <w:outlineLvl w:val="1"/>
        <w:rPr>
          <w:rFonts w:eastAsia="Times New Roman" w:cs="Times New Roman"/>
          <w:b/>
          <w:bCs/>
          <w:szCs w:val="24"/>
          <w:lang w:val="bg-BG"/>
        </w:rPr>
      </w:pPr>
    </w:p>
    <w:p w14:paraId="66A3A3D2" w14:textId="77777777" w:rsidR="000A52E4" w:rsidRDefault="000A52E4" w:rsidP="00FD1FA6">
      <w:pPr>
        <w:spacing w:before="100" w:beforeAutospacing="1" w:after="100" w:afterAutospacing="1" w:line="240" w:lineRule="auto"/>
        <w:jc w:val="both"/>
        <w:outlineLvl w:val="1"/>
        <w:rPr>
          <w:rFonts w:eastAsia="Times New Roman" w:cs="Times New Roman"/>
          <w:b/>
          <w:bCs/>
          <w:szCs w:val="24"/>
          <w:lang w:val="bg-BG"/>
        </w:rPr>
      </w:pPr>
    </w:p>
    <w:p w14:paraId="78FE6982"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6E949A31"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6594F209"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54C3062D"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5B8F59C6"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69AD9CF3" w14:textId="77777777" w:rsidR="0059670A" w:rsidRDefault="0059670A" w:rsidP="00FD1FA6">
      <w:pPr>
        <w:spacing w:before="100" w:beforeAutospacing="1" w:after="100" w:afterAutospacing="1" w:line="240" w:lineRule="auto"/>
        <w:jc w:val="both"/>
        <w:outlineLvl w:val="1"/>
        <w:rPr>
          <w:rFonts w:eastAsia="Times New Roman" w:cs="Times New Roman"/>
          <w:b/>
          <w:bCs/>
          <w:szCs w:val="24"/>
          <w:lang w:val="bg-BG"/>
        </w:rPr>
      </w:pPr>
    </w:p>
    <w:p w14:paraId="5A0B2CB6" w14:textId="0399058A" w:rsidR="0059670A" w:rsidRPr="0059670A" w:rsidRDefault="0059670A" w:rsidP="0059670A">
      <w:pPr>
        <w:pStyle w:val="Heading1"/>
        <w:rPr>
          <w:lang w:val="bg-BG"/>
        </w:rPr>
      </w:pPr>
      <w:r w:rsidRPr="0059670A">
        <w:rPr>
          <w:lang w:val="bg-BG"/>
        </w:rPr>
        <w:lastRenderedPageBreak/>
        <w:t>Списък на използваните съкращения</w:t>
      </w:r>
    </w:p>
    <w:tbl>
      <w:tblPr>
        <w:tblStyle w:val="TableGrid21"/>
        <w:tblW w:w="0" w:type="auto"/>
        <w:tblBorders>
          <w:top w:val="none" w:sz="0" w:space="0" w:color="auto"/>
          <w:left w:val="none" w:sz="0" w:space="0" w:color="auto"/>
          <w:bottom w:val="none" w:sz="0" w:space="0" w:color="auto"/>
          <w:right w:val="none" w:sz="0" w:space="0" w:color="auto"/>
          <w:insideH w:val="single" w:sz="12" w:space="0" w:color="1F497D"/>
          <w:insideV w:val="single" w:sz="12" w:space="0" w:color="1F497D"/>
        </w:tblBorders>
        <w:tblLook w:val="04A0" w:firstRow="1" w:lastRow="0" w:firstColumn="1" w:lastColumn="0" w:noHBand="0" w:noVBand="1"/>
      </w:tblPr>
      <w:tblGrid>
        <w:gridCol w:w="1540"/>
        <w:gridCol w:w="7532"/>
      </w:tblGrid>
      <w:tr w:rsidR="0059670A" w:rsidRPr="0059670A" w14:paraId="46EFC43B" w14:textId="77777777" w:rsidTr="00A27B9F">
        <w:tc>
          <w:tcPr>
            <w:tcW w:w="1540" w:type="dxa"/>
          </w:tcPr>
          <w:p w14:paraId="79BF1895" w14:textId="77777777" w:rsidR="0059670A" w:rsidRPr="0059670A" w:rsidRDefault="0059670A" w:rsidP="0059670A">
            <w:pPr>
              <w:spacing w:line="360" w:lineRule="auto"/>
              <w:rPr>
                <w:rFonts w:eastAsia="Calibri" w:cs="Times New Roman"/>
                <w:sz w:val="22"/>
                <w:lang w:val="bg-BG"/>
              </w:rPr>
            </w:pPr>
            <w:r w:rsidRPr="0059670A">
              <w:rPr>
                <w:rFonts w:eastAsia="Times New Roman" w:cs="Times New Roman"/>
                <w:sz w:val="22"/>
                <w:lang w:val="bg-BG" w:eastAsia="bg-BG"/>
              </w:rPr>
              <w:t>АГКК</w:t>
            </w:r>
          </w:p>
        </w:tc>
        <w:tc>
          <w:tcPr>
            <w:tcW w:w="7532" w:type="dxa"/>
          </w:tcPr>
          <w:p w14:paraId="331EFD7F" w14:textId="77777777" w:rsidR="0059670A" w:rsidRPr="0059670A" w:rsidRDefault="0059670A" w:rsidP="0059670A">
            <w:pPr>
              <w:spacing w:line="360" w:lineRule="auto"/>
              <w:rPr>
                <w:rFonts w:eastAsia="Calibri" w:cs="Times New Roman"/>
                <w:sz w:val="22"/>
                <w:lang w:val="bg-BG"/>
              </w:rPr>
            </w:pPr>
            <w:r w:rsidRPr="0059670A">
              <w:rPr>
                <w:rFonts w:eastAsia="Times New Roman" w:cs="Times New Roman"/>
                <w:sz w:val="22"/>
                <w:lang w:val="bg-BG" w:eastAsia="bg-BG"/>
              </w:rPr>
              <w:t>Агенция по геодезия, картография и кадастър</w:t>
            </w:r>
          </w:p>
        </w:tc>
      </w:tr>
      <w:tr w:rsidR="0059670A" w:rsidRPr="0059670A" w14:paraId="6AA9504E" w14:textId="77777777" w:rsidTr="00A27B9F">
        <w:tc>
          <w:tcPr>
            <w:tcW w:w="1540" w:type="dxa"/>
          </w:tcPr>
          <w:p w14:paraId="7747F621"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АУЕР</w:t>
            </w:r>
          </w:p>
        </w:tc>
        <w:tc>
          <w:tcPr>
            <w:tcW w:w="7532" w:type="dxa"/>
          </w:tcPr>
          <w:p w14:paraId="1EBA4301"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Агенция за устойчиво енергийно развитие </w:t>
            </w:r>
          </w:p>
        </w:tc>
      </w:tr>
      <w:tr w:rsidR="0059670A" w:rsidRPr="0059670A" w14:paraId="580BBD09" w14:textId="77777777" w:rsidTr="00A27B9F">
        <w:tc>
          <w:tcPr>
            <w:tcW w:w="1540" w:type="dxa"/>
          </w:tcPr>
          <w:p w14:paraId="7C7AC375"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БВП</w:t>
            </w:r>
          </w:p>
        </w:tc>
        <w:tc>
          <w:tcPr>
            <w:tcW w:w="7532" w:type="dxa"/>
          </w:tcPr>
          <w:p w14:paraId="0CA95AC4"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Брутен вътрешен продукт </w:t>
            </w:r>
          </w:p>
        </w:tc>
      </w:tr>
      <w:tr w:rsidR="0059670A" w:rsidRPr="0059670A" w14:paraId="33120E51" w14:textId="77777777" w:rsidTr="00A27B9F">
        <w:tc>
          <w:tcPr>
            <w:tcW w:w="1540" w:type="dxa"/>
          </w:tcPr>
          <w:p w14:paraId="555FE613"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БГВ</w:t>
            </w:r>
          </w:p>
        </w:tc>
        <w:tc>
          <w:tcPr>
            <w:tcW w:w="7532" w:type="dxa"/>
          </w:tcPr>
          <w:p w14:paraId="5B0A3EA4"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Битова гореща вода </w:t>
            </w:r>
          </w:p>
        </w:tc>
      </w:tr>
      <w:tr w:rsidR="0059670A" w:rsidRPr="0059670A" w14:paraId="20E80D7C" w14:textId="77777777" w:rsidTr="00A27B9F">
        <w:tc>
          <w:tcPr>
            <w:tcW w:w="1540" w:type="dxa"/>
          </w:tcPr>
          <w:p w14:paraId="56BC131D"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БНБ</w:t>
            </w:r>
          </w:p>
        </w:tc>
        <w:tc>
          <w:tcPr>
            <w:tcW w:w="7532" w:type="dxa"/>
          </w:tcPr>
          <w:p w14:paraId="083629A3"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Българската народна банка </w:t>
            </w:r>
          </w:p>
        </w:tc>
      </w:tr>
      <w:tr w:rsidR="0059670A" w:rsidRPr="0059670A" w14:paraId="130B3526" w14:textId="77777777" w:rsidTr="00A27B9F">
        <w:tc>
          <w:tcPr>
            <w:tcW w:w="1540" w:type="dxa"/>
          </w:tcPr>
          <w:p w14:paraId="015A1B87"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БФП</w:t>
            </w:r>
          </w:p>
        </w:tc>
        <w:tc>
          <w:tcPr>
            <w:tcW w:w="7532" w:type="dxa"/>
          </w:tcPr>
          <w:p w14:paraId="78DEB679"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Безвъзмездна финансова помощ </w:t>
            </w:r>
          </w:p>
        </w:tc>
      </w:tr>
      <w:tr w:rsidR="0059670A" w:rsidRPr="0059670A" w14:paraId="3EDA29C2" w14:textId="77777777" w:rsidTr="00A27B9F">
        <w:tc>
          <w:tcPr>
            <w:tcW w:w="1540" w:type="dxa"/>
          </w:tcPr>
          <w:p w14:paraId="3002B51E"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ВЕИ</w:t>
            </w:r>
          </w:p>
        </w:tc>
        <w:tc>
          <w:tcPr>
            <w:tcW w:w="7532" w:type="dxa"/>
          </w:tcPr>
          <w:p w14:paraId="72EB1038"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Възобновяеми енергийни източници</w:t>
            </w:r>
          </w:p>
        </w:tc>
      </w:tr>
      <w:tr w:rsidR="0059670A" w:rsidRPr="0059670A" w14:paraId="7C3AEF06" w14:textId="77777777" w:rsidTr="00A27B9F">
        <w:tc>
          <w:tcPr>
            <w:tcW w:w="1540" w:type="dxa"/>
          </w:tcPr>
          <w:p w14:paraId="5280C33A"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ГПР</w:t>
            </w:r>
          </w:p>
        </w:tc>
        <w:tc>
          <w:tcPr>
            <w:tcW w:w="7532" w:type="dxa"/>
          </w:tcPr>
          <w:p w14:paraId="30CE7A6A"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Годишен процент на разходите</w:t>
            </w:r>
          </w:p>
        </w:tc>
      </w:tr>
      <w:tr w:rsidR="0059670A" w:rsidRPr="0059670A" w14:paraId="034A16A9" w14:textId="77777777" w:rsidTr="00A27B9F">
        <w:tc>
          <w:tcPr>
            <w:tcW w:w="1540" w:type="dxa"/>
          </w:tcPr>
          <w:p w14:paraId="7BF0B40F"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ДЕХС</w:t>
            </w:r>
          </w:p>
        </w:tc>
        <w:tc>
          <w:tcPr>
            <w:tcW w:w="7532" w:type="dxa"/>
          </w:tcPr>
          <w:p w14:paraId="5C389F74" w14:textId="77777777" w:rsidR="0059670A" w:rsidRPr="0059670A" w:rsidRDefault="0059670A" w:rsidP="0059670A">
            <w:pPr>
              <w:spacing w:line="360" w:lineRule="auto"/>
              <w:jc w:val="both"/>
              <w:rPr>
                <w:rFonts w:eastAsia="Calibri" w:cs="Times New Roman"/>
                <w:sz w:val="22"/>
                <w:lang w:val="bg-BG"/>
              </w:rPr>
            </w:pPr>
            <w:r w:rsidRPr="0059670A">
              <w:rPr>
                <w:rFonts w:eastAsia="Calibri" w:cs="Times New Roman"/>
                <w:sz w:val="22"/>
                <w:lang w:val="bg-BG"/>
              </w:rPr>
              <w:t>Директива относно енергийните характеристики на сградите</w:t>
            </w:r>
          </w:p>
        </w:tc>
      </w:tr>
      <w:tr w:rsidR="0059670A" w:rsidRPr="0059670A" w14:paraId="34E76595" w14:textId="77777777" w:rsidTr="00A27B9F">
        <w:tc>
          <w:tcPr>
            <w:tcW w:w="1540" w:type="dxa"/>
          </w:tcPr>
          <w:p w14:paraId="4C540BFD"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ДНСПОНСФ</w:t>
            </w:r>
          </w:p>
        </w:tc>
        <w:tc>
          <w:tcPr>
            <w:tcW w:w="7532" w:type="dxa"/>
          </w:tcPr>
          <w:p w14:paraId="4F5CC466" w14:textId="77777777" w:rsidR="0059670A" w:rsidRPr="0059670A" w:rsidRDefault="0059670A" w:rsidP="0059670A">
            <w:pPr>
              <w:spacing w:line="360" w:lineRule="auto"/>
              <w:jc w:val="both"/>
              <w:rPr>
                <w:rFonts w:eastAsia="Calibri" w:cs="Times New Roman"/>
                <w:sz w:val="22"/>
                <w:lang w:val="bg-BG"/>
              </w:rPr>
            </w:pPr>
            <w:r w:rsidRPr="0059670A">
              <w:rPr>
                <w:rFonts w:eastAsia="Calibri" w:cs="Times New Roman"/>
                <w:sz w:val="22"/>
                <w:lang w:val="bg-BG"/>
              </w:rPr>
              <w:t>Дългосрочна национална стратегия за подпомагане обновяването на националния сграден фонд от жилищни и нежилищни сгради до 2050 г.</w:t>
            </w:r>
          </w:p>
        </w:tc>
      </w:tr>
      <w:tr w:rsidR="0059670A" w:rsidRPr="0059670A" w14:paraId="29E392C1" w14:textId="77777777" w:rsidTr="00A27B9F">
        <w:tc>
          <w:tcPr>
            <w:tcW w:w="1540" w:type="dxa"/>
          </w:tcPr>
          <w:p w14:paraId="3F6D46FA"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ЕЕ</w:t>
            </w:r>
          </w:p>
        </w:tc>
        <w:tc>
          <w:tcPr>
            <w:tcW w:w="7532" w:type="dxa"/>
          </w:tcPr>
          <w:p w14:paraId="5E48CCBF"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Енергийна ефективност </w:t>
            </w:r>
          </w:p>
        </w:tc>
      </w:tr>
      <w:tr w:rsidR="0059670A" w:rsidRPr="0059670A" w14:paraId="3E2C1F0B" w14:textId="77777777" w:rsidTr="00A27B9F">
        <w:tc>
          <w:tcPr>
            <w:tcW w:w="1540" w:type="dxa"/>
          </w:tcPr>
          <w:p w14:paraId="1A81C803"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ЕПК</w:t>
            </w:r>
          </w:p>
        </w:tc>
        <w:tc>
          <w:tcPr>
            <w:tcW w:w="7532" w:type="dxa"/>
          </w:tcPr>
          <w:p w14:paraId="7FE2E304" w14:textId="77777777" w:rsidR="0059670A" w:rsidRPr="0059670A" w:rsidRDefault="0059670A" w:rsidP="0059670A">
            <w:pPr>
              <w:spacing w:line="360" w:lineRule="auto"/>
              <w:rPr>
                <w:rFonts w:eastAsia="Calibri" w:cs="Times New Roman"/>
                <w:sz w:val="22"/>
                <w:lang w:val="bg-BG"/>
              </w:rPr>
            </w:pPr>
            <w:proofErr w:type="spellStart"/>
            <w:r w:rsidRPr="0059670A">
              <w:rPr>
                <w:rFonts w:eastAsia="Calibri" w:cs="Times New Roman"/>
                <w:sz w:val="22"/>
                <w:lang w:val="bg-BG"/>
              </w:rPr>
              <w:t>Едроплощен</w:t>
            </w:r>
            <w:proofErr w:type="spellEnd"/>
            <w:r w:rsidRPr="0059670A">
              <w:rPr>
                <w:rFonts w:eastAsia="Calibri" w:cs="Times New Roman"/>
                <w:sz w:val="22"/>
                <w:lang w:val="bg-BG"/>
              </w:rPr>
              <w:t xml:space="preserve"> кофраж</w:t>
            </w:r>
          </w:p>
        </w:tc>
      </w:tr>
      <w:tr w:rsidR="0059670A" w:rsidRPr="0059670A" w14:paraId="7C075FB3" w14:textId="77777777" w:rsidTr="00A27B9F">
        <w:tc>
          <w:tcPr>
            <w:tcW w:w="1540" w:type="dxa"/>
          </w:tcPr>
          <w:p w14:paraId="3DAFB5F3"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ЕСМ</w:t>
            </w:r>
          </w:p>
        </w:tc>
        <w:tc>
          <w:tcPr>
            <w:tcW w:w="7532" w:type="dxa"/>
          </w:tcPr>
          <w:p w14:paraId="18E3F3A9"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Енергоспестяващи мерки </w:t>
            </w:r>
          </w:p>
        </w:tc>
      </w:tr>
      <w:tr w:rsidR="0059670A" w:rsidRPr="0059670A" w14:paraId="2AE78937" w14:textId="77777777" w:rsidTr="00A27B9F">
        <w:tc>
          <w:tcPr>
            <w:tcW w:w="1540" w:type="dxa"/>
          </w:tcPr>
          <w:p w14:paraId="41EF56E7"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ЗУЕС</w:t>
            </w:r>
          </w:p>
        </w:tc>
        <w:tc>
          <w:tcPr>
            <w:tcW w:w="7532" w:type="dxa"/>
          </w:tcPr>
          <w:p w14:paraId="15E5C5F2"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Закона за управление на етажната собственост</w:t>
            </w:r>
          </w:p>
        </w:tc>
      </w:tr>
      <w:tr w:rsidR="0059670A" w:rsidRPr="0059670A" w14:paraId="4DF477C8" w14:textId="77777777" w:rsidTr="00A27B9F">
        <w:tc>
          <w:tcPr>
            <w:tcW w:w="1540" w:type="dxa"/>
          </w:tcPr>
          <w:p w14:paraId="0F87D495"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МЖС</w:t>
            </w:r>
          </w:p>
        </w:tc>
        <w:tc>
          <w:tcPr>
            <w:tcW w:w="7532" w:type="dxa"/>
          </w:tcPr>
          <w:p w14:paraId="68F3042F"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Многофамилни жилищни сгради </w:t>
            </w:r>
          </w:p>
        </w:tc>
      </w:tr>
      <w:tr w:rsidR="0059670A" w:rsidRPr="0059670A" w14:paraId="5118DBB6" w14:textId="77777777" w:rsidTr="00A27B9F">
        <w:tc>
          <w:tcPr>
            <w:tcW w:w="1540" w:type="dxa"/>
          </w:tcPr>
          <w:p w14:paraId="36A42566"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МРРБ</w:t>
            </w:r>
          </w:p>
        </w:tc>
        <w:tc>
          <w:tcPr>
            <w:tcW w:w="7532" w:type="dxa"/>
          </w:tcPr>
          <w:p w14:paraId="523B898E"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Министерство на регионалното развитие и благоустройството </w:t>
            </w:r>
          </w:p>
        </w:tc>
      </w:tr>
      <w:tr w:rsidR="0059670A" w:rsidRPr="0059670A" w14:paraId="0FE516BD" w14:textId="77777777" w:rsidTr="00A27B9F">
        <w:tc>
          <w:tcPr>
            <w:tcW w:w="1540" w:type="dxa"/>
          </w:tcPr>
          <w:p w14:paraId="41B1A7C3"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НПВУ</w:t>
            </w:r>
          </w:p>
        </w:tc>
        <w:tc>
          <w:tcPr>
            <w:tcW w:w="7532" w:type="dxa"/>
          </w:tcPr>
          <w:p w14:paraId="577DCB17"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Национален план за възстановяване и устойчивост </w:t>
            </w:r>
          </w:p>
        </w:tc>
      </w:tr>
      <w:tr w:rsidR="0059670A" w:rsidRPr="0059670A" w14:paraId="2483C2CE" w14:textId="77777777" w:rsidTr="00A27B9F">
        <w:tc>
          <w:tcPr>
            <w:tcW w:w="1540" w:type="dxa"/>
          </w:tcPr>
          <w:p w14:paraId="62A5FAEB"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НПЕЕМЖС </w:t>
            </w:r>
          </w:p>
        </w:tc>
        <w:tc>
          <w:tcPr>
            <w:tcW w:w="7532" w:type="dxa"/>
          </w:tcPr>
          <w:p w14:paraId="1497F44C" w14:textId="77777777" w:rsidR="0059670A" w:rsidRPr="0059670A" w:rsidRDefault="0059670A" w:rsidP="0059670A">
            <w:pPr>
              <w:spacing w:line="360" w:lineRule="auto"/>
              <w:jc w:val="both"/>
              <w:rPr>
                <w:rFonts w:eastAsia="Calibri" w:cs="Times New Roman"/>
                <w:sz w:val="22"/>
                <w:lang w:val="bg-BG"/>
              </w:rPr>
            </w:pPr>
            <w:r w:rsidRPr="0059670A">
              <w:rPr>
                <w:rFonts w:eastAsia="Calibri" w:cs="Times New Roman"/>
                <w:sz w:val="22"/>
                <w:lang w:val="bg-BG"/>
              </w:rPr>
              <w:t>Национална програма за енергийна ефективност на многофамилни жилищни сгради</w:t>
            </w:r>
          </w:p>
        </w:tc>
      </w:tr>
      <w:tr w:rsidR="0059670A" w:rsidRPr="0059670A" w14:paraId="05BF57EB" w14:textId="77777777" w:rsidTr="00A27B9F">
        <w:tc>
          <w:tcPr>
            <w:tcW w:w="1540" w:type="dxa"/>
          </w:tcPr>
          <w:p w14:paraId="6DD51F57"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НСИ</w:t>
            </w:r>
          </w:p>
        </w:tc>
        <w:tc>
          <w:tcPr>
            <w:tcW w:w="7532" w:type="dxa"/>
          </w:tcPr>
          <w:p w14:paraId="242049E3"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Националния статистически институт</w:t>
            </w:r>
          </w:p>
        </w:tc>
      </w:tr>
      <w:tr w:rsidR="0059670A" w:rsidRPr="0059670A" w14:paraId="04797D4F" w14:textId="77777777" w:rsidTr="00A27B9F">
        <w:tc>
          <w:tcPr>
            <w:tcW w:w="1540" w:type="dxa"/>
          </w:tcPr>
          <w:p w14:paraId="189C8CAB"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НТООД</w:t>
            </w:r>
          </w:p>
        </w:tc>
        <w:tc>
          <w:tcPr>
            <w:tcW w:w="7532" w:type="dxa"/>
          </w:tcPr>
          <w:p w14:paraId="48CD3BBC"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Нетърговски организации, обслужващи домакинствата</w:t>
            </w:r>
          </w:p>
        </w:tc>
      </w:tr>
      <w:tr w:rsidR="0059670A" w:rsidRPr="0059670A" w14:paraId="67670362" w14:textId="77777777" w:rsidTr="00A27B9F">
        <w:tc>
          <w:tcPr>
            <w:tcW w:w="1540" w:type="dxa"/>
          </w:tcPr>
          <w:p w14:paraId="43C8E34A" w14:textId="77777777" w:rsidR="0059670A" w:rsidRPr="0059670A" w:rsidRDefault="0059670A" w:rsidP="0059670A">
            <w:pPr>
              <w:spacing w:line="360" w:lineRule="auto"/>
              <w:rPr>
                <w:rFonts w:eastAsia="Calibri" w:cs="Times New Roman"/>
                <w:sz w:val="22"/>
                <w:lang w:val="bg-BG"/>
              </w:rPr>
            </w:pPr>
            <w:r w:rsidRPr="0059670A">
              <w:rPr>
                <w:rFonts w:eastAsia="Calibri" w:cs="Calibri"/>
                <w:sz w:val="22"/>
                <w:lang w:val="bg-BG"/>
              </w:rPr>
              <w:t>ПРООН</w:t>
            </w:r>
          </w:p>
        </w:tc>
        <w:tc>
          <w:tcPr>
            <w:tcW w:w="7532" w:type="dxa"/>
          </w:tcPr>
          <w:p w14:paraId="0CC47271"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Програма на ООН за развитие</w:t>
            </w:r>
          </w:p>
        </w:tc>
      </w:tr>
      <w:tr w:rsidR="0059670A" w:rsidRPr="0059670A" w14:paraId="71E0B992" w14:textId="77777777" w:rsidTr="00A27B9F">
        <w:tc>
          <w:tcPr>
            <w:tcW w:w="1540" w:type="dxa"/>
          </w:tcPr>
          <w:p w14:paraId="75F9B87D" w14:textId="77777777" w:rsidR="0059670A" w:rsidRPr="0059670A" w:rsidRDefault="0059670A" w:rsidP="0059670A">
            <w:pPr>
              <w:spacing w:line="360" w:lineRule="auto"/>
              <w:rPr>
                <w:rFonts w:eastAsia="Calibri" w:cs="Calibri"/>
                <w:sz w:val="22"/>
                <w:lang w:val="bg-BG"/>
              </w:rPr>
            </w:pPr>
            <w:r w:rsidRPr="0059670A">
              <w:rPr>
                <w:rFonts w:eastAsia="Calibri" w:cs="Calibri"/>
                <w:sz w:val="22"/>
                <w:lang w:val="bg-BG"/>
              </w:rPr>
              <w:t>РЗП</w:t>
            </w:r>
          </w:p>
        </w:tc>
        <w:tc>
          <w:tcPr>
            <w:tcW w:w="7532" w:type="dxa"/>
          </w:tcPr>
          <w:p w14:paraId="08279736" w14:textId="77777777" w:rsidR="0059670A" w:rsidRPr="0059670A" w:rsidRDefault="0059670A" w:rsidP="0059670A">
            <w:pPr>
              <w:spacing w:line="360" w:lineRule="auto"/>
              <w:rPr>
                <w:rFonts w:eastAsia="Calibri" w:cs="Calibri"/>
                <w:sz w:val="22"/>
                <w:lang w:val="bg-BG"/>
              </w:rPr>
            </w:pPr>
            <w:r w:rsidRPr="0059670A">
              <w:rPr>
                <w:rFonts w:eastAsia="Calibri" w:cs="Calibri"/>
                <w:sz w:val="22"/>
                <w:lang w:val="bg-BG"/>
              </w:rPr>
              <w:t xml:space="preserve">Разгъната застроена площ    </w:t>
            </w:r>
          </w:p>
        </w:tc>
      </w:tr>
      <w:tr w:rsidR="0059670A" w:rsidRPr="0059670A" w14:paraId="70A26E87" w14:textId="77777777" w:rsidTr="00A27B9F">
        <w:tc>
          <w:tcPr>
            <w:tcW w:w="1540" w:type="dxa"/>
          </w:tcPr>
          <w:p w14:paraId="553C16C4"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СМР</w:t>
            </w:r>
          </w:p>
        </w:tc>
        <w:tc>
          <w:tcPr>
            <w:tcW w:w="7532" w:type="dxa"/>
          </w:tcPr>
          <w:p w14:paraId="7D423970" w14:textId="77777777" w:rsidR="0059670A" w:rsidRPr="0059670A" w:rsidRDefault="0059670A" w:rsidP="0059670A">
            <w:pPr>
              <w:spacing w:line="360" w:lineRule="auto"/>
              <w:rPr>
                <w:rFonts w:eastAsia="Calibri" w:cs="Times New Roman"/>
                <w:sz w:val="22"/>
                <w:lang w:val="bg-BG"/>
              </w:rPr>
            </w:pPr>
            <w:r w:rsidRPr="0059670A">
              <w:rPr>
                <w:rFonts w:eastAsia="Calibri" w:cs="Times New Roman"/>
                <w:sz w:val="22"/>
                <w:lang w:val="bg-BG"/>
              </w:rPr>
              <w:t xml:space="preserve">Строително - ремонтни дейности </w:t>
            </w:r>
          </w:p>
        </w:tc>
      </w:tr>
      <w:tr w:rsidR="0059670A" w:rsidRPr="0059670A" w14:paraId="27134B24" w14:textId="77777777" w:rsidTr="00A27B9F">
        <w:tc>
          <w:tcPr>
            <w:tcW w:w="1540" w:type="dxa"/>
            <w:tcBorders>
              <w:top w:val="single" w:sz="12" w:space="0" w:color="1F497D"/>
              <w:bottom w:val="nil"/>
              <w:right w:val="nil"/>
            </w:tcBorders>
          </w:tcPr>
          <w:p w14:paraId="2277202A" w14:textId="77777777" w:rsidR="0059670A" w:rsidRPr="0059670A" w:rsidRDefault="0059670A" w:rsidP="0059670A">
            <w:pPr>
              <w:spacing w:line="360" w:lineRule="auto"/>
              <w:rPr>
                <w:rFonts w:eastAsia="Calibri" w:cs="Times New Roman"/>
                <w:sz w:val="22"/>
                <w:lang w:val="bg-BG"/>
              </w:rPr>
            </w:pPr>
          </w:p>
        </w:tc>
        <w:tc>
          <w:tcPr>
            <w:tcW w:w="7532" w:type="dxa"/>
            <w:tcBorders>
              <w:top w:val="single" w:sz="12" w:space="0" w:color="1F497D"/>
              <w:left w:val="nil"/>
              <w:bottom w:val="nil"/>
            </w:tcBorders>
          </w:tcPr>
          <w:p w14:paraId="4F19AD1F" w14:textId="77777777" w:rsidR="0059670A" w:rsidRPr="0059670A" w:rsidRDefault="0059670A" w:rsidP="0059670A">
            <w:pPr>
              <w:spacing w:line="360" w:lineRule="auto"/>
              <w:rPr>
                <w:rFonts w:eastAsia="Calibri" w:cs="Times New Roman"/>
                <w:sz w:val="22"/>
                <w:lang w:val="bg-BG"/>
              </w:rPr>
            </w:pPr>
          </w:p>
        </w:tc>
      </w:tr>
    </w:tbl>
    <w:p w14:paraId="1D6E2D43" w14:textId="77777777" w:rsidR="0059670A" w:rsidRPr="006F3533" w:rsidRDefault="0059670A" w:rsidP="00FD1FA6">
      <w:pPr>
        <w:spacing w:before="100" w:beforeAutospacing="1" w:after="100" w:afterAutospacing="1" w:line="240" w:lineRule="auto"/>
        <w:jc w:val="both"/>
        <w:outlineLvl w:val="1"/>
        <w:rPr>
          <w:rFonts w:eastAsia="Times New Roman" w:cs="Times New Roman"/>
          <w:b/>
          <w:bCs/>
          <w:szCs w:val="24"/>
          <w:lang w:val="bg-BG"/>
        </w:rPr>
        <w:sectPr w:rsidR="0059670A" w:rsidRPr="006F3533" w:rsidSect="00B572B1">
          <w:footerReference w:type="default" r:id="rId11"/>
          <w:pgSz w:w="11906" w:h="16838"/>
          <w:pgMar w:top="1417" w:right="1417" w:bottom="1417" w:left="1417" w:header="708" w:footer="708" w:gutter="0"/>
          <w:cols w:space="708"/>
          <w:docGrid w:linePitch="360"/>
        </w:sectPr>
      </w:pPr>
    </w:p>
    <w:p w14:paraId="78E6598F" w14:textId="77777777" w:rsidR="00BB7EA0" w:rsidRPr="006F3533" w:rsidRDefault="00BB7EA0" w:rsidP="00BB7EA0">
      <w:pPr>
        <w:pStyle w:val="Heading1"/>
        <w:rPr>
          <w:lang w:val="bg-BG"/>
        </w:rPr>
      </w:pPr>
      <w:bookmarkStart w:id="2" w:name="_Toc217888752"/>
      <w:r w:rsidRPr="006F3533">
        <w:rPr>
          <w:lang w:val="bg-BG"/>
        </w:rPr>
        <w:lastRenderedPageBreak/>
        <w:t>Въведение</w:t>
      </w:r>
      <w:bookmarkEnd w:id="2"/>
    </w:p>
    <w:p w14:paraId="525F2B90" w14:textId="6F566E12" w:rsidR="005D16C2" w:rsidRPr="006F3533" w:rsidRDefault="005D16C2" w:rsidP="005D16C2">
      <w:pPr>
        <w:jc w:val="both"/>
        <w:rPr>
          <w:lang w:val="bg-BG"/>
        </w:rPr>
      </w:pPr>
      <w:r w:rsidRPr="006F3533">
        <w:rPr>
          <w:lang w:val="bg-BG"/>
        </w:rPr>
        <w:t xml:space="preserve">Настоящият документ представлява </w:t>
      </w:r>
      <w:r w:rsidRPr="006F3533">
        <w:rPr>
          <w:b/>
          <w:bCs/>
          <w:lang w:val="bg-BG"/>
        </w:rPr>
        <w:t xml:space="preserve">предварителна версия на </w:t>
      </w:r>
      <w:r w:rsidR="00713C1A" w:rsidRPr="00713C1A">
        <w:rPr>
          <w:b/>
          <w:bCs/>
          <w:lang w:val="bg-BG"/>
        </w:rPr>
        <w:t>Националния план за саниране на жилищните и нежилищните сгради в Република България</w:t>
      </w:r>
      <w:r w:rsidRPr="006F3533">
        <w:rPr>
          <w:lang w:val="bg-BG"/>
        </w:rPr>
        <w:t xml:space="preserve">, изготвена в изпълнение на изискванията на </w:t>
      </w:r>
      <w:r w:rsidRPr="006F3533">
        <w:rPr>
          <w:b/>
          <w:bCs/>
          <w:lang w:val="bg-BG"/>
        </w:rPr>
        <w:t>член 3 от Директива (ЕС) 2024/1275 относно енергийните характеристики на сградите</w:t>
      </w:r>
      <w:r w:rsidRPr="006F3533">
        <w:rPr>
          <w:lang w:val="bg-BG"/>
        </w:rPr>
        <w:t>. Планът има за цел да постави стратегическата</w:t>
      </w:r>
      <w:r w:rsidR="00FF28DE" w:rsidRPr="006F3533">
        <w:rPr>
          <w:lang w:val="bg-BG"/>
        </w:rPr>
        <w:t>,</w:t>
      </w:r>
      <w:r w:rsidRPr="006F3533">
        <w:rPr>
          <w:lang w:val="bg-BG"/>
        </w:rPr>
        <w:t xml:space="preserve"> аналитична</w:t>
      </w:r>
      <w:r w:rsidR="00FF28DE" w:rsidRPr="006F3533">
        <w:rPr>
          <w:lang w:val="bg-BG"/>
        </w:rPr>
        <w:t>, оперативна и финансова</w:t>
      </w:r>
      <w:r w:rsidRPr="006F3533">
        <w:rPr>
          <w:lang w:val="bg-BG"/>
        </w:rPr>
        <w:t xml:space="preserve"> основа за поетапното обновяване на националния сграден фонд </w:t>
      </w:r>
      <w:r w:rsidR="00FF28DE" w:rsidRPr="006F3533">
        <w:rPr>
          <w:lang w:val="bg-BG"/>
        </w:rPr>
        <w:t>от публични и частни</w:t>
      </w:r>
      <w:r w:rsidRPr="006F3533">
        <w:rPr>
          <w:lang w:val="bg-BG"/>
        </w:rPr>
        <w:t xml:space="preserve"> жилищ</w:t>
      </w:r>
      <w:r w:rsidR="00FF28DE" w:rsidRPr="006F3533">
        <w:rPr>
          <w:lang w:val="bg-BG"/>
        </w:rPr>
        <w:t>ни</w:t>
      </w:r>
      <w:r w:rsidRPr="006F3533">
        <w:rPr>
          <w:lang w:val="bg-BG"/>
        </w:rPr>
        <w:t xml:space="preserve"> и нежилищ</w:t>
      </w:r>
      <w:r w:rsidR="00FF28DE" w:rsidRPr="006F3533">
        <w:rPr>
          <w:lang w:val="bg-BG"/>
        </w:rPr>
        <w:t>ни сгради</w:t>
      </w:r>
      <w:r w:rsidRPr="006F3533">
        <w:rPr>
          <w:lang w:val="bg-BG"/>
        </w:rPr>
        <w:t xml:space="preserve"> с хоризонт до 2050 г., в съответствие с </w:t>
      </w:r>
      <w:r w:rsidR="00FF28DE" w:rsidRPr="006F3533">
        <w:rPr>
          <w:lang w:val="bg-BG"/>
        </w:rPr>
        <w:t xml:space="preserve">общоевропейската </w:t>
      </w:r>
      <w:r w:rsidRPr="006F3533">
        <w:rPr>
          <w:lang w:val="bg-BG"/>
        </w:rPr>
        <w:t>цел за преобразуване на съществуващите сгради в сгради с нулеви емисии.</w:t>
      </w:r>
    </w:p>
    <w:p w14:paraId="2817061C" w14:textId="1944FB4C" w:rsidR="005D16C2" w:rsidRPr="006F3533" w:rsidRDefault="005D16C2" w:rsidP="005D16C2">
      <w:pPr>
        <w:jc w:val="both"/>
        <w:rPr>
          <w:lang w:val="bg-BG"/>
        </w:rPr>
      </w:pPr>
      <w:r w:rsidRPr="006F3533">
        <w:rPr>
          <w:lang w:val="bg-BG"/>
        </w:rPr>
        <w:t xml:space="preserve">Предварителният характер на настоящата версия отразява както поетапния подход, заложен в директивата, така и обективните ограничения, свързани с наличието и качеството на данните, развитието на институционалната рамка и текущото структуриране на ключови финансови инструменти. Документът следва образеца, установен в приложение II към директивата, и е разработен с цел максимално съответствие с изискванията на Европейската комисия, като същевременно създава основа за доразвиване и конкретизация в окончателната версия на плана, която предстои да бъде изготвена и представена в </w:t>
      </w:r>
      <w:r w:rsidR="00FF28DE" w:rsidRPr="006F3533">
        <w:rPr>
          <w:lang w:val="bg-BG"/>
        </w:rPr>
        <w:t>края на 2026-а година</w:t>
      </w:r>
      <w:r w:rsidRPr="006F3533">
        <w:rPr>
          <w:lang w:val="bg-BG"/>
        </w:rPr>
        <w:t>.</w:t>
      </w:r>
    </w:p>
    <w:p w14:paraId="16522F00" w14:textId="77777777" w:rsidR="005D16C2" w:rsidRPr="006F3533" w:rsidRDefault="005D16C2" w:rsidP="005D16C2">
      <w:pPr>
        <w:jc w:val="both"/>
        <w:rPr>
          <w:lang w:val="bg-BG"/>
        </w:rPr>
      </w:pPr>
      <w:r w:rsidRPr="006F3533">
        <w:rPr>
          <w:lang w:val="bg-BG"/>
        </w:rPr>
        <w:t>Националният план за саниране обхваща всички задължителни елементи по член 3, параграф 2 от директивата. В него са включени:</w:t>
      </w:r>
    </w:p>
    <w:p w14:paraId="69E1C9C5" w14:textId="77777777" w:rsidR="005D16C2" w:rsidRPr="006F3533" w:rsidRDefault="005D16C2" w:rsidP="00551FED">
      <w:pPr>
        <w:numPr>
          <w:ilvl w:val="0"/>
          <w:numId w:val="104"/>
        </w:numPr>
        <w:jc w:val="both"/>
        <w:rPr>
          <w:lang w:val="bg-BG"/>
        </w:rPr>
      </w:pPr>
      <w:r w:rsidRPr="006F3533">
        <w:rPr>
          <w:lang w:val="bg-BG"/>
        </w:rPr>
        <w:t>аналитичен преглед на националния сграден фонд по типове сгради, периоди на строителство и функционално предназначение, основан на наличните статистически извадки и националната база данни за сертификатите за енергийните характеристики;</w:t>
      </w:r>
    </w:p>
    <w:p w14:paraId="1606824E" w14:textId="5BFFF474" w:rsidR="005D16C2" w:rsidRPr="006F3533" w:rsidRDefault="005D16C2" w:rsidP="00551FED">
      <w:pPr>
        <w:numPr>
          <w:ilvl w:val="0"/>
          <w:numId w:val="104"/>
        </w:numPr>
        <w:jc w:val="both"/>
        <w:rPr>
          <w:lang w:val="bg-BG"/>
        </w:rPr>
      </w:pPr>
      <w:r w:rsidRPr="006F3533">
        <w:rPr>
          <w:lang w:val="bg-BG"/>
        </w:rPr>
        <w:t xml:space="preserve">анализ на основните пазарни бариери и </w:t>
      </w:r>
      <w:r w:rsidR="00FF28DE" w:rsidRPr="006F3533">
        <w:rPr>
          <w:lang w:val="bg-BG"/>
        </w:rPr>
        <w:t>пропуски</w:t>
      </w:r>
      <w:r w:rsidRPr="006F3533">
        <w:rPr>
          <w:lang w:val="bg-BG"/>
        </w:rPr>
        <w:t>, които възпрепятстват мащабното и дълбочинно сградно обновяване;</w:t>
      </w:r>
    </w:p>
    <w:p w14:paraId="12C1A7DB" w14:textId="12B427D8" w:rsidR="005D16C2" w:rsidRPr="006F3533" w:rsidRDefault="005D16C2" w:rsidP="00551FED">
      <w:pPr>
        <w:numPr>
          <w:ilvl w:val="0"/>
          <w:numId w:val="104"/>
        </w:numPr>
        <w:jc w:val="both"/>
        <w:rPr>
          <w:lang w:val="bg-BG"/>
        </w:rPr>
      </w:pPr>
      <w:r w:rsidRPr="006F3533">
        <w:rPr>
          <w:lang w:val="bg-BG"/>
        </w:rPr>
        <w:t>пътна карта с национално определени цели и измерими индикатори за напредък до 2030 г., 2040 г. и 2050 г., включително по отношение на енергийното потребление</w:t>
      </w:r>
      <w:r w:rsidR="00FF28DE" w:rsidRPr="006F3533">
        <w:rPr>
          <w:lang w:val="bg-BG"/>
        </w:rPr>
        <w:t xml:space="preserve"> и </w:t>
      </w:r>
      <w:r w:rsidRPr="006F3533">
        <w:rPr>
          <w:lang w:val="bg-BG"/>
        </w:rPr>
        <w:t>емисиите на парникови газове;</w:t>
      </w:r>
    </w:p>
    <w:p w14:paraId="2A5134E8" w14:textId="77777777" w:rsidR="005D16C2" w:rsidRPr="006F3533" w:rsidRDefault="005D16C2" w:rsidP="00551FED">
      <w:pPr>
        <w:numPr>
          <w:ilvl w:val="0"/>
          <w:numId w:val="104"/>
        </w:numPr>
        <w:jc w:val="both"/>
        <w:rPr>
          <w:lang w:val="bg-BG"/>
        </w:rPr>
      </w:pPr>
      <w:r w:rsidRPr="006F3533">
        <w:rPr>
          <w:lang w:val="bg-BG"/>
        </w:rPr>
        <w:t>преглед на действащите и планираните политики и мерки, включително регулаторни, финансови и организационни инструменти;</w:t>
      </w:r>
    </w:p>
    <w:p w14:paraId="0867728A" w14:textId="77777777" w:rsidR="005D16C2" w:rsidRPr="006F3533" w:rsidRDefault="005D16C2" w:rsidP="00551FED">
      <w:pPr>
        <w:numPr>
          <w:ilvl w:val="0"/>
          <w:numId w:val="104"/>
        </w:numPr>
        <w:jc w:val="both"/>
        <w:rPr>
          <w:lang w:val="bg-BG"/>
        </w:rPr>
      </w:pPr>
      <w:r w:rsidRPr="006F3533">
        <w:rPr>
          <w:lang w:val="bg-BG"/>
        </w:rPr>
        <w:t>оценка на инвестиционните потребности за изпълнение на плана и на потенциалните източници на финансиране;</w:t>
      </w:r>
    </w:p>
    <w:p w14:paraId="03A1CBD6" w14:textId="77777777" w:rsidR="005D16C2" w:rsidRPr="006F3533" w:rsidRDefault="005D16C2" w:rsidP="00551FED">
      <w:pPr>
        <w:numPr>
          <w:ilvl w:val="0"/>
          <w:numId w:val="104"/>
        </w:numPr>
        <w:jc w:val="both"/>
        <w:rPr>
          <w:lang w:val="bg-BG"/>
        </w:rPr>
      </w:pPr>
      <w:r w:rsidRPr="006F3533">
        <w:rPr>
          <w:lang w:val="bg-BG"/>
        </w:rPr>
        <w:t>описание на ключовите реформи и хоризонтални механизми, необходими за ефективното прилагане на политиките.</w:t>
      </w:r>
    </w:p>
    <w:p w14:paraId="711590F4" w14:textId="40B84EAC" w:rsidR="005D16C2" w:rsidRPr="006F3533" w:rsidRDefault="005D16C2" w:rsidP="005D16C2">
      <w:pPr>
        <w:jc w:val="both"/>
        <w:rPr>
          <w:lang w:val="bg-BG"/>
        </w:rPr>
      </w:pPr>
      <w:r w:rsidRPr="006F3533">
        <w:rPr>
          <w:lang w:val="bg-BG"/>
        </w:rPr>
        <w:t xml:space="preserve">С оглед на съществените различия в характеристиките, режимите на собственост, инвестиционната логика и досегашните политики, </w:t>
      </w:r>
      <w:r w:rsidRPr="006F3533">
        <w:rPr>
          <w:b/>
          <w:bCs/>
          <w:lang w:val="bg-BG"/>
        </w:rPr>
        <w:t>жилищните и нежилищните сгради се разглеждат в плана като два ясно разграничени сегмента</w:t>
      </w:r>
      <w:r w:rsidRPr="006F3533">
        <w:rPr>
          <w:lang w:val="bg-BG"/>
        </w:rPr>
        <w:t xml:space="preserve">. Анализът показва, че при нежилищните сгради обновяването досега е било движено основно от публични програми и регулаторни задължения, но с ограничен обхват и неравномерен темп. При </w:t>
      </w:r>
      <w:r w:rsidRPr="006F3533">
        <w:rPr>
          <w:lang w:val="bg-BG"/>
        </w:rPr>
        <w:lastRenderedPageBreak/>
        <w:t>жилищните сгради доминира</w:t>
      </w:r>
      <w:r w:rsidR="00FF28DE" w:rsidRPr="006F3533">
        <w:rPr>
          <w:lang w:val="bg-BG"/>
        </w:rPr>
        <w:t>т</w:t>
      </w:r>
      <w:r w:rsidRPr="006F3533">
        <w:rPr>
          <w:lang w:val="bg-BG"/>
        </w:rPr>
        <w:t xml:space="preserve"> </w:t>
      </w:r>
      <w:proofErr w:type="spellStart"/>
      <w:r w:rsidRPr="006F3533">
        <w:rPr>
          <w:lang w:val="bg-BG"/>
        </w:rPr>
        <w:t>грантови</w:t>
      </w:r>
      <w:proofErr w:type="spellEnd"/>
      <w:r w:rsidRPr="006F3533">
        <w:rPr>
          <w:lang w:val="bg-BG"/>
        </w:rPr>
        <w:t xml:space="preserve"> схеми, които, въпреки социалната си значимост, не </w:t>
      </w:r>
      <w:r w:rsidR="00FF28DE" w:rsidRPr="006F3533">
        <w:rPr>
          <w:lang w:val="bg-BG"/>
        </w:rPr>
        <w:t>водят</w:t>
      </w:r>
      <w:r w:rsidRPr="006F3533">
        <w:rPr>
          <w:lang w:val="bg-BG"/>
        </w:rPr>
        <w:t xml:space="preserve"> до устойчиво мащабиране и системн</w:t>
      </w:r>
      <w:r w:rsidR="00FF28DE" w:rsidRPr="006F3533">
        <w:rPr>
          <w:lang w:val="bg-BG"/>
        </w:rPr>
        <w:t>а</w:t>
      </w:r>
      <w:r w:rsidRPr="006F3533">
        <w:rPr>
          <w:lang w:val="bg-BG"/>
        </w:rPr>
        <w:t xml:space="preserve"> </w:t>
      </w:r>
      <w:r w:rsidR="00FF28DE" w:rsidRPr="006F3533">
        <w:rPr>
          <w:lang w:val="bg-BG"/>
        </w:rPr>
        <w:t xml:space="preserve">промяна на енергийните характеристики на </w:t>
      </w:r>
      <w:r w:rsidR="00B117FC" w:rsidRPr="006F3533">
        <w:rPr>
          <w:lang w:val="bg-BG"/>
        </w:rPr>
        <w:t>жилищния сграден фонд</w:t>
      </w:r>
      <w:r w:rsidRPr="006F3533">
        <w:rPr>
          <w:lang w:val="bg-BG"/>
        </w:rPr>
        <w:t>. Това налага диференциран подход при формулирането на цели, политики и финансови инструменти за двата сегмента.</w:t>
      </w:r>
    </w:p>
    <w:p w14:paraId="6366D407" w14:textId="3FCA5A2E" w:rsidR="005D16C2" w:rsidRPr="006F3533" w:rsidRDefault="00B117FC" w:rsidP="005D16C2">
      <w:pPr>
        <w:jc w:val="both"/>
        <w:rPr>
          <w:lang w:val="bg-BG"/>
        </w:rPr>
      </w:pPr>
      <w:r w:rsidRPr="006F3533">
        <w:rPr>
          <w:lang w:val="bg-BG"/>
        </w:rPr>
        <w:t>В следствие на тези изводи, централната теза</w:t>
      </w:r>
      <w:r w:rsidR="005D16C2" w:rsidRPr="006F3533">
        <w:rPr>
          <w:lang w:val="bg-BG"/>
        </w:rPr>
        <w:t xml:space="preserve"> на плана е, че </w:t>
      </w:r>
      <w:r w:rsidR="005D16C2" w:rsidRPr="006F3533">
        <w:rPr>
          <w:b/>
          <w:bCs/>
          <w:lang w:val="bg-BG"/>
        </w:rPr>
        <w:t xml:space="preserve">инвестиционните потребности за обновяване и </w:t>
      </w:r>
      <w:proofErr w:type="spellStart"/>
      <w:r w:rsidR="005D16C2" w:rsidRPr="006F3533">
        <w:rPr>
          <w:b/>
          <w:bCs/>
          <w:lang w:val="bg-BG"/>
        </w:rPr>
        <w:t>декарбонизация</w:t>
      </w:r>
      <w:proofErr w:type="spellEnd"/>
      <w:r w:rsidR="005D16C2" w:rsidRPr="006F3533">
        <w:rPr>
          <w:b/>
          <w:bCs/>
          <w:lang w:val="bg-BG"/>
        </w:rPr>
        <w:t xml:space="preserve"> на сградния фонд са от такъв мащаб, че не могат да бъдат посрещнати единствено чрез публични бюджети и безвъзмездно финансиране</w:t>
      </w:r>
      <w:r w:rsidR="005D16C2" w:rsidRPr="006F3533">
        <w:rPr>
          <w:lang w:val="bg-BG"/>
        </w:rPr>
        <w:t xml:space="preserve">. Анализите, включително тези, наследени от дългосрочната национална стратегия за обновяване на сградния фонд и актуализирани спрямо повишените изисквания на новата директива, показват ясно нарастване на целите и необходимите обеми инвестиции. Това обосновава необходимостта от </w:t>
      </w:r>
      <w:r w:rsidR="005D16C2" w:rsidRPr="006F3533">
        <w:rPr>
          <w:b/>
          <w:bCs/>
          <w:lang w:val="bg-BG"/>
        </w:rPr>
        <w:t>системно привличане на частно финансиране</w:t>
      </w:r>
      <w:r w:rsidR="005D16C2" w:rsidRPr="006F3533">
        <w:rPr>
          <w:lang w:val="bg-BG"/>
        </w:rPr>
        <w:t xml:space="preserve"> и от преминаване към комбинирани финансови инструменти</w:t>
      </w:r>
      <w:r w:rsidRPr="006F3533">
        <w:rPr>
          <w:lang w:val="bg-BG"/>
        </w:rPr>
        <w:t xml:space="preserve"> с възможност за циклично реинвестиране на целевия ресурс</w:t>
      </w:r>
      <w:r w:rsidR="005D16C2" w:rsidRPr="006F3533">
        <w:rPr>
          <w:lang w:val="bg-BG"/>
        </w:rPr>
        <w:t>, допълнени от целева социална подкрепа.</w:t>
      </w:r>
    </w:p>
    <w:p w14:paraId="7AE10641" w14:textId="0C613BA0" w:rsidR="005D16C2" w:rsidRPr="006F3533" w:rsidRDefault="005D16C2" w:rsidP="005D16C2">
      <w:pPr>
        <w:jc w:val="both"/>
        <w:rPr>
          <w:lang w:val="bg-BG"/>
        </w:rPr>
      </w:pPr>
      <w:r w:rsidRPr="006F3533">
        <w:rPr>
          <w:lang w:val="bg-BG"/>
        </w:rPr>
        <w:t>В този контекст</w:t>
      </w:r>
      <w:r w:rsidR="00B117FC" w:rsidRPr="006F3533">
        <w:rPr>
          <w:lang w:val="bg-BG"/>
        </w:rPr>
        <w:t>, в съответствие с последните изменения на Закона за енергийната ефективност от 14.11.2025 г.,</w:t>
      </w:r>
      <w:r w:rsidRPr="006F3533">
        <w:rPr>
          <w:lang w:val="bg-BG"/>
        </w:rPr>
        <w:t xml:space="preserve"> </w:t>
      </w:r>
      <w:r w:rsidRPr="006F3533">
        <w:rPr>
          <w:b/>
          <w:bCs/>
          <w:lang w:val="bg-BG"/>
        </w:rPr>
        <w:t xml:space="preserve">Националният фонд за </w:t>
      </w:r>
      <w:proofErr w:type="spellStart"/>
      <w:r w:rsidRPr="006F3533">
        <w:rPr>
          <w:b/>
          <w:bCs/>
          <w:lang w:val="bg-BG"/>
        </w:rPr>
        <w:t>декарбонизация</w:t>
      </w:r>
      <w:proofErr w:type="spellEnd"/>
      <w:r w:rsidRPr="006F3533">
        <w:rPr>
          <w:b/>
          <w:bCs/>
          <w:lang w:val="bg-BG"/>
        </w:rPr>
        <w:t xml:space="preserve"> (НФД)</w:t>
      </w:r>
      <w:r w:rsidRPr="006F3533">
        <w:rPr>
          <w:lang w:val="bg-BG"/>
        </w:rPr>
        <w:t xml:space="preserve"> е разгледан в плана като </w:t>
      </w:r>
      <w:r w:rsidRPr="006F3533">
        <w:rPr>
          <w:b/>
          <w:bCs/>
          <w:lang w:val="bg-BG"/>
        </w:rPr>
        <w:t>основен институционален носител и инструмент за прилагане на политиките за сградно обновяване</w:t>
      </w:r>
      <w:r w:rsidRPr="006F3533">
        <w:rPr>
          <w:lang w:val="bg-BG"/>
        </w:rPr>
        <w:t xml:space="preserve">. Фондът не се позиционира като поредна програма за финансиране, а като централен механизъм за структуриране, координация и мащабиране на инвестициите, включително чрез комбиниране на грантове, </w:t>
      </w:r>
      <w:proofErr w:type="spellStart"/>
      <w:r w:rsidRPr="006F3533">
        <w:rPr>
          <w:lang w:val="bg-BG"/>
        </w:rPr>
        <w:t>възвръщаем</w:t>
      </w:r>
      <w:proofErr w:type="spellEnd"/>
      <w:r w:rsidRPr="006F3533">
        <w:rPr>
          <w:lang w:val="bg-BG"/>
        </w:rPr>
        <w:t xml:space="preserve"> финансов ресурс, гаранции и техническа помощ. В предварителната версия на плана са очертани ролята и функциите на НФД, като в окончателната версия ще бъдат допълнително конкретизирани продуктовото портфолио, капитализацията и взаимодействието с финансовите посредници и другите публични инструменти.</w:t>
      </w:r>
    </w:p>
    <w:p w14:paraId="25B9D32B" w14:textId="661AF444" w:rsidR="005D16C2" w:rsidRPr="006F3533" w:rsidRDefault="005D16C2" w:rsidP="005D16C2">
      <w:pPr>
        <w:jc w:val="both"/>
        <w:rPr>
          <w:lang w:val="bg-BG"/>
        </w:rPr>
      </w:pPr>
      <w:r w:rsidRPr="006F3533">
        <w:rPr>
          <w:lang w:val="bg-BG"/>
        </w:rPr>
        <w:t xml:space="preserve">Съществена част от плана е посветена на </w:t>
      </w:r>
      <w:r w:rsidRPr="006F3533">
        <w:rPr>
          <w:b/>
          <w:bCs/>
          <w:lang w:val="bg-BG"/>
        </w:rPr>
        <w:t>ключовите структурни реформи</w:t>
      </w:r>
      <w:r w:rsidRPr="006F3533">
        <w:rPr>
          <w:lang w:val="bg-BG"/>
        </w:rPr>
        <w:t xml:space="preserve">, необходими за реалното постигане на целите. Сред тях са: развитието и </w:t>
      </w:r>
      <w:r w:rsidR="00B117FC" w:rsidRPr="006F3533">
        <w:rPr>
          <w:lang w:val="bg-BG"/>
        </w:rPr>
        <w:t xml:space="preserve">пазарната </w:t>
      </w:r>
      <w:r w:rsidRPr="006F3533">
        <w:rPr>
          <w:lang w:val="bg-BG"/>
        </w:rPr>
        <w:t>интеграция на системата за енергийно сертифициране; въвеждането на паспорти за сградно обновяване като инструмент за поетапно планиране; прилагането на минимални стандарти за енергийните характеристики при нежилищните сгради; развитието на опростени механизми за дигитализация на данните</w:t>
      </w:r>
      <w:r w:rsidR="00B117FC" w:rsidRPr="006F3533">
        <w:rPr>
          <w:lang w:val="bg-BG"/>
        </w:rPr>
        <w:t xml:space="preserve"> за състоянието на сградния фонд</w:t>
      </w:r>
      <w:r w:rsidRPr="006F3533">
        <w:rPr>
          <w:lang w:val="bg-BG"/>
        </w:rPr>
        <w:t>; укрепването на капацитета за контрол, мониторинг и отчетност. Тези реформи са разгледани като предпоставка за ефективното използване на финансовите ресурси и за избягване на частични и несъгласувани интервенции.</w:t>
      </w:r>
    </w:p>
    <w:p w14:paraId="64E6CD4B" w14:textId="77777777" w:rsidR="005D16C2" w:rsidRPr="006F3533" w:rsidRDefault="005D16C2" w:rsidP="005D16C2">
      <w:pPr>
        <w:jc w:val="both"/>
        <w:rPr>
          <w:lang w:val="bg-BG"/>
        </w:rPr>
      </w:pPr>
      <w:r w:rsidRPr="006F3533">
        <w:rPr>
          <w:lang w:val="bg-BG"/>
        </w:rPr>
        <w:t xml:space="preserve">Разработването на настоящия предварителен план се основава на официални национални източници на данни и годишни анализи, като </w:t>
      </w:r>
      <w:r w:rsidRPr="006F3533">
        <w:rPr>
          <w:b/>
          <w:bCs/>
          <w:lang w:val="bg-BG"/>
        </w:rPr>
        <w:t>там, където липсват пълни или надеждни данни, са използвани обосновани допускания</w:t>
      </w:r>
      <w:r w:rsidRPr="006F3533">
        <w:rPr>
          <w:lang w:val="bg-BG"/>
        </w:rPr>
        <w:t>, ясно описани в текста. Целта е била максимално да се следва методологичният подход и структурата, препоръчани от Европейската комисия, като същевременно се запази прозрачност и възможност за бъдещо надграждане.</w:t>
      </w:r>
    </w:p>
    <w:p w14:paraId="055EAAB0" w14:textId="0EB1E5EA" w:rsidR="005D16C2" w:rsidRPr="006F3533" w:rsidRDefault="005D16C2" w:rsidP="005D16C2">
      <w:pPr>
        <w:jc w:val="both"/>
        <w:rPr>
          <w:lang w:val="bg-BG"/>
        </w:rPr>
      </w:pPr>
      <w:r w:rsidRPr="006F3533">
        <w:rPr>
          <w:lang w:val="bg-BG"/>
        </w:rPr>
        <w:t xml:space="preserve">В окончателната версия на Националния план за саниране, която предстои да бъде разработена </w:t>
      </w:r>
      <w:r w:rsidR="00B117FC" w:rsidRPr="006F3533">
        <w:rPr>
          <w:lang w:val="bg-BG"/>
        </w:rPr>
        <w:t xml:space="preserve">през следващата 2026-а година в рамките на процес на широки </w:t>
      </w:r>
      <w:r w:rsidR="00B117FC" w:rsidRPr="006F3533">
        <w:rPr>
          <w:lang w:val="bg-BG"/>
        </w:rPr>
        <w:lastRenderedPageBreak/>
        <w:t>професионални дискусии и обществени консултации</w:t>
      </w:r>
      <w:r w:rsidRPr="006F3533">
        <w:rPr>
          <w:lang w:val="bg-BG"/>
        </w:rPr>
        <w:t xml:space="preserve">, ще бъдат допълнително прецизирани </w:t>
      </w:r>
      <w:r w:rsidRPr="006F3533">
        <w:rPr>
          <w:b/>
          <w:bCs/>
          <w:lang w:val="bg-BG"/>
        </w:rPr>
        <w:t>източниците на необходимите инвестиции - публични и частни</w:t>
      </w:r>
      <w:r w:rsidRPr="006F3533">
        <w:rPr>
          <w:lang w:val="bg-BG"/>
        </w:rPr>
        <w:t>, механизмите за мобилизиране на частен капитал, както и индикативните обеми и времеви профил на финансирането. По този начин планът ще се утвърди като основен стратегически инструмент за управление на трансформацията на сградния фонд и за постигане на националните и европейските цели до 2030 г. и в дългосрочен план до 2050 г.</w:t>
      </w:r>
    </w:p>
    <w:p w14:paraId="793F0015" w14:textId="77777777" w:rsidR="00E6313A" w:rsidRPr="006F3533" w:rsidRDefault="00E6313A" w:rsidP="00E6313A">
      <w:pPr>
        <w:pStyle w:val="Heading1"/>
        <w:jc w:val="both"/>
        <w:rPr>
          <w:lang w:val="bg-BG"/>
        </w:rPr>
      </w:pPr>
      <w:bookmarkStart w:id="3" w:name="_Toc217837095"/>
      <w:bookmarkStart w:id="4" w:name="_Toc217888753"/>
      <w:r w:rsidRPr="006F3533">
        <w:rPr>
          <w:lang w:val="bg-BG"/>
        </w:rPr>
        <w:t>Обобщена характеристика на жилищния сграден фонд в България</w:t>
      </w:r>
      <w:bookmarkEnd w:id="3"/>
      <w:bookmarkEnd w:id="4"/>
    </w:p>
    <w:p w14:paraId="00F321DD" w14:textId="77777777" w:rsidR="00E6313A" w:rsidRPr="006F3533" w:rsidRDefault="00E6313A" w:rsidP="00E6313A">
      <w:pPr>
        <w:pStyle w:val="Heading2"/>
        <w:rPr>
          <w:lang w:val="bg-BG"/>
        </w:rPr>
      </w:pPr>
      <w:bookmarkStart w:id="5" w:name="_Toc217837096"/>
      <w:bookmarkStart w:id="6" w:name="_Toc217888754"/>
      <w:r w:rsidRPr="006F3533">
        <w:rPr>
          <w:lang w:val="bg-BG"/>
        </w:rPr>
        <w:t>Методология - основни дефиниции и понятия, използвани източници на информация</w:t>
      </w:r>
      <w:bookmarkEnd w:id="5"/>
      <w:bookmarkEnd w:id="6"/>
    </w:p>
    <w:p w14:paraId="0A66D50F" w14:textId="43EAC58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Настоящата точка представя </w:t>
      </w:r>
      <w:r w:rsidRPr="006F3533">
        <w:rPr>
          <w:rFonts w:eastAsia="Times New Roman" w:cs="Times New Roman"/>
          <w:b/>
          <w:bCs/>
          <w:szCs w:val="24"/>
          <w:lang w:val="bg-BG" w:eastAsia="bg-BG"/>
        </w:rPr>
        <w:t>ключовите дефиниции</w:t>
      </w:r>
      <w:r w:rsidRPr="006F3533">
        <w:rPr>
          <w:rFonts w:eastAsia="Times New Roman" w:cs="Times New Roman"/>
          <w:szCs w:val="24"/>
          <w:lang w:val="bg-BG" w:eastAsia="bg-BG"/>
        </w:rPr>
        <w:t xml:space="preserve"> </w:t>
      </w:r>
      <w:r w:rsidRPr="006F3533">
        <w:rPr>
          <w:rFonts w:eastAsia="Times New Roman" w:cs="Times New Roman"/>
          <w:b/>
          <w:bCs/>
          <w:szCs w:val="24"/>
          <w:lang w:val="bg-BG" w:eastAsia="bg-BG"/>
        </w:rPr>
        <w:t>и понятиен апарат</w:t>
      </w:r>
      <w:r w:rsidRPr="006F3533">
        <w:rPr>
          <w:rFonts w:eastAsia="Times New Roman" w:cs="Times New Roman"/>
          <w:szCs w:val="24"/>
          <w:lang w:val="bg-BG" w:eastAsia="bg-BG"/>
        </w:rPr>
        <w:t>, използвани при анализа на жилищния сграден фонд в Република България. Целта е да се изясни нормативната и статистическата база, върху която стъпва разработката, както и да се гарантира съпоставимостта на данните, извлечени от различни институционални източници. Съществуващата нормативна уредба и статистическа практика в страната не прилагат единна, напълно хармонизирана класификация на жилищните сгради. Поради това за целите на анализа се изисква съпоставяне на понятия, използвани от: Националния статистически институт (НСИ), нормативната уредба в областта на енергийната ефективност, кадастралната и устройствената нормативна рамка (включително актовете на Агенцията по геодезия, картография и кадастър</w:t>
      </w:r>
      <w:r w:rsidR="000B4EEB">
        <w:rPr>
          <w:rFonts w:eastAsia="Times New Roman" w:cs="Times New Roman"/>
          <w:szCs w:val="24"/>
          <w:lang w:val="bg-BG" w:eastAsia="bg-BG"/>
        </w:rPr>
        <w:t xml:space="preserve"> </w:t>
      </w:r>
      <w:r w:rsidR="000B4EEB">
        <w:rPr>
          <w:rFonts w:eastAsia="Times New Roman" w:cs="Times New Roman"/>
          <w:szCs w:val="24"/>
          <w:lang w:val="en-US" w:eastAsia="bg-BG"/>
        </w:rPr>
        <w:t>/</w:t>
      </w:r>
      <w:r w:rsidR="000B4EEB">
        <w:rPr>
          <w:rFonts w:eastAsia="Times New Roman" w:cs="Times New Roman"/>
          <w:szCs w:val="24"/>
          <w:lang w:val="bg-BG" w:eastAsia="bg-BG"/>
        </w:rPr>
        <w:t>АГКК/</w:t>
      </w:r>
      <w:r w:rsidRPr="006F3533">
        <w:rPr>
          <w:rFonts w:eastAsia="Times New Roman" w:cs="Times New Roman"/>
          <w:szCs w:val="24"/>
          <w:lang w:val="bg-BG" w:eastAsia="bg-BG"/>
        </w:rPr>
        <w:t>), както и секторни нормативи, например тези за достъпна среда.</w:t>
      </w:r>
    </w:p>
    <w:p w14:paraId="260855A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НСИ, Агенцията за устойчиво енергийно развитие (АУЕР) и АГКК се явяват основните източници на статистическа информация за целите на настоящия доклад.</w:t>
      </w:r>
    </w:p>
    <w:p w14:paraId="28CAA54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НСИ</w:t>
      </w:r>
      <w:r w:rsidRPr="006F3533">
        <w:rPr>
          <w:rFonts w:eastAsia="Times New Roman" w:cs="Times New Roman"/>
          <w:szCs w:val="24"/>
          <w:lang w:val="bg-BG" w:eastAsia="bg-BG"/>
        </w:rPr>
        <w:t xml:space="preserve"> предоставя данните от Преброяване на населението и жилищния фонд 2021 г., които съдържат най-пълната и хомогенна информация относно: вида на сградите, тяхното местонахождение, броя на жилищата и статуса им „обитавани/необитавани“ и др. Този източник е ключов в първата част на анализа, тъй като позволява да бъдат идентифицирани именно обитаваните сгради – т.е. реалният енергиен фонд, подлежащ на обновяване.</w:t>
      </w:r>
    </w:p>
    <w:p w14:paraId="01342A9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АГКК</w:t>
      </w:r>
      <w:r w:rsidRPr="006F3533">
        <w:rPr>
          <w:rFonts w:eastAsia="Times New Roman" w:cs="Times New Roman"/>
          <w:szCs w:val="24"/>
          <w:lang w:val="bg-BG" w:eastAsia="bg-BG"/>
        </w:rPr>
        <w:t xml:space="preserve"> предоставя информация, извлечена от информационната система на кадастъра, относно броя на жилищните сгради, техните характеристики и функционалното им предназначение. Тези данни служат за нормативно-класификационно съпоставяне и за потвърждаване на типовите характеристики на сградите.</w:t>
      </w:r>
    </w:p>
    <w:p w14:paraId="4952BA1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АУЕР</w:t>
      </w:r>
      <w:r w:rsidRPr="006F3533">
        <w:rPr>
          <w:rFonts w:eastAsia="Times New Roman" w:cs="Times New Roman"/>
          <w:szCs w:val="24"/>
          <w:lang w:val="bg-BG" w:eastAsia="bg-BG"/>
        </w:rPr>
        <w:t xml:space="preserve"> предоставя за целите на анализа информация от своята информационна система за сертифицирани жилищни сгради по реда на Закона за енергийната ефективност (ЗЕЕ), включваща данни за: издадените сертификати, разпределението по енергийни класове, годишното потребление на първична и крайна енергия, постигнатите икономии и дела на енергията от възобновяеми източници и др. Тези данни са водещи във втората част на анализа, свързана с енергийните характеристики на жилищния фонд.</w:t>
      </w:r>
    </w:p>
    <w:p w14:paraId="05BA9EC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Разработката се основава и на ключови стратегически и програмни документи на Република България, включително:</w:t>
      </w:r>
    </w:p>
    <w:p w14:paraId="636AE4E7"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Интегриран план в областта на енергетиката и климата 2021–2030;</w:t>
      </w:r>
    </w:p>
    <w:p w14:paraId="16DC683C"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Дългосрочна национална стратегия за обновяване на сградния фонд до 2050 г.;</w:t>
      </w:r>
    </w:p>
    <w:p w14:paraId="20977202"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Анализ на състоянието на енергийната ефективност и годишния напредък по изпълнението на политиките за ЕЕ през 2024 г. (АУЕР);</w:t>
      </w:r>
    </w:p>
    <w:p w14:paraId="6CFD70A5"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 Доклади за изпълнението на проекти за енергийна ефективност на многофамилни жилищни сгради (МЖС), реализирани по:</w:t>
      </w:r>
    </w:p>
    <w:p w14:paraId="51D75371" w14:textId="77777777" w:rsidR="00E6313A" w:rsidRPr="006F3533" w:rsidRDefault="00E6313A" w:rsidP="00551FED">
      <w:pPr>
        <w:numPr>
          <w:ilvl w:val="1"/>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Оперативна програма „Регионално развитие“ 2007–2013 г.;</w:t>
      </w:r>
    </w:p>
    <w:p w14:paraId="4CA8E64C" w14:textId="77777777" w:rsidR="00E6313A" w:rsidRPr="006F3533" w:rsidRDefault="00E6313A" w:rsidP="00551FED">
      <w:pPr>
        <w:numPr>
          <w:ilvl w:val="1"/>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Национална програма за енергийна ефективност на многофамилните жилищни сгради (НПЕЕМЖС);</w:t>
      </w:r>
    </w:p>
    <w:p w14:paraId="0697E00F" w14:textId="77777777" w:rsidR="00E6313A" w:rsidRPr="006F3533" w:rsidRDefault="00E6313A" w:rsidP="00551FED">
      <w:pPr>
        <w:numPr>
          <w:ilvl w:val="1"/>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Оперативна програма „Региони в растеж“ 2014–2020 г.;</w:t>
      </w:r>
    </w:p>
    <w:p w14:paraId="0B7B48E3"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Тематични аналитични материали като „Механизъм за техническа подкрепа за Вълната за саниране в ЕС – Доклад за диагностична оценка: България“, изготвен от Световната банка през 2022 г. и др.</w:t>
      </w:r>
    </w:p>
    <w:p w14:paraId="13A7F11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Този многокомпонентен набор от източници осигурява необходимата емпирична, нормативна и аналитична основа за оценка на съществуващия жилищен фонд и потенциала за неговото енергийно обновяване.</w:t>
      </w:r>
    </w:p>
    <w:p w14:paraId="2CD9349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Съгласно националното законодателство</w:t>
      </w:r>
      <w:r w:rsidRPr="006F3533">
        <w:rPr>
          <w:rFonts w:eastAsia="Times New Roman" w:cs="Times New Roman"/>
          <w:szCs w:val="24"/>
          <w:vertAlign w:val="superscript"/>
          <w:lang w:val="bg-BG" w:eastAsia="bg-BG"/>
        </w:rPr>
        <w:footnoteReference w:id="2"/>
      </w:r>
      <w:r w:rsidRPr="006F3533">
        <w:rPr>
          <w:rFonts w:eastAsia="Times New Roman" w:cs="Times New Roman"/>
          <w:szCs w:val="24"/>
          <w:lang w:val="bg-BG" w:eastAsia="bg-BG"/>
        </w:rPr>
        <w:t xml:space="preserve">, понятието </w:t>
      </w:r>
      <w:r w:rsidRPr="006F3533">
        <w:rPr>
          <w:rFonts w:eastAsia="Times New Roman" w:cs="Times New Roman"/>
          <w:b/>
          <w:bCs/>
          <w:szCs w:val="24"/>
          <w:lang w:val="bg-BG" w:eastAsia="bg-BG"/>
        </w:rPr>
        <w:t>„жилищна сграда“</w:t>
      </w:r>
      <w:r w:rsidRPr="006F3533">
        <w:rPr>
          <w:rFonts w:eastAsia="Times New Roman" w:cs="Times New Roman"/>
          <w:szCs w:val="24"/>
          <w:lang w:val="bg-BG" w:eastAsia="bg-BG"/>
        </w:rPr>
        <w:t xml:space="preserve"> се определя като сграда, предназначена за постоянно обитаване, и се състои от едно или повече жилища, които заемат </w:t>
      </w:r>
      <w:r w:rsidRPr="006F3533">
        <w:rPr>
          <w:rFonts w:eastAsia="Times New Roman" w:cs="Times New Roman"/>
          <w:b/>
          <w:bCs/>
          <w:szCs w:val="24"/>
          <w:lang w:val="bg-BG" w:eastAsia="bg-BG"/>
        </w:rPr>
        <w:t>най-малко 60 на сто</w:t>
      </w:r>
      <w:r w:rsidRPr="006F3533">
        <w:rPr>
          <w:rFonts w:eastAsia="Times New Roman" w:cs="Times New Roman"/>
          <w:szCs w:val="24"/>
          <w:lang w:val="bg-BG" w:eastAsia="bg-BG"/>
        </w:rPr>
        <w:t xml:space="preserve"> от нейната разгъната застроена площ</w:t>
      </w:r>
      <w:r w:rsidRPr="006F3533">
        <w:rPr>
          <w:rFonts w:eastAsia="Times New Roman" w:cs="Times New Roman"/>
          <w:szCs w:val="24"/>
          <w:vertAlign w:val="superscript"/>
          <w:lang w:val="bg-BG" w:eastAsia="bg-BG"/>
        </w:rPr>
        <w:footnoteReference w:id="3"/>
      </w:r>
      <w:r w:rsidRPr="006F3533">
        <w:rPr>
          <w:rFonts w:eastAsia="Times New Roman" w:cs="Times New Roman"/>
          <w:szCs w:val="24"/>
          <w:lang w:val="bg-BG" w:eastAsia="bg-BG"/>
        </w:rPr>
        <w:t>. Това определение представлява основополагаща рамка за всички последващи класификации. Налице е обаче разминаване между различните нормативни и статистически източници при класифицирането на видовете жилищни сгради.</w:t>
      </w:r>
    </w:p>
    <w:p w14:paraId="23C4070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Съгласно възприетата от НСИ методология</w:t>
      </w:r>
      <w:r w:rsidRPr="006F3533">
        <w:rPr>
          <w:rFonts w:eastAsia="Times New Roman" w:cs="Times New Roman"/>
          <w:szCs w:val="24"/>
          <w:vertAlign w:val="superscript"/>
          <w:lang w:val="bg-BG" w:eastAsia="bg-BG"/>
        </w:rPr>
        <w:footnoteReference w:id="4"/>
      </w:r>
      <w:r w:rsidRPr="006F3533">
        <w:rPr>
          <w:rFonts w:eastAsia="Times New Roman" w:cs="Times New Roman"/>
          <w:szCs w:val="24"/>
          <w:lang w:val="bg-BG" w:eastAsia="bg-BG"/>
        </w:rPr>
        <w:t xml:space="preserve"> за провеждане на статистически изследвания (в точа число ,,Преброяване на населението и жилищния фон в Република България“), </w:t>
      </w:r>
      <w:r w:rsidRPr="006F3533">
        <w:rPr>
          <w:rFonts w:eastAsia="Times New Roman" w:cs="Times New Roman"/>
          <w:b/>
          <w:bCs/>
          <w:szCs w:val="24"/>
          <w:lang w:val="bg-BG" w:eastAsia="bg-BG"/>
        </w:rPr>
        <w:t>според вида си жилищните сгради биват</w:t>
      </w:r>
      <w:r w:rsidRPr="006F3533">
        <w:rPr>
          <w:rFonts w:eastAsia="Times New Roman" w:cs="Times New Roman"/>
          <w:szCs w:val="24"/>
          <w:lang w:val="bg-BG" w:eastAsia="bg-BG"/>
        </w:rPr>
        <w:t xml:space="preserve">: </w:t>
      </w:r>
    </w:p>
    <w:p w14:paraId="324FA1BE" w14:textId="77777777" w:rsidR="00E6313A" w:rsidRPr="006F3533" w:rsidRDefault="00E6313A" w:rsidP="00551FED">
      <w:pPr>
        <w:numPr>
          <w:ilvl w:val="0"/>
          <w:numId w:val="106"/>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Къща</w:t>
      </w:r>
      <w:r w:rsidRPr="006F3533">
        <w:rPr>
          <w:rFonts w:eastAsia="Times New Roman" w:cs="Times New Roman"/>
          <w:szCs w:val="24"/>
          <w:vertAlign w:val="superscript"/>
          <w:lang w:val="bg-BG" w:eastAsia="bg-BG"/>
        </w:rPr>
        <w:footnoteReference w:id="5"/>
      </w:r>
      <w:r w:rsidRPr="006F3533">
        <w:rPr>
          <w:rFonts w:eastAsia="Times New Roman" w:cs="Times New Roman"/>
          <w:szCs w:val="24"/>
          <w:lang w:val="bg-BG" w:eastAsia="bg-BG"/>
        </w:rPr>
        <w:t xml:space="preserve">; </w:t>
      </w:r>
    </w:p>
    <w:p w14:paraId="33FCC0F4" w14:textId="77777777" w:rsidR="00E6313A" w:rsidRPr="006F3533" w:rsidRDefault="00E6313A" w:rsidP="00551FED">
      <w:pPr>
        <w:numPr>
          <w:ilvl w:val="0"/>
          <w:numId w:val="106"/>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Жилищен блок, кооперация</w:t>
      </w:r>
      <w:r w:rsidRPr="006F3533">
        <w:rPr>
          <w:rFonts w:eastAsia="Times New Roman" w:cs="Times New Roman"/>
          <w:szCs w:val="24"/>
          <w:vertAlign w:val="superscript"/>
          <w:lang w:val="bg-BG" w:eastAsia="bg-BG"/>
        </w:rPr>
        <w:footnoteReference w:id="6"/>
      </w:r>
      <w:r w:rsidRPr="006F3533">
        <w:rPr>
          <w:rFonts w:eastAsia="Times New Roman" w:cs="Times New Roman"/>
          <w:szCs w:val="24"/>
          <w:lang w:val="bg-BG" w:eastAsia="bg-BG"/>
        </w:rPr>
        <w:t xml:space="preserve">; </w:t>
      </w:r>
    </w:p>
    <w:p w14:paraId="02831CB2" w14:textId="77777777" w:rsidR="00E6313A" w:rsidRPr="006F3533" w:rsidRDefault="00E6313A" w:rsidP="00551FED">
      <w:pPr>
        <w:numPr>
          <w:ilvl w:val="0"/>
          <w:numId w:val="106"/>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lastRenderedPageBreak/>
        <w:t>Сграда от смесен тип</w:t>
      </w:r>
      <w:r w:rsidRPr="006F3533">
        <w:rPr>
          <w:rFonts w:eastAsia="Times New Roman" w:cs="Times New Roman"/>
          <w:szCs w:val="24"/>
          <w:vertAlign w:val="superscript"/>
          <w:lang w:val="bg-BG" w:eastAsia="bg-BG"/>
        </w:rPr>
        <w:footnoteReference w:id="7"/>
      </w:r>
      <w:r w:rsidRPr="006F3533">
        <w:rPr>
          <w:rFonts w:eastAsia="Times New Roman" w:cs="Times New Roman"/>
          <w:szCs w:val="24"/>
          <w:lang w:val="bg-BG" w:eastAsia="bg-BG"/>
        </w:rPr>
        <w:t xml:space="preserve"> (над 60% жилищна площ);</w:t>
      </w:r>
    </w:p>
    <w:p w14:paraId="7AF09A26" w14:textId="77777777" w:rsidR="00E6313A" w:rsidRPr="006F3533" w:rsidRDefault="00E6313A" w:rsidP="00551FED">
      <w:pPr>
        <w:numPr>
          <w:ilvl w:val="0"/>
          <w:numId w:val="106"/>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Общежитие</w:t>
      </w:r>
      <w:r w:rsidRPr="006F3533">
        <w:rPr>
          <w:rFonts w:eastAsia="Times New Roman" w:cs="Times New Roman"/>
          <w:szCs w:val="24"/>
          <w:vertAlign w:val="superscript"/>
          <w:lang w:val="bg-BG" w:eastAsia="bg-BG"/>
        </w:rPr>
        <w:footnoteReference w:id="8"/>
      </w:r>
      <w:r w:rsidRPr="006F3533">
        <w:rPr>
          <w:rFonts w:eastAsia="Times New Roman" w:cs="Times New Roman"/>
          <w:szCs w:val="24"/>
          <w:lang w:val="bg-BG" w:eastAsia="bg-BG"/>
        </w:rPr>
        <w:t xml:space="preserve">; </w:t>
      </w:r>
    </w:p>
    <w:p w14:paraId="7B569A91" w14:textId="77777777" w:rsidR="00E6313A" w:rsidRPr="006F3533" w:rsidRDefault="00E6313A" w:rsidP="00551FED">
      <w:pPr>
        <w:numPr>
          <w:ilvl w:val="0"/>
          <w:numId w:val="106"/>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Вила</w:t>
      </w:r>
      <w:r w:rsidRPr="006F3533">
        <w:rPr>
          <w:rFonts w:eastAsia="Times New Roman" w:cs="Times New Roman"/>
          <w:szCs w:val="24"/>
          <w:vertAlign w:val="superscript"/>
          <w:lang w:val="bg-BG" w:eastAsia="bg-BG"/>
        </w:rPr>
        <w:footnoteReference w:id="9"/>
      </w:r>
      <w:r w:rsidRPr="006F3533">
        <w:rPr>
          <w:rFonts w:eastAsia="Times New Roman" w:cs="Times New Roman"/>
          <w:szCs w:val="24"/>
          <w:lang w:val="bg-BG" w:eastAsia="bg-BG"/>
        </w:rPr>
        <w:t>/лятна кухня</w:t>
      </w:r>
      <w:r w:rsidRPr="006F3533">
        <w:rPr>
          <w:rFonts w:eastAsia="Times New Roman" w:cs="Times New Roman"/>
          <w:szCs w:val="24"/>
          <w:vertAlign w:val="superscript"/>
          <w:lang w:val="bg-BG" w:eastAsia="bg-BG"/>
        </w:rPr>
        <w:footnoteReference w:id="10"/>
      </w:r>
      <w:r w:rsidRPr="006F3533">
        <w:rPr>
          <w:rFonts w:eastAsia="Times New Roman" w:cs="Times New Roman"/>
          <w:szCs w:val="24"/>
          <w:lang w:val="bg-BG" w:eastAsia="bg-BG"/>
        </w:rPr>
        <w:t xml:space="preserve">; </w:t>
      </w:r>
    </w:p>
    <w:p w14:paraId="447499B2" w14:textId="77777777" w:rsidR="00E6313A" w:rsidRPr="006F3533" w:rsidRDefault="00E6313A" w:rsidP="00551FED">
      <w:pPr>
        <w:numPr>
          <w:ilvl w:val="0"/>
          <w:numId w:val="106"/>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Сграда за колективно домакинство</w:t>
      </w:r>
      <w:r w:rsidRPr="006F3533">
        <w:rPr>
          <w:rFonts w:eastAsia="Times New Roman" w:cs="Times New Roman"/>
          <w:szCs w:val="24"/>
          <w:vertAlign w:val="superscript"/>
          <w:lang w:val="bg-BG" w:eastAsia="bg-BG"/>
        </w:rPr>
        <w:footnoteReference w:id="11"/>
      </w:r>
      <w:r w:rsidRPr="006F3533">
        <w:rPr>
          <w:rFonts w:eastAsia="Times New Roman" w:cs="Times New Roman"/>
          <w:szCs w:val="24"/>
          <w:lang w:val="bg-BG" w:eastAsia="bg-BG"/>
        </w:rPr>
        <w:t xml:space="preserve">. </w:t>
      </w:r>
    </w:p>
    <w:p w14:paraId="4839269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Тази класификация е ориентирана предимно към реалното ползване и социално-икономическите функции на сградите.</w:t>
      </w:r>
    </w:p>
    <w:p w14:paraId="538A6265"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Действащата нормативна уредба</w:t>
      </w:r>
      <w:r w:rsidRPr="006F3533">
        <w:rPr>
          <w:rFonts w:eastAsia="Times New Roman" w:cs="Times New Roman"/>
          <w:szCs w:val="24"/>
          <w:vertAlign w:val="superscript"/>
          <w:lang w:val="bg-BG" w:eastAsia="bg-BG"/>
        </w:rPr>
        <w:footnoteReference w:id="12"/>
      </w:r>
      <w:r w:rsidRPr="006F3533">
        <w:rPr>
          <w:rFonts w:eastAsia="Times New Roman" w:cs="Times New Roman"/>
          <w:szCs w:val="24"/>
          <w:lang w:val="bg-BG" w:eastAsia="bg-BG"/>
        </w:rPr>
        <w:t xml:space="preserve"> в областта на енергийната ефективност на сгради класифицира жилищните сгради, като: </w:t>
      </w:r>
    </w:p>
    <w:p w14:paraId="7EED99F9" w14:textId="77777777" w:rsidR="00E6313A" w:rsidRPr="006F3533" w:rsidRDefault="00E6313A" w:rsidP="00551FED">
      <w:pPr>
        <w:numPr>
          <w:ilvl w:val="0"/>
          <w:numId w:val="107"/>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b/>
          <w:bCs/>
          <w:szCs w:val="24"/>
          <w:lang w:val="bg-BG" w:eastAsia="bg-BG"/>
        </w:rPr>
        <w:t>еднофамилни</w:t>
      </w:r>
      <w:r w:rsidRPr="006F3533">
        <w:rPr>
          <w:rFonts w:eastAsia="Times New Roman" w:cs="Times New Roman"/>
          <w:szCs w:val="24"/>
          <w:lang w:val="bg-BG" w:eastAsia="bg-BG"/>
        </w:rPr>
        <w:t xml:space="preserve"> жилищни сгради (еднофамилни къщи);</w:t>
      </w:r>
    </w:p>
    <w:p w14:paraId="7C38EB20" w14:textId="77777777" w:rsidR="00E6313A" w:rsidRPr="006F3533" w:rsidRDefault="00E6313A" w:rsidP="00551FED">
      <w:pPr>
        <w:numPr>
          <w:ilvl w:val="0"/>
          <w:numId w:val="107"/>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b/>
          <w:bCs/>
          <w:szCs w:val="24"/>
          <w:lang w:val="bg-BG" w:eastAsia="bg-BG"/>
        </w:rPr>
        <w:t>многофамилни</w:t>
      </w:r>
      <w:r w:rsidRPr="006F3533">
        <w:rPr>
          <w:rFonts w:eastAsia="Times New Roman" w:cs="Times New Roman"/>
          <w:szCs w:val="24"/>
          <w:lang w:val="bg-BG" w:eastAsia="bg-BG"/>
        </w:rPr>
        <w:t xml:space="preserve"> жилищни сгради (жилищни блокове).</w:t>
      </w:r>
    </w:p>
    <w:p w14:paraId="2EA12CA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Скалата на класовете енергопотребление, приложима за многофамилните сгради, се използва и за общежития, тъй като те по функционални характеристики са сходни с жилищните многофамилни сгради. Тази схема е водеща при изготвянето на енергийни сертификати, обследвания и анализи, свързани с обновяване на жилищните сгради за енергийна ефективност.</w:t>
      </w:r>
    </w:p>
    <w:p w14:paraId="7839D5A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Съгласно Приложение № 4 към чл. 16, ал. 3 от Наредба № РД-02-20-5 от 15 декември 2016 г. за съдържанието, създаването и поддържането на кадастралната карта и кадастралните регистри, сградите за постоянно и временно обитаване се класифицират, както следва: </w:t>
      </w:r>
    </w:p>
    <w:p w14:paraId="5DC67E92"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Жилищна сграда – еднофамилна;</w:t>
      </w:r>
    </w:p>
    <w:p w14:paraId="22F2A0A6"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Жилищна сграда – многофамилна;;</w:t>
      </w:r>
    </w:p>
    <w:p w14:paraId="5109D293"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Жилищна сграда със смесено предназначение;</w:t>
      </w:r>
    </w:p>
    <w:p w14:paraId="00E03C2E"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Вилна сграда – еднофамилна;</w:t>
      </w:r>
    </w:p>
    <w:p w14:paraId="35715DF8"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Вилна сграда – многофамилна;</w:t>
      </w:r>
    </w:p>
    <w:p w14:paraId="592EC1D8"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Общежитие;</w:t>
      </w:r>
    </w:p>
    <w:p w14:paraId="71CF5D19"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Хотел;</w:t>
      </w:r>
    </w:p>
    <w:p w14:paraId="3B337BEC"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Апартаментен хотел;</w:t>
      </w:r>
    </w:p>
    <w:p w14:paraId="4125DFAE"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Постройка на допълващото застрояване;</w:t>
      </w:r>
    </w:p>
    <w:p w14:paraId="6502F2F8"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Друг вид сграда за обитаване.</w:t>
      </w:r>
    </w:p>
    <w:p w14:paraId="3D300F5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Допълнителните разпоредби § 1, т.18 на Наредба № РД-02-20-2 ОТ 26.01.2021 г. за определяне на изискванията за достъпност и универсален дизайн на елементите на достъпната среда в урбанизираната територия и на сградите и съоръженията, както и </w:t>
      </w:r>
      <w:r w:rsidRPr="006F3533">
        <w:rPr>
          <w:rFonts w:eastAsia="Times New Roman" w:cs="Times New Roman"/>
          <w:szCs w:val="24"/>
          <w:lang w:val="bg-BG" w:eastAsia="bg-BG"/>
        </w:rPr>
        <w:lastRenderedPageBreak/>
        <w:t>техническите изисквания за достъпност на морските плажове за първи път е представено следното определение за ,,многофамилна жилищна сграда“ (МЖС)- ,,жилищна сграда, в която самостоятелните обекти са повече от три“. Това определение използва чисто функционален и конструктивен критерий, който е приложим при планиране на достъпна среда и инвестиционен процес.</w:t>
      </w:r>
    </w:p>
    <w:p w14:paraId="77C9C1D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Поради липсата на единна система, настоящият доклад приема следното съответствие между посочените по-горе класификации на жилищните сгради:</w:t>
      </w:r>
    </w:p>
    <w:p w14:paraId="121D4BC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bookmarkStart w:id="7" w:name="_Hlk215052306"/>
      <w:r w:rsidRPr="006F3533">
        <w:rPr>
          <w:rFonts w:eastAsia="Times New Roman" w:cs="Times New Roman"/>
          <w:b/>
          <w:bCs/>
          <w:szCs w:val="24"/>
          <w:lang w:val="bg-BG" w:eastAsia="bg-BG"/>
        </w:rPr>
        <w:t xml:space="preserve">Еднофамилни жилищни сгради: </w:t>
      </w:r>
    </w:p>
    <w:bookmarkEnd w:id="7"/>
    <w:p w14:paraId="08F053C8"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„Къщи“ (НСИ);</w:t>
      </w:r>
    </w:p>
    <w:p w14:paraId="06CACE44"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„Еднофамилни жилищни сгради / еднофамилни къщи“ (нормативи за енергийна ефективност /ЕЕ/);</w:t>
      </w:r>
    </w:p>
    <w:p w14:paraId="2D57B96E"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„Жилищни сгради – еднофамилни“ (АГКК).</w:t>
      </w:r>
    </w:p>
    <w:p w14:paraId="197189AE"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Приемането е статистически обосновано, доколкото по данни на НСИ на всяка къща отговарят средно 1,2 жилища. Тези данни потвърждават, че </w:t>
      </w:r>
      <w:r w:rsidRPr="006F3533">
        <w:rPr>
          <w:rFonts w:eastAsia="Times New Roman" w:cs="Times New Roman"/>
          <w:b/>
          <w:bCs/>
          <w:szCs w:val="24"/>
          <w:lang w:val="bg-BG" w:eastAsia="bg-BG"/>
        </w:rPr>
        <w:t>къщата е статистически еднофамилна единица</w:t>
      </w:r>
      <w:r w:rsidRPr="006F3533">
        <w:rPr>
          <w:rFonts w:eastAsia="Times New Roman" w:cs="Times New Roman"/>
          <w:szCs w:val="24"/>
          <w:lang w:val="bg-BG" w:eastAsia="bg-BG"/>
        </w:rPr>
        <w:t>. В нормативната уредба в областта на енергийната ефективност „еднофамилна жилищна сграда“ е дефинирана като сграда, предназначена за обитаване от едно домакинство, което напълно съответства както на действителната структура на къщите в България, така и на тяхното фактическо използване. Същевременно кадастралната класификация на АГКК въвежда категорията „жилищна сграда – еднофамилна“, в която съдържателно попадат същите типове сгради. Това съвпадение между трите независими системи – статистическа, нормативна за ЕЕ и кадастрална – позволява обосновано и последователно приравняване на категорията „къщи“ към еднофамилните жилищни сгради.</w:t>
      </w:r>
    </w:p>
    <w:p w14:paraId="33BB8E1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bookmarkStart w:id="8" w:name="_Hlk215052318"/>
      <w:r w:rsidRPr="006F3533">
        <w:rPr>
          <w:rFonts w:eastAsia="Times New Roman" w:cs="Times New Roman"/>
          <w:b/>
          <w:bCs/>
          <w:szCs w:val="24"/>
          <w:lang w:val="bg-BG" w:eastAsia="bg-BG"/>
        </w:rPr>
        <w:t>Многофамилни жилищни сгради:</w:t>
      </w:r>
      <w:r w:rsidRPr="006F3533">
        <w:rPr>
          <w:rFonts w:eastAsia="Times New Roman" w:cs="Times New Roman"/>
          <w:szCs w:val="24"/>
          <w:lang w:val="bg-BG" w:eastAsia="bg-BG"/>
        </w:rPr>
        <w:t xml:space="preserve"> </w:t>
      </w:r>
    </w:p>
    <w:bookmarkEnd w:id="8"/>
    <w:p w14:paraId="3D46AC79" w14:textId="77777777" w:rsidR="00E6313A" w:rsidRPr="006F3533" w:rsidRDefault="00E6313A" w:rsidP="00551FED">
      <w:pPr>
        <w:numPr>
          <w:ilvl w:val="0"/>
          <w:numId w:val="105"/>
        </w:numPr>
        <w:spacing w:before="100" w:beforeAutospacing="1" w:after="100" w:afterAutospacing="1" w:line="240" w:lineRule="auto"/>
        <w:ind w:left="1077"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„Жилищен блок, кооперация“ (НСИ);</w:t>
      </w:r>
    </w:p>
    <w:p w14:paraId="5B536690" w14:textId="77777777" w:rsidR="00E6313A" w:rsidRPr="006F3533" w:rsidRDefault="00E6313A" w:rsidP="00551FED">
      <w:pPr>
        <w:numPr>
          <w:ilvl w:val="0"/>
          <w:numId w:val="105"/>
        </w:numPr>
        <w:spacing w:before="100" w:beforeAutospacing="1" w:after="100" w:afterAutospacing="1" w:line="240" w:lineRule="auto"/>
        <w:ind w:left="1077"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„Многофамилна жилищна сграда“ (нормативи за ЕЕ);</w:t>
      </w:r>
    </w:p>
    <w:p w14:paraId="29927C87"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„Жилищна сграда – многофамилна“ (АГКК).</w:t>
      </w:r>
    </w:p>
    <w:p w14:paraId="73C0153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Жилищните блокове и кооперациите, както се класифицират от НСИ, представляват основната форма на многофамилно жилищно строителство в България. Съгласно статистиката на всеки „жилищен блок/кооперация“ отговарят средно </w:t>
      </w:r>
      <w:r w:rsidRPr="006F3533">
        <w:rPr>
          <w:rFonts w:eastAsia="Times New Roman" w:cs="Times New Roman"/>
          <w:b/>
          <w:bCs/>
          <w:szCs w:val="24"/>
          <w:lang w:val="bg-BG" w:eastAsia="bg-BG"/>
        </w:rPr>
        <w:t>24,2 жилища</w:t>
      </w:r>
      <w:r w:rsidRPr="006F3533">
        <w:rPr>
          <w:rFonts w:eastAsia="Times New Roman" w:cs="Times New Roman"/>
          <w:szCs w:val="24"/>
          <w:lang w:val="bg-BG" w:eastAsia="bg-BG"/>
        </w:rPr>
        <w:t xml:space="preserve">. Тази концентрация на жилища ,,под един покрив“ е определящ белег на многофамилната жилищна типология и отличава тези сгради от всяка друга категория. Функционалните характеристики на този тип сгради допълнително подкрепят категоризирането им като многофамилни. Тези сгради обособяват множество самостоятелни обекти, разположени на различни етажи, които споделят </w:t>
      </w:r>
      <w:r w:rsidRPr="006F3533">
        <w:rPr>
          <w:rFonts w:eastAsia="Times New Roman" w:cs="Times New Roman"/>
          <w:b/>
          <w:bCs/>
          <w:szCs w:val="24"/>
          <w:lang w:val="bg-BG" w:eastAsia="bg-BG"/>
        </w:rPr>
        <w:t>общи части</w:t>
      </w:r>
      <w:r w:rsidRPr="006F3533">
        <w:rPr>
          <w:rFonts w:eastAsia="Times New Roman" w:cs="Times New Roman"/>
          <w:szCs w:val="24"/>
          <w:lang w:val="bg-BG" w:eastAsia="bg-BG"/>
        </w:rPr>
        <w:t xml:space="preserve"> – входове, стълбища, коридори, инсталационни шахти, общи мрежи за електрозахранване и отопление. Тази конструктивна и функционална специфика съответства напълно на нормативното определение за многофамилна жилищна сграда, където законодателството ясно определя, че това е сграда, съдържаща повече от три самостоятелни обекта.</w:t>
      </w:r>
    </w:p>
    <w:p w14:paraId="2AF9E3F3" w14:textId="77777777" w:rsidR="00E6313A" w:rsidRPr="006F3533" w:rsidRDefault="00E6313A" w:rsidP="00E6313A">
      <w:pPr>
        <w:spacing w:before="100" w:beforeAutospacing="1" w:after="100" w:afterAutospacing="1" w:line="240" w:lineRule="auto"/>
        <w:jc w:val="both"/>
        <w:rPr>
          <w:rFonts w:eastAsia="Times New Roman" w:cs="Times New Roman"/>
          <w:b/>
          <w:bCs/>
          <w:szCs w:val="24"/>
          <w:lang w:val="bg-BG" w:eastAsia="bg-BG"/>
        </w:rPr>
      </w:pPr>
      <w:bookmarkStart w:id="9" w:name="_Hlk215052344"/>
      <w:r w:rsidRPr="006F3533">
        <w:rPr>
          <w:rFonts w:eastAsia="Times New Roman" w:cs="Times New Roman"/>
          <w:b/>
          <w:bCs/>
          <w:szCs w:val="24"/>
          <w:lang w:val="bg-BG" w:eastAsia="bg-BG"/>
        </w:rPr>
        <w:t>Сгради от смесен тип  (над 60% жилищна площ):</w:t>
      </w:r>
    </w:p>
    <w:bookmarkEnd w:id="9"/>
    <w:p w14:paraId="4FAAB186"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lastRenderedPageBreak/>
        <w:t>,,Сграда от смесен тип  (над 60% жилищна площ)“ (НСИ);</w:t>
      </w:r>
    </w:p>
    <w:p w14:paraId="6269501F"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(нормативи за ЕЕ);</w:t>
      </w:r>
    </w:p>
    <w:p w14:paraId="7D33AB6C" w14:textId="77777777" w:rsidR="00E6313A" w:rsidRPr="006F3533" w:rsidRDefault="00E6313A" w:rsidP="00551FED">
      <w:pPr>
        <w:numPr>
          <w:ilvl w:val="0"/>
          <w:numId w:val="105"/>
        </w:numPr>
        <w:spacing w:before="100" w:beforeAutospacing="1" w:after="100" w:afterAutospacing="1" w:line="240" w:lineRule="auto"/>
        <w:ind w:firstLine="0"/>
        <w:contextualSpacing/>
        <w:rPr>
          <w:rFonts w:eastAsia="Times New Roman" w:cs="Times New Roman"/>
          <w:szCs w:val="24"/>
          <w:lang w:val="bg-BG" w:eastAsia="bg-BG"/>
        </w:rPr>
      </w:pPr>
      <w:r w:rsidRPr="006F3533">
        <w:rPr>
          <w:rFonts w:eastAsia="Times New Roman" w:cs="Times New Roman"/>
          <w:szCs w:val="24"/>
          <w:lang w:val="bg-BG" w:eastAsia="bg-BG"/>
        </w:rPr>
        <w:t>Жилищна сграда със смесено предназначение (АГКК);</w:t>
      </w:r>
    </w:p>
    <w:p w14:paraId="4244393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Сградите със </w:t>
      </w:r>
      <w:r w:rsidRPr="006F3533">
        <w:rPr>
          <w:rFonts w:eastAsia="Times New Roman" w:cs="Times New Roman"/>
          <w:b/>
          <w:bCs/>
          <w:szCs w:val="24"/>
          <w:lang w:val="bg-BG" w:eastAsia="bg-BG"/>
        </w:rPr>
        <w:t>смесено предназначение</w:t>
      </w:r>
      <w:r w:rsidRPr="006F3533">
        <w:rPr>
          <w:rFonts w:eastAsia="Times New Roman" w:cs="Times New Roman"/>
          <w:szCs w:val="24"/>
          <w:lang w:val="bg-BG" w:eastAsia="bg-BG"/>
        </w:rPr>
        <w:t xml:space="preserve"> представляват специфична категория в националните класификационни системи. Според НСИ „сграда от смесен тип“ е такава, в която над 60% от разгънатата жилищна площ е предназначена за жилищни нужди, а останалата част служи за други функции – търговски, офисни, административни или обслужващи дейности. Аналогично, в кадастралната класификация на АГКК те са определени като „жилищни сгради със смесено предназначение“, като този термин се отнася до сгради, при които в рамките на един и същ строителен обем съжителстват жилищни обекти и обекти с различно функционално предназначение (магазини, ателиета, офиси и др.). И в двата случая ключовият елемент е съвместяването на две или повече различни групи помещения, чието предназначение се различава съществено по функция и нормативно натоварване.</w:t>
      </w:r>
    </w:p>
    <w:p w14:paraId="4E5474F5"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Нормативната уредба в областта на енергийната ефективност не въвежда самостоятелна категория „сграда със смесено предназначение“, но съдържа ясно разписан принцип за разделно сертифициране на отделните функционални части.</w:t>
      </w:r>
      <w:r w:rsidRPr="006F3533">
        <w:rPr>
          <w:rFonts w:eastAsia="Calibri" w:cs="Times New Roman"/>
          <w:szCs w:val="24"/>
          <w:lang w:val="bg-BG"/>
        </w:rPr>
        <w:t xml:space="preserve"> </w:t>
      </w:r>
      <w:r w:rsidRPr="006F3533">
        <w:rPr>
          <w:rFonts w:eastAsia="Times New Roman" w:cs="Times New Roman"/>
          <w:szCs w:val="24"/>
          <w:lang w:val="bg-BG" w:eastAsia="bg-BG"/>
        </w:rPr>
        <w:t>Чл. 3 от Наредба № Е-РД-04-2 от 16 декември 2022 г.</w:t>
      </w:r>
      <w:r w:rsidRPr="006F3533">
        <w:rPr>
          <w:rFonts w:eastAsia="Times New Roman" w:cs="Times New Roman"/>
          <w:szCs w:val="24"/>
          <w:vertAlign w:val="superscript"/>
          <w:lang w:val="bg-BG" w:eastAsia="bg-BG"/>
        </w:rPr>
        <w:footnoteReference w:id="13"/>
      </w:r>
      <w:r w:rsidRPr="006F3533">
        <w:rPr>
          <w:rFonts w:eastAsia="Times New Roman" w:cs="Times New Roman"/>
          <w:szCs w:val="24"/>
          <w:lang w:val="bg-BG" w:eastAsia="bg-BG"/>
        </w:rPr>
        <w:t xml:space="preserve"> предвижда, че когато различни части от една сграда имат различно предназначение съгласно класификацията по наредбата по чл. 31, ал. 4 ЗЕЕ, се издават отделни енергийни сертификати за всяка част.</w:t>
      </w:r>
      <w:r w:rsidRPr="006F3533">
        <w:rPr>
          <w:rFonts w:eastAsia="Calibri" w:cs="Times New Roman"/>
          <w:szCs w:val="24"/>
          <w:lang w:val="bg-BG"/>
        </w:rPr>
        <w:t xml:space="preserve"> </w:t>
      </w:r>
      <w:r w:rsidRPr="006F3533">
        <w:rPr>
          <w:rFonts w:eastAsia="Times New Roman" w:cs="Times New Roman"/>
          <w:szCs w:val="24"/>
          <w:lang w:val="bg-BG" w:eastAsia="bg-BG"/>
        </w:rPr>
        <w:t>В този смисъл сградите със смесено предназначение представляват междинна категория, която статистиката и кадастърът обособяват ясно, докато нормативите за енергийна ефективност ги разглеждат функционално, през призмата на различните енергийни режими. За целите на анализа това означава, че смесените сгради следва да се разглеждат като комбинация от жилищен и нежилищен фонд, при която всяка функционална част се оценява и сертифицира отделно.</w:t>
      </w:r>
      <w:r w:rsidRPr="006F3533">
        <w:rPr>
          <w:rFonts w:eastAsia="Calibri" w:cs="Times New Roman"/>
          <w:szCs w:val="24"/>
          <w:lang w:val="bg-BG"/>
        </w:rPr>
        <w:t xml:space="preserve"> </w:t>
      </w:r>
      <w:r w:rsidRPr="006F3533">
        <w:rPr>
          <w:rFonts w:eastAsia="Times New Roman" w:cs="Times New Roman"/>
          <w:szCs w:val="24"/>
          <w:lang w:val="bg-BG" w:eastAsia="bg-BG"/>
        </w:rPr>
        <w:t>От това следва, че смесените сгради за целите на енергийния анализ трябва да се разглеждат като комбинация от жилищен и нежилищен фонд, при която всяка функционална част се оценява и сертифицира самостоятелно, когато не доминира над 90% от климатизирания обем. Този подход гарантира точност на енергийните оценки, съпоставимост на данните и коректно отразяване на реалния начин на използване и експлоатационните особености на сградите със смесено предназначение.</w:t>
      </w:r>
    </w:p>
    <w:p w14:paraId="1917C3C2" w14:textId="77777777" w:rsidR="00E6313A" w:rsidRPr="006F3533" w:rsidRDefault="00E6313A" w:rsidP="00E6313A">
      <w:pPr>
        <w:spacing w:before="100" w:beforeAutospacing="1" w:after="100" w:afterAutospacing="1" w:line="240" w:lineRule="auto"/>
        <w:jc w:val="both"/>
        <w:rPr>
          <w:rFonts w:eastAsia="Times New Roman" w:cs="Times New Roman"/>
          <w:b/>
          <w:bCs/>
          <w:szCs w:val="24"/>
          <w:lang w:val="bg-BG" w:eastAsia="bg-BG"/>
        </w:rPr>
      </w:pPr>
      <w:bookmarkStart w:id="10" w:name="_Hlk215052356"/>
      <w:r w:rsidRPr="006F3533">
        <w:rPr>
          <w:rFonts w:eastAsia="Times New Roman" w:cs="Times New Roman"/>
          <w:b/>
          <w:bCs/>
          <w:szCs w:val="24"/>
          <w:lang w:val="bg-BG" w:eastAsia="bg-BG"/>
        </w:rPr>
        <w:t>Общежития:</w:t>
      </w:r>
    </w:p>
    <w:bookmarkEnd w:id="10"/>
    <w:p w14:paraId="3FBD9A68"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„Общежития“ (НСИ);</w:t>
      </w:r>
    </w:p>
    <w:p w14:paraId="67D952B5"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(нормативи за ЕЕ);</w:t>
      </w:r>
    </w:p>
    <w:p w14:paraId="1746DC2C"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„Общежития“ (АГКК).</w:t>
      </w:r>
    </w:p>
    <w:p w14:paraId="1479457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Според дефиницията на НСИ общежитието е жилищна сграда, то обслужва специфична група лица и предназначението му е временно или сезонно задоволяване на жилищни потребности, а не формиране на постоянни домакинства. Ето защо общежитията са класифицирани отделно от жилищните блокове и къщите, макар по конструктивен и функционален характер да имат редица сходства с многофамилните жилищни сгради. В кадастралната класификация на АГКК общежитието също фигурира като самостоятелен </w:t>
      </w:r>
      <w:r w:rsidRPr="006F3533">
        <w:rPr>
          <w:rFonts w:eastAsia="Times New Roman" w:cs="Times New Roman"/>
          <w:szCs w:val="24"/>
          <w:lang w:val="bg-BG" w:eastAsia="bg-BG"/>
        </w:rPr>
        <w:lastRenderedPageBreak/>
        <w:t xml:space="preserve">вид сграда. То се третира не като съвкупност от самостоятелни обекти на собственост, а като единен функционален обект, предназначен за колективно или групово обитаване. Това отговаря на реалността, че общежитията обикновено не съдържат апартаменти в класическия смисъл, а </w:t>
      </w:r>
      <w:r w:rsidRPr="006F3533">
        <w:rPr>
          <w:rFonts w:eastAsia="Times New Roman" w:cs="Times New Roman"/>
          <w:b/>
          <w:bCs/>
          <w:szCs w:val="24"/>
          <w:lang w:val="bg-BG" w:eastAsia="bg-BG"/>
        </w:rPr>
        <w:t>стаи или помещения за настаняване, които нямат статут на отделни жилища.</w:t>
      </w:r>
      <w:r w:rsidRPr="006F3533">
        <w:rPr>
          <w:rFonts w:eastAsia="Times New Roman" w:cs="Times New Roman"/>
          <w:szCs w:val="24"/>
          <w:lang w:val="bg-BG" w:eastAsia="bg-BG"/>
        </w:rPr>
        <w:t xml:space="preserve"> Тази специфика ги отличава от многофамилните жилищни сгради по линия на правния статут, но не и по линия на енергийните характеристики. Именно последната особеност е причина общежитията да бъдат третирани по различен начин в нормативната рамка за енергийна ефективност. В тази връзка общежитията са включени в обхвата на скалата на класовете за енергопотребление, приложима за многофамилните жилищни сгради. Това решение е обосновано от близката функционална аналогия между общежитията и жилищните блокове. И двата типа сгради съдържат голям брой отделни помещения или обекти за обитаване в рамките на един строителен обем, имат общи инсталации, общи части, вертикални комуникации и сходни топлинни загуби.</w:t>
      </w:r>
    </w:p>
    <w:p w14:paraId="0B6B035C" w14:textId="77777777" w:rsidR="00E6313A" w:rsidRPr="006F3533" w:rsidRDefault="00E6313A" w:rsidP="00E6313A">
      <w:pPr>
        <w:spacing w:before="100" w:beforeAutospacing="1" w:after="100" w:afterAutospacing="1" w:line="240" w:lineRule="auto"/>
        <w:jc w:val="both"/>
        <w:rPr>
          <w:rFonts w:eastAsia="Times New Roman" w:cs="Times New Roman"/>
          <w:b/>
          <w:bCs/>
          <w:szCs w:val="24"/>
          <w:lang w:val="bg-BG" w:eastAsia="bg-BG"/>
        </w:rPr>
      </w:pPr>
      <w:bookmarkStart w:id="11" w:name="_Hlk215052375"/>
      <w:r w:rsidRPr="006F3533">
        <w:rPr>
          <w:rFonts w:eastAsia="Times New Roman" w:cs="Times New Roman"/>
          <w:b/>
          <w:bCs/>
          <w:szCs w:val="24"/>
          <w:lang w:val="bg-BG" w:eastAsia="bg-BG"/>
        </w:rPr>
        <w:t>Вили/летни кухни/къщи за почивка:</w:t>
      </w:r>
    </w:p>
    <w:bookmarkEnd w:id="11"/>
    <w:p w14:paraId="236C9014"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,,Вила“ (НСИ); </w:t>
      </w:r>
    </w:p>
    <w:p w14:paraId="16E016D3"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(нормативи за ЕЕ);</w:t>
      </w:r>
    </w:p>
    <w:p w14:paraId="2DD8620A" w14:textId="77777777" w:rsidR="00E6313A" w:rsidRPr="006F3533" w:rsidRDefault="00E6313A" w:rsidP="00551FED">
      <w:pPr>
        <w:numPr>
          <w:ilvl w:val="0"/>
          <w:numId w:val="108"/>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,,Вилна сграда – еднофамилна“, ,,Вилна сграда – многофамилна“ и ,,Постройка на допълващото застрояване“ (АГКК).</w:t>
      </w:r>
    </w:p>
    <w:p w14:paraId="6135D4C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Категорията „вили/летни кухни/къщи за почивка“ не би следвало да се отчита при анализа на националния жилищен фонд (в частта ЕЕ показатели), доколкото тези сгради имат сезонен характер на обитаване, или са „необитавани“ по смисъла на дефиницията за обитаемост, респективно не попадат в обхвата на ЗЕЕ и не подлежат на обследване и сертифициране</w:t>
      </w:r>
      <w:r w:rsidRPr="006F3533">
        <w:rPr>
          <w:rFonts w:eastAsia="Times New Roman" w:cs="Times New Roman"/>
          <w:szCs w:val="24"/>
          <w:vertAlign w:val="superscript"/>
          <w:lang w:val="bg-BG" w:eastAsia="bg-BG"/>
        </w:rPr>
        <w:footnoteReference w:id="14"/>
      </w:r>
      <w:r w:rsidRPr="006F3533">
        <w:rPr>
          <w:rFonts w:eastAsia="Times New Roman" w:cs="Times New Roman"/>
          <w:szCs w:val="24"/>
          <w:lang w:val="bg-BG" w:eastAsia="bg-BG"/>
        </w:rPr>
        <w:t>. Това изключение е в съответствие и с Директива (ЕС) 2024/1275, която освобождава от сертифициране сградите, използвани по-малко от четири месеца годишно.</w:t>
      </w:r>
    </w:p>
    <w:p w14:paraId="692FAFA6" w14:textId="77777777" w:rsidR="00E6313A" w:rsidRPr="006F3533" w:rsidRDefault="00E6313A" w:rsidP="00E6313A">
      <w:pPr>
        <w:spacing w:before="100" w:beforeAutospacing="1" w:after="100" w:afterAutospacing="1" w:line="240" w:lineRule="auto"/>
        <w:jc w:val="both"/>
        <w:rPr>
          <w:rFonts w:eastAsia="Times New Roman" w:cs="Times New Roman"/>
          <w:b/>
          <w:bCs/>
          <w:szCs w:val="24"/>
          <w:lang w:val="bg-BG" w:eastAsia="bg-BG"/>
        </w:rPr>
      </w:pPr>
      <w:bookmarkStart w:id="12" w:name="_Hlk215052387"/>
      <w:r w:rsidRPr="006F3533">
        <w:rPr>
          <w:rFonts w:eastAsia="Times New Roman" w:cs="Times New Roman"/>
          <w:b/>
          <w:bCs/>
          <w:szCs w:val="24"/>
          <w:lang w:val="bg-BG" w:eastAsia="bg-BG"/>
        </w:rPr>
        <w:t>Сгради за колективни домакинства</w:t>
      </w:r>
    </w:p>
    <w:bookmarkEnd w:id="12"/>
    <w:p w14:paraId="657274B4"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,,Сграда за колективно домакинство“ (НСИ); </w:t>
      </w:r>
    </w:p>
    <w:p w14:paraId="72F411D4"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(нормативи за ЕЕ);</w:t>
      </w:r>
    </w:p>
    <w:p w14:paraId="185CD633" w14:textId="77777777" w:rsidR="00E6313A" w:rsidRPr="006F3533" w:rsidRDefault="00E6313A" w:rsidP="00551FED">
      <w:pPr>
        <w:numPr>
          <w:ilvl w:val="0"/>
          <w:numId w:val="105"/>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(АГКК).</w:t>
      </w:r>
    </w:p>
    <w:p w14:paraId="3C921075" w14:textId="77777777" w:rsidR="00E6313A" w:rsidRPr="006F3533" w:rsidRDefault="00E6313A" w:rsidP="00E6313A">
      <w:pPr>
        <w:spacing w:before="100" w:beforeAutospacing="1" w:after="100" w:afterAutospacing="1" w:line="240" w:lineRule="auto"/>
        <w:jc w:val="both"/>
        <w:rPr>
          <w:rFonts w:eastAsia="Calibri" w:cs="Times New Roman"/>
          <w:szCs w:val="24"/>
          <w:lang w:val="bg-BG"/>
        </w:rPr>
      </w:pPr>
      <w:r w:rsidRPr="006F3533">
        <w:rPr>
          <w:rFonts w:eastAsia="Times New Roman" w:cs="Times New Roman"/>
          <w:szCs w:val="24"/>
          <w:lang w:val="bg-BG" w:eastAsia="bg-BG"/>
        </w:rPr>
        <w:t xml:space="preserve">Категорията „сграда за колективно домакинство“ представлява специфичен тип сгради, които по дефиниция на НСИ включват интернати, пансиони, манастири, домове за деца, домове за стари хора, затвори и други институции, в които се настаняват лица, образуващи т.нар. колективни домакинства. Това са сгради със строго </w:t>
      </w:r>
      <w:r w:rsidRPr="006F3533">
        <w:rPr>
          <w:rFonts w:eastAsia="Times New Roman" w:cs="Times New Roman"/>
          <w:b/>
          <w:bCs/>
          <w:szCs w:val="24"/>
          <w:lang w:val="bg-BG" w:eastAsia="bg-BG"/>
        </w:rPr>
        <w:t>специализирано предназначение</w:t>
      </w:r>
      <w:r w:rsidRPr="006F3533">
        <w:rPr>
          <w:rFonts w:eastAsia="Times New Roman" w:cs="Times New Roman"/>
          <w:szCs w:val="24"/>
          <w:lang w:val="bg-BG" w:eastAsia="bg-BG"/>
        </w:rPr>
        <w:t xml:space="preserve">, различно от традиционното жилищно обитаване, като тяхната структура и режим на функциониране са подчинени на социални, здравни, образователни или корекционни функции. Данните от Преброяване 2021 показват, че техният брой е малък – 595 сгради за цялата страна, което представлява пренебрежимо малък дял от общия жилищен фонд. В кадастралната система (АГКК) тези сгради не се обособяват като самостоятелна жилищна категория, а попадат в категорията ,,Друг вид сграда за обитаване“ или по-общите групи на обществени или специализирани сгради. Нормативите в областта на енергийната ефективност също не дефинират отделна </w:t>
      </w:r>
      <w:r w:rsidRPr="006F3533">
        <w:rPr>
          <w:rFonts w:eastAsia="Times New Roman" w:cs="Times New Roman"/>
          <w:szCs w:val="24"/>
          <w:lang w:val="bg-BG" w:eastAsia="bg-BG"/>
        </w:rPr>
        <w:lastRenderedPageBreak/>
        <w:t xml:space="preserve">категория „сграда за колективно домакинство“, тъй като те не са предназначени за стандартно жилищно ползване и голяма част от тях не попадат в обхвата на задължителното енергийно сертифициране, включително поради сезонно ползване, специфичен режим на обитаване или социален статут. </w:t>
      </w:r>
    </w:p>
    <w:p w14:paraId="4A8E3F9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обобщение, представените по-горе дефиниции и класификационни системи осигуряват обща рамка за съпоставим анализ на жилищния сграден фонд, въпреки липсата на единна национална класификация. За целите на доклада се използват трите основни институционални източника – НСИ, АГКК и АУЕР – като данните от Преброяване 2021 са водещи при описанието на сградния фонд и обитаването, кадастралната информация осигурява функционална и нормативна категоризация, а данните от АУЕР са основа за анализа на енергийните характеристики и обновяването на сградите. </w:t>
      </w:r>
    </w:p>
    <w:p w14:paraId="4E2AF4C0" w14:textId="77777777" w:rsidR="00E6313A" w:rsidRPr="006F3533" w:rsidRDefault="00E6313A" w:rsidP="00E6313A">
      <w:pPr>
        <w:pStyle w:val="Heading2"/>
        <w:rPr>
          <w:lang w:val="bg-BG"/>
        </w:rPr>
      </w:pPr>
      <w:bookmarkStart w:id="13" w:name="_Toc29741301"/>
      <w:bookmarkStart w:id="14" w:name="_Toc216776906"/>
      <w:bookmarkStart w:id="15" w:name="_Toc29053239"/>
      <w:bookmarkStart w:id="16" w:name="_Toc217837097"/>
      <w:bookmarkStart w:id="17" w:name="_Toc217888755"/>
      <w:r w:rsidRPr="006F3533">
        <w:rPr>
          <w:lang w:val="bg-BG"/>
        </w:rPr>
        <w:t>Общи данни за жилищния сграден фонд</w:t>
      </w:r>
      <w:bookmarkEnd w:id="13"/>
      <w:bookmarkEnd w:id="14"/>
      <w:bookmarkEnd w:id="15"/>
      <w:bookmarkEnd w:id="16"/>
      <w:bookmarkEnd w:id="17"/>
    </w:p>
    <w:p w14:paraId="60FC429D"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bookmarkStart w:id="18" w:name="_Toc29053240"/>
      <w:bookmarkStart w:id="19" w:name="_Toc29741302"/>
      <w:bookmarkStart w:id="20" w:name="_Toc216776907"/>
      <w:bookmarkStart w:id="21" w:name="_Hlk217409020"/>
      <w:r w:rsidRPr="006F3533">
        <w:rPr>
          <w:rFonts w:eastAsia="Times New Roman" w:cs="Times New Roman"/>
          <w:b/>
          <w:bCs/>
          <w:szCs w:val="24"/>
          <w:lang w:val="bg-BG" w:eastAsia="bg-BG"/>
        </w:rPr>
        <w:t>Режим и начин на обитаване</w:t>
      </w:r>
      <w:bookmarkEnd w:id="18"/>
      <w:bookmarkEnd w:id="19"/>
      <w:bookmarkEnd w:id="20"/>
    </w:p>
    <w:bookmarkEnd w:id="21"/>
    <w:p w14:paraId="48946B35" w14:textId="77777777" w:rsidR="00E6313A" w:rsidRPr="006F3533" w:rsidRDefault="00E6313A" w:rsidP="00E6313A">
      <w:pPr>
        <w:spacing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Съгласно данните от последното преброяване на населението и жилищния фонд в Република България, към 7 септември 2021 г. в страната се намират </w:t>
      </w:r>
      <w:r w:rsidRPr="006F3533">
        <w:rPr>
          <w:rFonts w:eastAsia="Times New Roman" w:cs="Times New Roman"/>
          <w:b/>
          <w:bCs/>
          <w:szCs w:val="24"/>
          <w:lang w:val="bg-BG" w:eastAsia="bg-BG"/>
        </w:rPr>
        <w:t>2 123 121 жилищни сгради,</w:t>
      </w:r>
      <w:r w:rsidRPr="006F3533">
        <w:rPr>
          <w:rFonts w:eastAsia="Times New Roman" w:cs="Times New Roman"/>
          <w:szCs w:val="24"/>
          <w:lang w:val="bg-BG" w:eastAsia="bg-BG"/>
        </w:rPr>
        <w:t xml:space="preserve"> в които са разположени </w:t>
      </w:r>
      <w:r w:rsidRPr="006F3533">
        <w:rPr>
          <w:rFonts w:eastAsia="Times New Roman" w:cs="Times New Roman"/>
          <w:b/>
          <w:bCs/>
          <w:szCs w:val="24"/>
          <w:lang w:val="bg-BG" w:eastAsia="bg-BG"/>
        </w:rPr>
        <w:t>4 257 919 жилища</w:t>
      </w:r>
      <w:r w:rsidRPr="006F3533">
        <w:rPr>
          <w:rFonts w:eastAsia="Times New Roman" w:cs="Times New Roman"/>
          <w:szCs w:val="24"/>
          <w:vertAlign w:val="superscript"/>
          <w:lang w:val="bg-BG" w:eastAsia="bg-BG"/>
        </w:rPr>
        <w:footnoteReference w:id="15"/>
      </w:r>
      <w:r w:rsidRPr="006F3533">
        <w:rPr>
          <w:rFonts w:eastAsia="Times New Roman" w:cs="Times New Roman"/>
          <w:szCs w:val="24"/>
          <w:lang w:val="bg-BG" w:eastAsia="bg-BG"/>
        </w:rPr>
        <w:t xml:space="preserve">  с обща полезна площ</w:t>
      </w:r>
      <w:r w:rsidRPr="006F3533">
        <w:rPr>
          <w:rFonts w:eastAsia="Times New Roman" w:cs="Times New Roman"/>
          <w:szCs w:val="24"/>
          <w:vertAlign w:val="superscript"/>
          <w:lang w:val="bg-BG" w:eastAsia="bg-BG"/>
        </w:rPr>
        <w:footnoteReference w:id="16"/>
      </w:r>
      <w:r w:rsidRPr="006F3533">
        <w:rPr>
          <w:rFonts w:eastAsia="Times New Roman" w:cs="Times New Roman"/>
          <w:szCs w:val="24"/>
          <w:lang w:val="bg-BG" w:eastAsia="bg-BG"/>
        </w:rPr>
        <w:t xml:space="preserve"> над 334 млн. кв. м. От тях само 1 152 978 сгради, или </w:t>
      </w:r>
      <w:r w:rsidRPr="006F3533">
        <w:rPr>
          <w:rFonts w:eastAsia="Times New Roman" w:cs="Times New Roman"/>
          <w:b/>
          <w:bCs/>
          <w:szCs w:val="24"/>
          <w:lang w:val="bg-BG" w:eastAsia="bg-BG"/>
        </w:rPr>
        <w:t>54,3%, са обитавани</w:t>
      </w:r>
      <w:r w:rsidRPr="006F3533">
        <w:rPr>
          <w:rFonts w:eastAsia="Times New Roman" w:cs="Times New Roman"/>
          <w:szCs w:val="24"/>
          <w:vertAlign w:val="superscript"/>
          <w:lang w:val="bg-BG" w:eastAsia="bg-BG"/>
        </w:rPr>
        <w:footnoteReference w:id="17"/>
      </w:r>
      <w:r w:rsidRPr="006F3533">
        <w:rPr>
          <w:rFonts w:eastAsia="Times New Roman" w:cs="Times New Roman"/>
          <w:szCs w:val="24"/>
          <w:lang w:val="bg-BG" w:eastAsia="bg-BG"/>
        </w:rPr>
        <w:t xml:space="preserve">. Това означава, че почти половината от жилищните сгради в страната </w:t>
      </w:r>
      <w:r w:rsidRPr="006F3533">
        <w:rPr>
          <w:rFonts w:eastAsia="Times New Roman" w:cs="Times New Roman"/>
          <w:b/>
          <w:bCs/>
          <w:szCs w:val="24"/>
          <w:lang w:val="bg-BG" w:eastAsia="bg-BG"/>
        </w:rPr>
        <w:t xml:space="preserve">(45,7%) са необитавани, което представлява чувствително увеличение </w:t>
      </w:r>
      <w:r w:rsidRPr="006F3533">
        <w:rPr>
          <w:rFonts w:eastAsia="Times New Roman" w:cs="Times New Roman"/>
          <w:szCs w:val="24"/>
          <w:lang w:val="bg-BG" w:eastAsia="bg-BG"/>
        </w:rPr>
        <w:t>спрямо данните от предходното преброяване през 2011 г., когато делът на обитаваните сгради е бил 73,1%.</w:t>
      </w:r>
    </w:p>
    <w:p w14:paraId="00E1B8DC" w14:textId="77777777" w:rsidR="00E6313A" w:rsidRPr="006F3533" w:rsidRDefault="00E6313A" w:rsidP="00E6313A">
      <w:pPr>
        <w:spacing w:line="240" w:lineRule="auto"/>
        <w:jc w:val="both"/>
        <w:rPr>
          <w:rFonts w:cs="Times New Roman"/>
          <w:i/>
          <w:iCs/>
          <w:color w:val="0070C0"/>
          <w:szCs w:val="24"/>
          <w:lang w:val="bg-BG"/>
        </w:rPr>
      </w:pPr>
      <w:bookmarkStart w:id="22" w:name="_Toc216777093"/>
      <w:bookmarkStart w:id="23" w:name="_Hlk216622196"/>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w:t>
      </w:r>
      <w:r w:rsidRPr="006F3533">
        <w:rPr>
          <w:rFonts w:cs="Times New Roman"/>
          <w:i/>
          <w:iCs/>
          <w:color w:val="0070C0"/>
          <w:szCs w:val="24"/>
          <w:lang w:val="bg-BG"/>
        </w:rPr>
        <w:fldChar w:fldCharType="end"/>
      </w:r>
      <w:r w:rsidRPr="006F3533">
        <w:rPr>
          <w:rFonts w:cs="Times New Roman"/>
          <w:i/>
          <w:iCs/>
          <w:color w:val="0070C0"/>
          <w:szCs w:val="24"/>
          <w:lang w:val="bg-BG"/>
        </w:rPr>
        <w:t>: Жилищни сгради според режим и начин на обитаване към 7.09.2021</w:t>
      </w:r>
      <w:bookmarkEnd w:id="22"/>
      <w:r w:rsidRPr="006F3533">
        <w:rPr>
          <w:rFonts w:cs="Times New Roman"/>
          <w:i/>
          <w:iCs/>
          <w:color w:val="0070C0"/>
          <w:szCs w:val="24"/>
          <w:lang w:val="bg-BG"/>
        </w:rPr>
        <w:t>г.</w:t>
      </w:r>
    </w:p>
    <w:tbl>
      <w:tblPr>
        <w:tblStyle w:val="GridTable4-Accent51"/>
        <w:tblW w:w="10201" w:type="dxa"/>
        <w:jc w:val="center"/>
        <w:tblLook w:val="04A0" w:firstRow="1" w:lastRow="0" w:firstColumn="1" w:lastColumn="0" w:noHBand="0" w:noVBand="1"/>
      </w:tblPr>
      <w:tblGrid>
        <w:gridCol w:w="3260"/>
        <w:gridCol w:w="1076"/>
        <w:gridCol w:w="1334"/>
        <w:gridCol w:w="1049"/>
        <w:gridCol w:w="1077"/>
        <w:gridCol w:w="1271"/>
        <w:gridCol w:w="1134"/>
      </w:tblGrid>
      <w:tr w:rsidR="00E6313A" w:rsidRPr="006F3533" w14:paraId="4E803C11" w14:textId="77777777" w:rsidTr="00541E06">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260" w:type="dxa"/>
            <w:vMerge w:val="restart"/>
          </w:tcPr>
          <w:bookmarkEnd w:id="23"/>
          <w:p w14:paraId="6E7D72E9" w14:textId="77777777" w:rsidR="00E6313A" w:rsidRPr="006F3533" w:rsidRDefault="00E6313A" w:rsidP="00541E06">
            <w:pPr>
              <w:spacing w:before="100" w:beforeAutospacing="1" w:after="100" w:afterAutospacing="1"/>
              <w:jc w:val="center"/>
              <w:rPr>
                <w:rFonts w:eastAsia="Times New Roman" w:cs="Times New Roman"/>
                <w:b w:val="0"/>
                <w:bCs w:val="0"/>
                <w:sz w:val="20"/>
                <w:lang w:val="bg-BG" w:eastAsia="bg-BG"/>
              </w:rPr>
            </w:pPr>
            <w:r w:rsidRPr="006F3533">
              <w:rPr>
                <w:rFonts w:eastAsia="Times New Roman" w:cs="Times New Roman"/>
                <w:sz w:val="20"/>
                <w:lang w:val="bg-BG" w:eastAsia="bg-BG"/>
              </w:rPr>
              <w:t>Вид на сградата според режима на обитаване</w:t>
            </w:r>
          </w:p>
          <w:p w14:paraId="5DAE4E2E"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 </w:t>
            </w:r>
          </w:p>
        </w:tc>
        <w:tc>
          <w:tcPr>
            <w:tcW w:w="6941" w:type="dxa"/>
            <w:gridSpan w:val="6"/>
          </w:tcPr>
          <w:p w14:paraId="02FA118F"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 w:val="20"/>
                <w:lang w:val="bg-BG" w:eastAsia="bg-BG"/>
              </w:rPr>
            </w:pPr>
            <w:r w:rsidRPr="006F3533">
              <w:rPr>
                <w:rFonts w:eastAsia="Times New Roman" w:cs="Times New Roman"/>
                <w:sz w:val="20"/>
                <w:lang w:val="bg-BG" w:eastAsia="bg-BG"/>
              </w:rPr>
              <w:t>Начин на обитаване</w:t>
            </w:r>
          </w:p>
        </w:tc>
      </w:tr>
      <w:tr w:rsidR="00E6313A" w:rsidRPr="006F3533" w14:paraId="79450FB6" w14:textId="77777777" w:rsidTr="00541E06">
        <w:trPr>
          <w:trHeight w:val="510"/>
          <w:jc w:val="center"/>
        </w:trPr>
        <w:tc>
          <w:tcPr>
            <w:cnfStyle w:val="001000000000" w:firstRow="0" w:lastRow="0" w:firstColumn="1" w:lastColumn="0" w:oddVBand="0" w:evenVBand="0" w:oddHBand="0" w:evenHBand="0" w:firstRowFirstColumn="0" w:firstRowLastColumn="0" w:lastRowFirstColumn="0" w:lastRowLastColumn="0"/>
            <w:tcW w:w="3260" w:type="dxa"/>
            <w:vMerge/>
            <w:shd w:val="clear" w:color="auto" w:fill="DEEAF6" w:themeFill="accent5" w:themeFillTint="33"/>
          </w:tcPr>
          <w:p w14:paraId="288D3CF5"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p>
        </w:tc>
        <w:tc>
          <w:tcPr>
            <w:tcW w:w="3459" w:type="dxa"/>
            <w:gridSpan w:val="3"/>
            <w:shd w:val="clear" w:color="auto" w:fill="DEEAF6" w:themeFill="accent5" w:themeFillTint="33"/>
          </w:tcPr>
          <w:p w14:paraId="4D68593F"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lang w:val="bg-BG" w:eastAsia="bg-BG"/>
              </w:rPr>
            </w:pPr>
            <w:r w:rsidRPr="006F3533">
              <w:rPr>
                <w:rFonts w:eastAsia="Times New Roman" w:cs="Times New Roman"/>
                <w:b/>
                <w:bCs/>
                <w:sz w:val="20"/>
                <w:lang w:val="bg-BG" w:eastAsia="bg-BG"/>
              </w:rPr>
              <w:t>Общо обитавани и необитавани сгради</w:t>
            </w:r>
          </w:p>
        </w:tc>
        <w:tc>
          <w:tcPr>
            <w:tcW w:w="3482" w:type="dxa"/>
            <w:gridSpan w:val="3"/>
            <w:shd w:val="clear" w:color="auto" w:fill="DEEAF6" w:themeFill="accent5" w:themeFillTint="33"/>
          </w:tcPr>
          <w:p w14:paraId="3734A259"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lang w:val="bg-BG" w:eastAsia="bg-BG"/>
              </w:rPr>
            </w:pPr>
            <w:r w:rsidRPr="006F3533">
              <w:rPr>
                <w:rFonts w:eastAsia="Times New Roman" w:cs="Times New Roman"/>
                <w:b/>
                <w:bCs/>
                <w:sz w:val="20"/>
                <w:lang w:val="bg-BG" w:eastAsia="bg-BG"/>
              </w:rPr>
              <w:t>Обитавани сгради</w:t>
            </w:r>
          </w:p>
        </w:tc>
      </w:tr>
      <w:tr w:rsidR="00E6313A" w:rsidRPr="006F3533" w14:paraId="5B31B722" w14:textId="77777777" w:rsidTr="00541E06">
        <w:trPr>
          <w:trHeight w:val="510"/>
          <w:jc w:val="center"/>
        </w:trPr>
        <w:tc>
          <w:tcPr>
            <w:cnfStyle w:val="001000000000" w:firstRow="0" w:lastRow="0" w:firstColumn="1" w:lastColumn="0" w:oddVBand="0" w:evenVBand="0" w:oddHBand="0" w:evenHBand="0" w:firstRowFirstColumn="0" w:firstRowLastColumn="0" w:lastRowFirstColumn="0" w:lastRowLastColumn="0"/>
            <w:tcW w:w="3260" w:type="dxa"/>
            <w:vMerge/>
          </w:tcPr>
          <w:p w14:paraId="6978C215"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p>
        </w:tc>
        <w:tc>
          <w:tcPr>
            <w:tcW w:w="1076" w:type="dxa"/>
          </w:tcPr>
          <w:p w14:paraId="58BAA154"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Сгради, бр.</w:t>
            </w:r>
          </w:p>
        </w:tc>
        <w:tc>
          <w:tcPr>
            <w:tcW w:w="1334" w:type="dxa"/>
          </w:tcPr>
          <w:p w14:paraId="0ACBFD78"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Полезна площ, м2</w:t>
            </w:r>
          </w:p>
        </w:tc>
        <w:tc>
          <w:tcPr>
            <w:tcW w:w="1049" w:type="dxa"/>
          </w:tcPr>
          <w:p w14:paraId="4EC791ED"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Жилища, бр.</w:t>
            </w:r>
          </w:p>
        </w:tc>
        <w:tc>
          <w:tcPr>
            <w:tcW w:w="1077" w:type="dxa"/>
          </w:tcPr>
          <w:p w14:paraId="593606D0"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Сгради, бр.</w:t>
            </w:r>
          </w:p>
        </w:tc>
        <w:tc>
          <w:tcPr>
            <w:tcW w:w="1271" w:type="dxa"/>
          </w:tcPr>
          <w:p w14:paraId="08B051FA"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Полезна площ, м2</w:t>
            </w:r>
          </w:p>
        </w:tc>
        <w:tc>
          <w:tcPr>
            <w:tcW w:w="1134" w:type="dxa"/>
          </w:tcPr>
          <w:p w14:paraId="6F459353"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Жилища, бр.</w:t>
            </w:r>
          </w:p>
        </w:tc>
      </w:tr>
      <w:tr w:rsidR="00E6313A" w:rsidRPr="006F3533" w14:paraId="1F6183E2" w14:textId="77777777" w:rsidTr="00541E06">
        <w:trPr>
          <w:trHeight w:val="1020"/>
          <w:jc w:val="center"/>
        </w:trPr>
        <w:tc>
          <w:tcPr>
            <w:cnfStyle w:val="001000000000" w:firstRow="0" w:lastRow="0" w:firstColumn="1" w:lastColumn="0" w:oddVBand="0" w:evenVBand="0" w:oddHBand="0" w:evenHBand="0" w:firstRowFirstColumn="0" w:firstRowLastColumn="0" w:lastRowFirstColumn="0" w:lastRowLastColumn="0"/>
            <w:tcW w:w="3260" w:type="dxa"/>
            <w:shd w:val="clear" w:color="auto" w:fill="DEEAF6" w:themeFill="accent5" w:themeFillTint="33"/>
          </w:tcPr>
          <w:p w14:paraId="1D4B876B"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Целогодишно обитавани сгради (къща, жилищен блок, кооперация, сграда от смесен тип, общежитие, сграда за колективно домакинство)</w:t>
            </w:r>
          </w:p>
        </w:tc>
        <w:tc>
          <w:tcPr>
            <w:tcW w:w="1076" w:type="dxa"/>
            <w:shd w:val="clear" w:color="auto" w:fill="DEEAF6" w:themeFill="accent5" w:themeFillTint="33"/>
          </w:tcPr>
          <w:p w14:paraId="7596D53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1 946 630</w:t>
            </w:r>
          </w:p>
        </w:tc>
        <w:tc>
          <w:tcPr>
            <w:tcW w:w="1334" w:type="dxa"/>
            <w:shd w:val="clear" w:color="auto" w:fill="DEEAF6" w:themeFill="accent5" w:themeFillTint="33"/>
          </w:tcPr>
          <w:p w14:paraId="367E3B1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327 728 080</w:t>
            </w:r>
          </w:p>
        </w:tc>
        <w:tc>
          <w:tcPr>
            <w:tcW w:w="1049" w:type="dxa"/>
            <w:shd w:val="clear" w:color="auto" w:fill="DEEAF6" w:themeFill="accent5" w:themeFillTint="33"/>
          </w:tcPr>
          <w:p w14:paraId="23AD4C9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4 144 152</w:t>
            </w:r>
          </w:p>
        </w:tc>
        <w:tc>
          <w:tcPr>
            <w:tcW w:w="1077" w:type="dxa"/>
            <w:shd w:val="clear" w:color="auto" w:fill="DEEAF6" w:themeFill="accent5" w:themeFillTint="33"/>
          </w:tcPr>
          <w:p w14:paraId="4A607DB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1 146 400</w:t>
            </w:r>
          </w:p>
        </w:tc>
        <w:tc>
          <w:tcPr>
            <w:tcW w:w="1271" w:type="dxa"/>
            <w:shd w:val="clear" w:color="auto" w:fill="DEEAF6" w:themeFill="accent5" w:themeFillTint="33"/>
          </w:tcPr>
          <w:p w14:paraId="72C3EA8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266 748 210</w:t>
            </w:r>
          </w:p>
        </w:tc>
        <w:tc>
          <w:tcPr>
            <w:tcW w:w="1134" w:type="dxa"/>
            <w:shd w:val="clear" w:color="auto" w:fill="DEEAF6" w:themeFill="accent5" w:themeFillTint="33"/>
          </w:tcPr>
          <w:p w14:paraId="6108884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3 232 180</w:t>
            </w:r>
          </w:p>
        </w:tc>
      </w:tr>
      <w:tr w:rsidR="00E6313A" w:rsidRPr="006F3533" w14:paraId="25DC0E3C" w14:textId="77777777" w:rsidTr="00541E06">
        <w:trPr>
          <w:trHeight w:val="510"/>
          <w:jc w:val="center"/>
        </w:trPr>
        <w:tc>
          <w:tcPr>
            <w:cnfStyle w:val="001000000000" w:firstRow="0" w:lastRow="0" w:firstColumn="1" w:lastColumn="0" w:oddVBand="0" w:evenVBand="0" w:oddHBand="0" w:evenHBand="0" w:firstRowFirstColumn="0" w:firstRowLastColumn="0" w:lastRowFirstColumn="0" w:lastRowLastColumn="0"/>
            <w:tcW w:w="3260" w:type="dxa"/>
          </w:tcPr>
          <w:p w14:paraId="7B0D3862"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Сгради за сезонно обитаване (вила, лятна кухня)</w:t>
            </w:r>
          </w:p>
        </w:tc>
        <w:tc>
          <w:tcPr>
            <w:tcW w:w="1076" w:type="dxa"/>
          </w:tcPr>
          <w:p w14:paraId="45390C2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176 491</w:t>
            </w:r>
          </w:p>
        </w:tc>
        <w:tc>
          <w:tcPr>
            <w:tcW w:w="1334" w:type="dxa"/>
          </w:tcPr>
          <w:p w14:paraId="3893F41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6 669 076</w:t>
            </w:r>
          </w:p>
        </w:tc>
        <w:tc>
          <w:tcPr>
            <w:tcW w:w="1049" w:type="dxa"/>
          </w:tcPr>
          <w:p w14:paraId="1F07A12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113 767</w:t>
            </w:r>
          </w:p>
        </w:tc>
        <w:tc>
          <w:tcPr>
            <w:tcW w:w="1077" w:type="dxa"/>
          </w:tcPr>
          <w:p w14:paraId="02BDE84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6 578</w:t>
            </w:r>
          </w:p>
        </w:tc>
        <w:tc>
          <w:tcPr>
            <w:tcW w:w="1271" w:type="dxa"/>
          </w:tcPr>
          <w:p w14:paraId="4A84AB7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739 520</w:t>
            </w:r>
          </w:p>
        </w:tc>
        <w:tc>
          <w:tcPr>
            <w:tcW w:w="1134" w:type="dxa"/>
          </w:tcPr>
          <w:p w14:paraId="5EB376A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7 406</w:t>
            </w:r>
          </w:p>
        </w:tc>
      </w:tr>
      <w:tr w:rsidR="00E6313A" w:rsidRPr="006F3533" w14:paraId="61485D12" w14:textId="77777777" w:rsidTr="00541E06">
        <w:trPr>
          <w:trHeight w:val="300"/>
          <w:jc w:val="center"/>
        </w:trPr>
        <w:tc>
          <w:tcPr>
            <w:cnfStyle w:val="001000000000" w:firstRow="0" w:lastRow="0" w:firstColumn="1" w:lastColumn="0" w:oddVBand="0" w:evenVBand="0" w:oddHBand="0" w:evenHBand="0" w:firstRowFirstColumn="0" w:firstRowLastColumn="0" w:lastRowFirstColumn="0" w:lastRowLastColumn="0"/>
            <w:tcW w:w="3260" w:type="dxa"/>
            <w:shd w:val="clear" w:color="auto" w:fill="DEEAF6" w:themeFill="accent5" w:themeFillTint="33"/>
          </w:tcPr>
          <w:p w14:paraId="061AC94D"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lastRenderedPageBreak/>
              <w:t>Общо:</w:t>
            </w:r>
          </w:p>
        </w:tc>
        <w:tc>
          <w:tcPr>
            <w:tcW w:w="1076" w:type="dxa"/>
            <w:shd w:val="clear" w:color="auto" w:fill="DEEAF6" w:themeFill="accent5" w:themeFillTint="33"/>
          </w:tcPr>
          <w:p w14:paraId="4CA9369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lang w:val="bg-BG" w:eastAsia="bg-BG"/>
              </w:rPr>
            </w:pPr>
            <w:bookmarkStart w:id="24" w:name="_Hlk214969823"/>
            <w:bookmarkStart w:id="25" w:name="RANGE!D10"/>
            <w:r w:rsidRPr="006F3533">
              <w:rPr>
                <w:rFonts w:eastAsia="Times New Roman" w:cs="Times New Roman"/>
                <w:b/>
                <w:bCs/>
                <w:sz w:val="20"/>
                <w:lang w:val="bg-BG" w:eastAsia="bg-BG"/>
              </w:rPr>
              <w:t>2 123 121</w:t>
            </w:r>
            <w:bookmarkEnd w:id="24"/>
            <w:bookmarkEnd w:id="25"/>
          </w:p>
        </w:tc>
        <w:tc>
          <w:tcPr>
            <w:tcW w:w="1334" w:type="dxa"/>
            <w:shd w:val="clear" w:color="auto" w:fill="DEEAF6" w:themeFill="accent5" w:themeFillTint="33"/>
          </w:tcPr>
          <w:p w14:paraId="12A0DBE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lang w:val="bg-BG" w:eastAsia="bg-BG"/>
              </w:rPr>
            </w:pPr>
            <w:r w:rsidRPr="006F3533">
              <w:rPr>
                <w:rFonts w:eastAsia="Times New Roman" w:cs="Times New Roman"/>
                <w:b/>
                <w:bCs/>
                <w:sz w:val="20"/>
                <w:lang w:val="bg-BG" w:eastAsia="bg-BG"/>
              </w:rPr>
              <w:t>334 397 156</w:t>
            </w:r>
          </w:p>
        </w:tc>
        <w:tc>
          <w:tcPr>
            <w:tcW w:w="1049" w:type="dxa"/>
            <w:shd w:val="clear" w:color="auto" w:fill="DEEAF6" w:themeFill="accent5" w:themeFillTint="33"/>
          </w:tcPr>
          <w:p w14:paraId="4020457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lang w:val="bg-BG" w:eastAsia="bg-BG"/>
              </w:rPr>
            </w:pPr>
            <w:r w:rsidRPr="006F3533">
              <w:rPr>
                <w:rFonts w:eastAsia="Times New Roman" w:cs="Times New Roman"/>
                <w:b/>
                <w:bCs/>
                <w:sz w:val="20"/>
                <w:lang w:val="bg-BG" w:eastAsia="bg-BG"/>
              </w:rPr>
              <w:t>4 257 919</w:t>
            </w:r>
          </w:p>
        </w:tc>
        <w:tc>
          <w:tcPr>
            <w:tcW w:w="1077" w:type="dxa"/>
            <w:shd w:val="clear" w:color="auto" w:fill="DEEAF6" w:themeFill="accent5" w:themeFillTint="33"/>
          </w:tcPr>
          <w:p w14:paraId="3114DFC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lang w:val="bg-BG" w:eastAsia="bg-BG"/>
              </w:rPr>
            </w:pPr>
            <w:r w:rsidRPr="006F3533">
              <w:rPr>
                <w:rFonts w:eastAsia="Times New Roman" w:cs="Times New Roman"/>
                <w:b/>
                <w:bCs/>
                <w:sz w:val="20"/>
                <w:lang w:val="bg-BG" w:eastAsia="bg-BG"/>
              </w:rPr>
              <w:t>1 152 978</w:t>
            </w:r>
          </w:p>
        </w:tc>
        <w:tc>
          <w:tcPr>
            <w:tcW w:w="1271" w:type="dxa"/>
            <w:shd w:val="clear" w:color="auto" w:fill="DEEAF6" w:themeFill="accent5" w:themeFillTint="33"/>
          </w:tcPr>
          <w:p w14:paraId="08DAE74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lang w:val="bg-BG" w:eastAsia="bg-BG"/>
              </w:rPr>
            </w:pPr>
            <w:r w:rsidRPr="006F3533">
              <w:rPr>
                <w:rFonts w:eastAsia="Times New Roman" w:cs="Times New Roman"/>
                <w:b/>
                <w:bCs/>
                <w:sz w:val="20"/>
                <w:lang w:val="bg-BG" w:eastAsia="bg-BG"/>
              </w:rPr>
              <w:t>267 487 730</w:t>
            </w:r>
          </w:p>
        </w:tc>
        <w:tc>
          <w:tcPr>
            <w:tcW w:w="1134" w:type="dxa"/>
            <w:shd w:val="clear" w:color="auto" w:fill="DEEAF6" w:themeFill="accent5" w:themeFillTint="33"/>
          </w:tcPr>
          <w:p w14:paraId="50E7A24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lang w:val="bg-BG" w:eastAsia="bg-BG"/>
              </w:rPr>
            </w:pPr>
            <w:r w:rsidRPr="006F3533">
              <w:rPr>
                <w:rFonts w:eastAsia="Times New Roman" w:cs="Times New Roman"/>
                <w:b/>
                <w:bCs/>
                <w:sz w:val="20"/>
                <w:lang w:val="bg-BG" w:eastAsia="bg-BG"/>
              </w:rPr>
              <w:t>3 239 586</w:t>
            </w:r>
          </w:p>
        </w:tc>
      </w:tr>
    </w:tbl>
    <w:p w14:paraId="302763FE" w14:textId="77777777" w:rsidR="00E6313A" w:rsidRPr="006F3533" w:rsidRDefault="00E6313A" w:rsidP="00E6313A">
      <w:pPr>
        <w:spacing w:after="100" w:afterAutospacing="1" w:line="240" w:lineRule="auto"/>
        <w:jc w:val="right"/>
        <w:rPr>
          <w:rFonts w:eastAsia="Calibri" w:cs="Times New Roman"/>
          <w:i/>
          <w:iCs/>
          <w:szCs w:val="24"/>
          <w:lang w:val="bg-BG" w:eastAsia="bg-BG"/>
        </w:rPr>
      </w:pPr>
      <w:bookmarkStart w:id="26" w:name="_Hlk215041814"/>
      <w:r w:rsidRPr="006F3533">
        <w:rPr>
          <w:rFonts w:eastAsia="Calibri" w:cs="Times New Roman"/>
          <w:i/>
          <w:iCs/>
          <w:szCs w:val="24"/>
          <w:lang w:val="bg-BG" w:eastAsia="bg-BG"/>
        </w:rPr>
        <w:t xml:space="preserve">Източник: НСИ, Преброяване на населението и жилищния фонд 2021 г. </w:t>
      </w:r>
    </w:p>
    <w:bookmarkEnd w:id="26"/>
    <w:p w14:paraId="7233C2B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Нарастващият дял на необитаваните сгради се дължи на комбинация от демографски, социални и икономически фактори – </w:t>
      </w:r>
      <w:proofErr w:type="spellStart"/>
      <w:r w:rsidRPr="006F3533">
        <w:rPr>
          <w:rFonts w:eastAsia="Times New Roman" w:cs="Times New Roman"/>
          <w:szCs w:val="24"/>
          <w:lang w:val="bg-BG" w:eastAsia="bg-BG"/>
        </w:rPr>
        <w:t>депопулация</w:t>
      </w:r>
      <w:proofErr w:type="spellEnd"/>
      <w:r w:rsidRPr="006F3533">
        <w:rPr>
          <w:rFonts w:eastAsia="Times New Roman" w:cs="Times New Roman"/>
          <w:szCs w:val="24"/>
          <w:lang w:val="bg-BG" w:eastAsia="bg-BG"/>
        </w:rPr>
        <w:t xml:space="preserve"> на малки населени места, миграция към големите градове и чужбина, наследствени жилища, които не се ползват, закупуване на второ жилище с цел инвестиция,  както и стареене и физическо износване на значителна част от сградния фонд. </w:t>
      </w:r>
    </w:p>
    <w:p w14:paraId="46C0DBB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Обитаваните сгради 1 146 400 с  3 239 586 жилища, с обща полезна площ 267 487 730 кв. м представляват реалният енергиен актив на страната</w:t>
      </w:r>
      <w:r w:rsidRPr="006F3533">
        <w:rPr>
          <w:rFonts w:eastAsia="Times New Roman" w:cs="Times New Roman"/>
          <w:szCs w:val="24"/>
          <w:lang w:val="bg-BG" w:eastAsia="bg-BG"/>
        </w:rPr>
        <w:t xml:space="preserve">. Именно този сегмент от жилищния фонд определя потреблението на енергия, генерираните емисии и обхвата на потенциалните мерки за енергийна ефективност. Същевременно наличието на голям дял необитавани сгради означава, че значителна част от сградния фонд </w:t>
      </w:r>
      <w:r w:rsidRPr="006F3533">
        <w:rPr>
          <w:rFonts w:eastAsia="Times New Roman" w:cs="Times New Roman"/>
          <w:b/>
          <w:bCs/>
          <w:szCs w:val="24"/>
          <w:lang w:val="bg-BG" w:eastAsia="bg-BG"/>
        </w:rPr>
        <w:t>не участва</w:t>
      </w:r>
      <w:r w:rsidRPr="006F3533">
        <w:rPr>
          <w:rFonts w:eastAsia="Times New Roman" w:cs="Times New Roman"/>
          <w:szCs w:val="24"/>
          <w:lang w:val="bg-BG" w:eastAsia="bg-BG"/>
        </w:rPr>
        <w:t xml:space="preserve"> в текущото енергопотребление, но оказва влияние върху общата картина чрез липса на поддръжка, опасност от конструктивни дефекти, както и чрез създаване на неравномерна териториална структура на жилищния ресурс.</w:t>
      </w:r>
    </w:p>
    <w:p w14:paraId="6FB9C60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Особено значим е контрастът между целогодишно обитаваните сгради и тези за сезонно обитаване. В първата категория попадат 1 946 630 сгради, но обитавани са само 1 146 400. Това означава, че дори сред постоянните жилищни сгради почти 800 000 остават необитавани. От сезонните сгради (вили и летни кухни), които наброяват 176 491, обитавани са едва 6 578, т.е. под 4%. Този минимален дял потвърждава техния периферен характер и оправдава изключването им от обхвата на анализа по енергийна ефективност.</w:t>
      </w:r>
    </w:p>
    <w:p w14:paraId="44EF16D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Също така следва да се отчете, че понятието „обитавана сграда“ по методологията на НСИ е функционално – достатъчно е в сградата да живее постоянно поне едно домакинство или лице, за да се класифицира като обитавана. Това означава, че в рамките на една обитавана сграда може да има както обитавани, така и необитавани жилища. Именно поради това </w:t>
      </w:r>
      <w:r w:rsidRPr="006F3533">
        <w:rPr>
          <w:rFonts w:eastAsia="Times New Roman" w:cs="Times New Roman"/>
          <w:b/>
          <w:bCs/>
          <w:szCs w:val="24"/>
          <w:lang w:val="bg-BG" w:eastAsia="bg-BG"/>
        </w:rPr>
        <w:t>общият брой обитавани жилища (2 603 713) е по-малък от броя на жилищата в обитавани сгради (3 239 586)</w:t>
      </w:r>
      <w:r w:rsidRPr="006F3533">
        <w:rPr>
          <w:rFonts w:eastAsia="Times New Roman" w:cs="Times New Roman"/>
          <w:szCs w:val="24"/>
          <w:lang w:val="bg-BG" w:eastAsia="bg-BG"/>
        </w:rPr>
        <w:t xml:space="preserve"> – разлика, която отразява наличието на вътрешни „празнини“ в иначе обитавания жилищен фонд.</w:t>
      </w:r>
    </w:p>
    <w:p w14:paraId="69E5F968" w14:textId="77777777" w:rsidR="00E6313A" w:rsidRPr="006F3533" w:rsidRDefault="00E6313A" w:rsidP="00E6313A">
      <w:pPr>
        <w:spacing w:line="240" w:lineRule="auto"/>
        <w:jc w:val="both"/>
        <w:rPr>
          <w:rFonts w:cs="Times New Roman"/>
          <w:i/>
          <w:iCs/>
          <w:color w:val="0070C0"/>
          <w:szCs w:val="24"/>
          <w:lang w:val="bg-BG"/>
        </w:rPr>
      </w:pPr>
      <w:bookmarkStart w:id="27" w:name="_Toc216635995"/>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w:t>
      </w:r>
      <w:r w:rsidRPr="006F3533">
        <w:rPr>
          <w:rFonts w:cs="Times New Roman"/>
          <w:i/>
          <w:iCs/>
          <w:color w:val="0070C0"/>
          <w:szCs w:val="24"/>
          <w:lang w:val="bg-BG"/>
        </w:rPr>
        <w:fldChar w:fldCharType="end"/>
      </w:r>
      <w:r w:rsidRPr="006F3533">
        <w:rPr>
          <w:rFonts w:cs="Times New Roman"/>
          <w:i/>
          <w:iCs/>
          <w:color w:val="0070C0"/>
          <w:szCs w:val="24"/>
          <w:lang w:val="bg-BG"/>
        </w:rPr>
        <w:t>: Дялово разпределение на обитавани/необитавани жилища в обитавани жилищни сгради към 07.09.2021</w:t>
      </w:r>
      <w:bookmarkEnd w:id="27"/>
      <w:r w:rsidRPr="006F3533">
        <w:rPr>
          <w:rFonts w:cs="Times New Roman"/>
          <w:i/>
          <w:iCs/>
          <w:color w:val="0070C0"/>
          <w:szCs w:val="24"/>
          <w:lang w:val="bg-BG"/>
        </w:rPr>
        <w:t>г.</w:t>
      </w:r>
    </w:p>
    <w:p w14:paraId="369E0C7C" w14:textId="77777777" w:rsidR="00E6313A" w:rsidRPr="006F3533" w:rsidRDefault="00E6313A" w:rsidP="00E6313A">
      <w:pPr>
        <w:spacing w:before="100" w:beforeAutospacing="1" w:after="100" w:afterAutospacing="1" w:line="240" w:lineRule="auto"/>
        <w:jc w:val="center"/>
        <w:rPr>
          <w:rFonts w:eastAsia="Times New Roman" w:cs="Times New Roman"/>
          <w:i/>
          <w:iCs/>
          <w:szCs w:val="24"/>
          <w:lang w:val="bg-BG" w:eastAsia="bg-BG"/>
        </w:rPr>
      </w:pPr>
      <w:r w:rsidRPr="006F3533">
        <w:rPr>
          <w:rFonts w:eastAsia="Calibri" w:cs="Times New Roman"/>
          <w:b/>
          <w:bCs/>
          <w:i/>
          <w:iCs/>
          <w:noProof/>
          <w:szCs w:val="24"/>
          <w:lang w:val="bg-BG"/>
        </w:rPr>
        <w:lastRenderedPageBreak/>
        <w:drawing>
          <wp:inline distT="0" distB="0" distL="0" distR="0" wp14:anchorId="344F02A3" wp14:editId="5625033A">
            <wp:extent cx="4257675" cy="2828925"/>
            <wp:effectExtent l="0" t="0" r="9525" b="9525"/>
            <wp:docPr id="5978753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851B4A1"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 xml:space="preserve">Източник: НСИ, Преброяване на населението и жилищния фонд 2021 г. </w:t>
      </w:r>
    </w:p>
    <w:p w14:paraId="218B7E8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Налице е ясно изразена териториална диференциация по отношение на обитаването на жилищните сгради. </w:t>
      </w:r>
    </w:p>
    <w:p w14:paraId="7F829693" w14:textId="77777777" w:rsidR="00E6313A" w:rsidRPr="006F3533" w:rsidRDefault="00E6313A" w:rsidP="00E6313A">
      <w:pPr>
        <w:spacing w:line="240" w:lineRule="auto"/>
        <w:jc w:val="both"/>
        <w:rPr>
          <w:rFonts w:cs="Times New Roman"/>
          <w:i/>
          <w:iCs/>
          <w:color w:val="0070C0"/>
          <w:szCs w:val="24"/>
          <w:lang w:val="bg-BG"/>
        </w:rPr>
      </w:pPr>
      <w:bookmarkStart w:id="28" w:name="_Toc216777094"/>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2</w:t>
      </w:r>
      <w:r w:rsidRPr="006F3533">
        <w:rPr>
          <w:rFonts w:cs="Times New Roman"/>
          <w:i/>
          <w:iCs/>
          <w:color w:val="0070C0"/>
          <w:szCs w:val="24"/>
          <w:lang w:val="bg-BG"/>
        </w:rPr>
        <w:fldChar w:fldCharType="end"/>
      </w:r>
      <w:r w:rsidRPr="006F3533">
        <w:rPr>
          <w:rFonts w:cs="Times New Roman"/>
          <w:i/>
          <w:iCs/>
          <w:color w:val="0070C0"/>
          <w:szCs w:val="24"/>
          <w:lang w:val="bg-BG"/>
        </w:rPr>
        <w:t>: Жилищни сгради според начин на обитаване по области към 07.09.2021 г.</w:t>
      </w:r>
      <w:bookmarkEnd w:id="28"/>
    </w:p>
    <w:tbl>
      <w:tblPr>
        <w:tblStyle w:val="GridTable4-Accent51"/>
        <w:tblW w:w="9067" w:type="dxa"/>
        <w:tblLook w:val="04A0" w:firstRow="1" w:lastRow="0" w:firstColumn="1" w:lastColumn="0" w:noHBand="0" w:noVBand="1"/>
      </w:tblPr>
      <w:tblGrid>
        <w:gridCol w:w="2200"/>
        <w:gridCol w:w="1840"/>
        <w:gridCol w:w="1960"/>
        <w:gridCol w:w="1560"/>
        <w:gridCol w:w="1507"/>
      </w:tblGrid>
      <w:tr w:rsidR="00E6313A" w:rsidRPr="006F3533" w14:paraId="55702299" w14:textId="77777777" w:rsidTr="00541E06">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00" w:type="dxa"/>
          </w:tcPr>
          <w:p w14:paraId="4FD77DD0"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Област</w:t>
            </w:r>
          </w:p>
        </w:tc>
        <w:tc>
          <w:tcPr>
            <w:tcW w:w="1840" w:type="dxa"/>
          </w:tcPr>
          <w:p w14:paraId="19026A82"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20"/>
                <w:lang w:val="bg-BG" w:eastAsia="bg-BG"/>
              </w:rPr>
            </w:pPr>
            <w:r w:rsidRPr="006F3533">
              <w:rPr>
                <w:rFonts w:eastAsia="Times New Roman" w:cs="Calibri"/>
                <w:sz w:val="20"/>
                <w:lang w:val="bg-BG" w:eastAsia="bg-BG"/>
              </w:rPr>
              <w:t>Сгради общо</w:t>
            </w:r>
          </w:p>
        </w:tc>
        <w:tc>
          <w:tcPr>
            <w:tcW w:w="1960" w:type="dxa"/>
          </w:tcPr>
          <w:p w14:paraId="0CBCBDD1"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20"/>
                <w:lang w:val="bg-BG" w:eastAsia="bg-BG"/>
              </w:rPr>
            </w:pPr>
            <w:r w:rsidRPr="006F3533">
              <w:rPr>
                <w:rFonts w:eastAsia="Times New Roman" w:cs="Calibri"/>
                <w:sz w:val="20"/>
                <w:lang w:val="bg-BG" w:eastAsia="bg-BG"/>
              </w:rPr>
              <w:t>Обитавани сгради</w:t>
            </w:r>
          </w:p>
        </w:tc>
        <w:tc>
          <w:tcPr>
            <w:tcW w:w="1560" w:type="dxa"/>
          </w:tcPr>
          <w:p w14:paraId="3FCAC46E"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20"/>
                <w:lang w:val="bg-BG" w:eastAsia="bg-BG"/>
              </w:rPr>
            </w:pPr>
            <w:r w:rsidRPr="006F3533">
              <w:rPr>
                <w:rFonts w:eastAsia="Times New Roman" w:cs="Calibri"/>
                <w:sz w:val="20"/>
                <w:lang w:val="bg-BG" w:eastAsia="bg-BG"/>
              </w:rPr>
              <w:t xml:space="preserve">Необитавани сгради </w:t>
            </w:r>
          </w:p>
        </w:tc>
        <w:tc>
          <w:tcPr>
            <w:tcW w:w="1507" w:type="dxa"/>
          </w:tcPr>
          <w:p w14:paraId="60DE9111"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20"/>
                <w:lang w:val="bg-BG" w:eastAsia="bg-BG"/>
              </w:rPr>
            </w:pPr>
            <w:r w:rsidRPr="006F3533">
              <w:rPr>
                <w:rFonts w:eastAsia="Times New Roman" w:cs="Calibri"/>
                <w:sz w:val="20"/>
                <w:lang w:val="bg-BG" w:eastAsia="bg-BG"/>
              </w:rPr>
              <w:t xml:space="preserve">Относителен дял на обитаваните сгради </w:t>
            </w:r>
          </w:p>
        </w:tc>
      </w:tr>
      <w:tr w:rsidR="00E6313A" w:rsidRPr="006F3533" w14:paraId="252843C4"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49EC373A"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Благоевград</w:t>
            </w:r>
          </w:p>
        </w:tc>
        <w:tc>
          <w:tcPr>
            <w:tcW w:w="1840" w:type="dxa"/>
            <w:shd w:val="clear" w:color="auto" w:fill="DEEAF6" w:themeFill="accent5" w:themeFillTint="33"/>
            <w:noWrap/>
          </w:tcPr>
          <w:p w14:paraId="060F784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85734</w:t>
            </w:r>
          </w:p>
        </w:tc>
        <w:tc>
          <w:tcPr>
            <w:tcW w:w="1960" w:type="dxa"/>
            <w:shd w:val="clear" w:color="auto" w:fill="DEEAF6" w:themeFill="accent5" w:themeFillTint="33"/>
            <w:noWrap/>
          </w:tcPr>
          <w:p w14:paraId="1A85E4D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57863</w:t>
            </w:r>
          </w:p>
        </w:tc>
        <w:tc>
          <w:tcPr>
            <w:tcW w:w="1560" w:type="dxa"/>
            <w:shd w:val="clear" w:color="auto" w:fill="DEEAF6" w:themeFill="accent5" w:themeFillTint="33"/>
            <w:noWrap/>
          </w:tcPr>
          <w:p w14:paraId="1DA96DB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27871</w:t>
            </w:r>
          </w:p>
        </w:tc>
        <w:tc>
          <w:tcPr>
            <w:tcW w:w="1507" w:type="dxa"/>
            <w:shd w:val="clear" w:color="auto" w:fill="DEEAF6" w:themeFill="accent5" w:themeFillTint="33"/>
            <w:noWrap/>
          </w:tcPr>
          <w:p w14:paraId="07E2DC4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67,5%</w:t>
            </w:r>
          </w:p>
        </w:tc>
      </w:tr>
      <w:tr w:rsidR="00E6313A" w:rsidRPr="006F3533" w14:paraId="47F41B49"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14BC78BE"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Бургас</w:t>
            </w:r>
          </w:p>
        </w:tc>
        <w:tc>
          <w:tcPr>
            <w:tcW w:w="1840" w:type="dxa"/>
            <w:noWrap/>
          </w:tcPr>
          <w:p w14:paraId="1D70CFE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109035</w:t>
            </w:r>
          </w:p>
        </w:tc>
        <w:tc>
          <w:tcPr>
            <w:tcW w:w="1960" w:type="dxa"/>
            <w:noWrap/>
          </w:tcPr>
          <w:p w14:paraId="0BE4208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62811</w:t>
            </w:r>
          </w:p>
        </w:tc>
        <w:tc>
          <w:tcPr>
            <w:tcW w:w="1560" w:type="dxa"/>
            <w:noWrap/>
          </w:tcPr>
          <w:p w14:paraId="49C034C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46224</w:t>
            </w:r>
          </w:p>
        </w:tc>
        <w:tc>
          <w:tcPr>
            <w:tcW w:w="1507" w:type="dxa"/>
            <w:noWrap/>
          </w:tcPr>
          <w:p w14:paraId="6DB4B0E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57,6%</w:t>
            </w:r>
          </w:p>
        </w:tc>
      </w:tr>
      <w:tr w:rsidR="00E6313A" w:rsidRPr="006F3533" w14:paraId="3BE51F95"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7AC7995B"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Варна</w:t>
            </w:r>
          </w:p>
        </w:tc>
        <w:tc>
          <w:tcPr>
            <w:tcW w:w="1840" w:type="dxa"/>
            <w:shd w:val="clear" w:color="auto" w:fill="DEEAF6" w:themeFill="accent5" w:themeFillTint="33"/>
            <w:noWrap/>
          </w:tcPr>
          <w:p w14:paraId="5653301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105147</w:t>
            </w:r>
          </w:p>
        </w:tc>
        <w:tc>
          <w:tcPr>
            <w:tcW w:w="1960" w:type="dxa"/>
            <w:shd w:val="clear" w:color="auto" w:fill="DEEAF6" w:themeFill="accent5" w:themeFillTint="33"/>
            <w:noWrap/>
          </w:tcPr>
          <w:p w14:paraId="5068E24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57054</w:t>
            </w:r>
          </w:p>
        </w:tc>
        <w:tc>
          <w:tcPr>
            <w:tcW w:w="1560" w:type="dxa"/>
            <w:shd w:val="clear" w:color="auto" w:fill="DEEAF6" w:themeFill="accent5" w:themeFillTint="33"/>
            <w:noWrap/>
          </w:tcPr>
          <w:p w14:paraId="62BCDA2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48093</w:t>
            </w:r>
          </w:p>
        </w:tc>
        <w:tc>
          <w:tcPr>
            <w:tcW w:w="1507" w:type="dxa"/>
            <w:shd w:val="clear" w:color="auto" w:fill="DEEAF6" w:themeFill="accent5" w:themeFillTint="33"/>
            <w:noWrap/>
          </w:tcPr>
          <w:p w14:paraId="02095A9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54,3%</w:t>
            </w:r>
          </w:p>
        </w:tc>
      </w:tr>
      <w:tr w:rsidR="00E6313A" w:rsidRPr="006F3533" w14:paraId="19B4D0C1"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5FF970F8"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Велико Търново</w:t>
            </w:r>
          </w:p>
        </w:tc>
        <w:tc>
          <w:tcPr>
            <w:tcW w:w="1840" w:type="dxa"/>
            <w:noWrap/>
          </w:tcPr>
          <w:p w14:paraId="7F6FC2C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85762</w:t>
            </w:r>
          </w:p>
        </w:tc>
        <w:tc>
          <w:tcPr>
            <w:tcW w:w="1960" w:type="dxa"/>
            <w:noWrap/>
          </w:tcPr>
          <w:p w14:paraId="7D8FCFE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46147</w:t>
            </w:r>
          </w:p>
        </w:tc>
        <w:tc>
          <w:tcPr>
            <w:tcW w:w="1560" w:type="dxa"/>
            <w:noWrap/>
          </w:tcPr>
          <w:p w14:paraId="11272CE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39615</w:t>
            </w:r>
          </w:p>
        </w:tc>
        <w:tc>
          <w:tcPr>
            <w:tcW w:w="1507" w:type="dxa"/>
            <w:noWrap/>
          </w:tcPr>
          <w:p w14:paraId="26F17F7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53,8%</w:t>
            </w:r>
          </w:p>
        </w:tc>
      </w:tr>
      <w:tr w:rsidR="00E6313A" w:rsidRPr="006F3533" w14:paraId="74EE7913"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48B936A2"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Видин</w:t>
            </w:r>
          </w:p>
        </w:tc>
        <w:tc>
          <w:tcPr>
            <w:tcW w:w="1840" w:type="dxa"/>
            <w:shd w:val="clear" w:color="auto" w:fill="DEEAF6" w:themeFill="accent5" w:themeFillTint="33"/>
            <w:noWrap/>
          </w:tcPr>
          <w:p w14:paraId="0471B96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56847</w:t>
            </w:r>
          </w:p>
        </w:tc>
        <w:tc>
          <w:tcPr>
            <w:tcW w:w="1960" w:type="dxa"/>
            <w:shd w:val="clear" w:color="auto" w:fill="DEEAF6" w:themeFill="accent5" w:themeFillTint="33"/>
            <w:noWrap/>
          </w:tcPr>
          <w:p w14:paraId="19E1472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19896</w:t>
            </w:r>
          </w:p>
        </w:tc>
        <w:tc>
          <w:tcPr>
            <w:tcW w:w="1560" w:type="dxa"/>
            <w:shd w:val="clear" w:color="auto" w:fill="DEEAF6" w:themeFill="accent5" w:themeFillTint="33"/>
            <w:noWrap/>
          </w:tcPr>
          <w:p w14:paraId="7273949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36951</w:t>
            </w:r>
          </w:p>
        </w:tc>
        <w:tc>
          <w:tcPr>
            <w:tcW w:w="1507" w:type="dxa"/>
            <w:shd w:val="clear" w:color="auto" w:fill="DEEAF6" w:themeFill="accent5" w:themeFillTint="33"/>
            <w:noWrap/>
          </w:tcPr>
          <w:p w14:paraId="5718FEA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35,0%</w:t>
            </w:r>
          </w:p>
        </w:tc>
      </w:tr>
      <w:tr w:rsidR="00E6313A" w:rsidRPr="006F3533" w14:paraId="74CE4F3E"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7BA7CC61"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Враца</w:t>
            </w:r>
          </w:p>
        </w:tc>
        <w:tc>
          <w:tcPr>
            <w:tcW w:w="1840" w:type="dxa"/>
            <w:noWrap/>
          </w:tcPr>
          <w:p w14:paraId="6F58967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89082</w:t>
            </w:r>
          </w:p>
        </w:tc>
        <w:tc>
          <w:tcPr>
            <w:tcW w:w="1960" w:type="dxa"/>
            <w:noWrap/>
          </w:tcPr>
          <w:p w14:paraId="3490CBA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38372</w:t>
            </w:r>
          </w:p>
        </w:tc>
        <w:tc>
          <w:tcPr>
            <w:tcW w:w="1560" w:type="dxa"/>
            <w:noWrap/>
          </w:tcPr>
          <w:p w14:paraId="31E2056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50710</w:t>
            </w:r>
          </w:p>
        </w:tc>
        <w:tc>
          <w:tcPr>
            <w:tcW w:w="1507" w:type="dxa"/>
            <w:noWrap/>
          </w:tcPr>
          <w:p w14:paraId="46F6600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43,1%</w:t>
            </w:r>
          </w:p>
        </w:tc>
      </w:tr>
      <w:tr w:rsidR="00E6313A" w:rsidRPr="006F3533" w14:paraId="4B3C923B"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29C2FCE7"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Габрово</w:t>
            </w:r>
          </w:p>
        </w:tc>
        <w:tc>
          <w:tcPr>
            <w:tcW w:w="1840" w:type="dxa"/>
            <w:shd w:val="clear" w:color="auto" w:fill="DEEAF6" w:themeFill="accent5" w:themeFillTint="33"/>
            <w:noWrap/>
          </w:tcPr>
          <w:p w14:paraId="386CFBA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42898</w:t>
            </w:r>
          </w:p>
        </w:tc>
        <w:tc>
          <w:tcPr>
            <w:tcW w:w="1960" w:type="dxa"/>
            <w:shd w:val="clear" w:color="auto" w:fill="DEEAF6" w:themeFill="accent5" w:themeFillTint="33"/>
            <w:noWrap/>
          </w:tcPr>
          <w:p w14:paraId="47FF891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19802</w:t>
            </w:r>
          </w:p>
        </w:tc>
        <w:tc>
          <w:tcPr>
            <w:tcW w:w="1560" w:type="dxa"/>
            <w:shd w:val="clear" w:color="auto" w:fill="DEEAF6" w:themeFill="accent5" w:themeFillTint="33"/>
            <w:noWrap/>
          </w:tcPr>
          <w:p w14:paraId="313C0E0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23096</w:t>
            </w:r>
          </w:p>
        </w:tc>
        <w:tc>
          <w:tcPr>
            <w:tcW w:w="1507" w:type="dxa"/>
            <w:shd w:val="clear" w:color="auto" w:fill="DEEAF6" w:themeFill="accent5" w:themeFillTint="33"/>
            <w:noWrap/>
          </w:tcPr>
          <w:p w14:paraId="67F2087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46,2%</w:t>
            </w:r>
          </w:p>
        </w:tc>
      </w:tr>
      <w:tr w:rsidR="00E6313A" w:rsidRPr="006F3533" w14:paraId="5EBDBF05"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6DC2ADB5"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Добрич</w:t>
            </w:r>
          </w:p>
        </w:tc>
        <w:tc>
          <w:tcPr>
            <w:tcW w:w="1840" w:type="dxa"/>
            <w:noWrap/>
          </w:tcPr>
          <w:p w14:paraId="608EF58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60104</w:t>
            </w:r>
          </w:p>
        </w:tc>
        <w:tc>
          <w:tcPr>
            <w:tcW w:w="1960" w:type="dxa"/>
            <w:noWrap/>
          </w:tcPr>
          <w:p w14:paraId="676D66B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32022</w:t>
            </w:r>
          </w:p>
        </w:tc>
        <w:tc>
          <w:tcPr>
            <w:tcW w:w="1560" w:type="dxa"/>
            <w:noWrap/>
          </w:tcPr>
          <w:p w14:paraId="6B09BF2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28082</w:t>
            </w:r>
          </w:p>
        </w:tc>
        <w:tc>
          <w:tcPr>
            <w:tcW w:w="1507" w:type="dxa"/>
            <w:noWrap/>
          </w:tcPr>
          <w:p w14:paraId="6FF680F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53,3%</w:t>
            </w:r>
          </w:p>
        </w:tc>
      </w:tr>
      <w:tr w:rsidR="00E6313A" w:rsidRPr="006F3533" w14:paraId="6C733178"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30560D71"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Кърджали</w:t>
            </w:r>
          </w:p>
        </w:tc>
        <w:tc>
          <w:tcPr>
            <w:tcW w:w="1840" w:type="dxa"/>
            <w:shd w:val="clear" w:color="auto" w:fill="DEEAF6" w:themeFill="accent5" w:themeFillTint="33"/>
            <w:noWrap/>
          </w:tcPr>
          <w:p w14:paraId="704E6DB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49602</w:t>
            </w:r>
          </w:p>
        </w:tc>
        <w:tc>
          <w:tcPr>
            <w:tcW w:w="1960" w:type="dxa"/>
            <w:shd w:val="clear" w:color="auto" w:fill="DEEAF6" w:themeFill="accent5" w:themeFillTint="33"/>
            <w:noWrap/>
          </w:tcPr>
          <w:p w14:paraId="0BD49C4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32470</w:t>
            </w:r>
          </w:p>
        </w:tc>
        <w:tc>
          <w:tcPr>
            <w:tcW w:w="1560" w:type="dxa"/>
            <w:shd w:val="clear" w:color="auto" w:fill="DEEAF6" w:themeFill="accent5" w:themeFillTint="33"/>
            <w:noWrap/>
          </w:tcPr>
          <w:p w14:paraId="767C985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17132</w:t>
            </w:r>
          </w:p>
        </w:tc>
        <w:tc>
          <w:tcPr>
            <w:tcW w:w="1507" w:type="dxa"/>
            <w:shd w:val="clear" w:color="auto" w:fill="DEEAF6" w:themeFill="accent5" w:themeFillTint="33"/>
            <w:noWrap/>
          </w:tcPr>
          <w:p w14:paraId="24EE7E6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65,5%</w:t>
            </w:r>
          </w:p>
        </w:tc>
      </w:tr>
      <w:tr w:rsidR="00E6313A" w:rsidRPr="006F3533" w14:paraId="022C0B3D"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1A3DA775"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Кюстендил</w:t>
            </w:r>
          </w:p>
        </w:tc>
        <w:tc>
          <w:tcPr>
            <w:tcW w:w="1840" w:type="dxa"/>
            <w:noWrap/>
          </w:tcPr>
          <w:p w14:paraId="4A4DE57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61517</w:t>
            </w:r>
          </w:p>
        </w:tc>
        <w:tc>
          <w:tcPr>
            <w:tcW w:w="1960" w:type="dxa"/>
            <w:noWrap/>
          </w:tcPr>
          <w:p w14:paraId="29697F7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28517</w:t>
            </w:r>
          </w:p>
        </w:tc>
        <w:tc>
          <w:tcPr>
            <w:tcW w:w="1560" w:type="dxa"/>
            <w:noWrap/>
          </w:tcPr>
          <w:p w14:paraId="4F4AF12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33000</w:t>
            </w:r>
          </w:p>
        </w:tc>
        <w:tc>
          <w:tcPr>
            <w:tcW w:w="1507" w:type="dxa"/>
            <w:noWrap/>
          </w:tcPr>
          <w:p w14:paraId="0911927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46,4%</w:t>
            </w:r>
          </w:p>
        </w:tc>
      </w:tr>
      <w:tr w:rsidR="00E6313A" w:rsidRPr="006F3533" w14:paraId="3F6082EA"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6EB7E53F"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Ловеч</w:t>
            </w:r>
          </w:p>
        </w:tc>
        <w:tc>
          <w:tcPr>
            <w:tcW w:w="1840" w:type="dxa"/>
            <w:shd w:val="clear" w:color="auto" w:fill="DEEAF6" w:themeFill="accent5" w:themeFillTint="33"/>
            <w:noWrap/>
          </w:tcPr>
          <w:p w14:paraId="1FE283A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74425</w:t>
            </w:r>
          </w:p>
        </w:tc>
        <w:tc>
          <w:tcPr>
            <w:tcW w:w="1960" w:type="dxa"/>
            <w:shd w:val="clear" w:color="auto" w:fill="DEEAF6" w:themeFill="accent5" w:themeFillTint="33"/>
            <w:noWrap/>
          </w:tcPr>
          <w:p w14:paraId="4FE2298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31308</w:t>
            </w:r>
          </w:p>
        </w:tc>
        <w:tc>
          <w:tcPr>
            <w:tcW w:w="1560" w:type="dxa"/>
            <w:shd w:val="clear" w:color="auto" w:fill="DEEAF6" w:themeFill="accent5" w:themeFillTint="33"/>
            <w:noWrap/>
          </w:tcPr>
          <w:p w14:paraId="3260549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43117</w:t>
            </w:r>
          </w:p>
        </w:tc>
        <w:tc>
          <w:tcPr>
            <w:tcW w:w="1507" w:type="dxa"/>
            <w:shd w:val="clear" w:color="auto" w:fill="DEEAF6" w:themeFill="accent5" w:themeFillTint="33"/>
            <w:noWrap/>
          </w:tcPr>
          <w:p w14:paraId="349B282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42,1%</w:t>
            </w:r>
          </w:p>
        </w:tc>
      </w:tr>
      <w:tr w:rsidR="00E6313A" w:rsidRPr="006F3533" w14:paraId="1ADB4923"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748B1290"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Монтана</w:t>
            </w:r>
          </w:p>
        </w:tc>
        <w:tc>
          <w:tcPr>
            <w:tcW w:w="1840" w:type="dxa"/>
            <w:noWrap/>
          </w:tcPr>
          <w:p w14:paraId="16540A1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86217</w:t>
            </w:r>
          </w:p>
        </w:tc>
        <w:tc>
          <w:tcPr>
            <w:tcW w:w="1960" w:type="dxa"/>
            <w:noWrap/>
          </w:tcPr>
          <w:p w14:paraId="3112C31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34282</w:t>
            </w:r>
          </w:p>
        </w:tc>
        <w:tc>
          <w:tcPr>
            <w:tcW w:w="1560" w:type="dxa"/>
            <w:noWrap/>
          </w:tcPr>
          <w:p w14:paraId="37D2CA1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51935</w:t>
            </w:r>
          </w:p>
        </w:tc>
        <w:tc>
          <w:tcPr>
            <w:tcW w:w="1507" w:type="dxa"/>
            <w:noWrap/>
          </w:tcPr>
          <w:p w14:paraId="2CA0409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39,8%</w:t>
            </w:r>
          </w:p>
        </w:tc>
      </w:tr>
      <w:tr w:rsidR="00E6313A" w:rsidRPr="006F3533" w14:paraId="5270C940"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69917A7C"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Пазарджик</w:t>
            </w:r>
          </w:p>
        </w:tc>
        <w:tc>
          <w:tcPr>
            <w:tcW w:w="1840" w:type="dxa"/>
            <w:shd w:val="clear" w:color="auto" w:fill="DEEAF6" w:themeFill="accent5" w:themeFillTint="33"/>
            <w:noWrap/>
          </w:tcPr>
          <w:p w14:paraId="0D14DEC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91538</w:t>
            </w:r>
          </w:p>
        </w:tc>
        <w:tc>
          <w:tcPr>
            <w:tcW w:w="1960" w:type="dxa"/>
            <w:shd w:val="clear" w:color="auto" w:fill="DEEAF6" w:themeFill="accent5" w:themeFillTint="33"/>
            <w:noWrap/>
          </w:tcPr>
          <w:p w14:paraId="74B3828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55797</w:t>
            </w:r>
          </w:p>
        </w:tc>
        <w:tc>
          <w:tcPr>
            <w:tcW w:w="1560" w:type="dxa"/>
            <w:shd w:val="clear" w:color="auto" w:fill="DEEAF6" w:themeFill="accent5" w:themeFillTint="33"/>
            <w:noWrap/>
          </w:tcPr>
          <w:p w14:paraId="25A3A07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35741</w:t>
            </w:r>
          </w:p>
        </w:tc>
        <w:tc>
          <w:tcPr>
            <w:tcW w:w="1507" w:type="dxa"/>
            <w:shd w:val="clear" w:color="auto" w:fill="DEEAF6" w:themeFill="accent5" w:themeFillTint="33"/>
            <w:noWrap/>
          </w:tcPr>
          <w:p w14:paraId="115058F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61,0%</w:t>
            </w:r>
          </w:p>
        </w:tc>
      </w:tr>
      <w:tr w:rsidR="00E6313A" w:rsidRPr="006F3533" w14:paraId="520D9A64"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4BE582D4"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Перник</w:t>
            </w:r>
          </w:p>
        </w:tc>
        <w:tc>
          <w:tcPr>
            <w:tcW w:w="1840" w:type="dxa"/>
            <w:noWrap/>
          </w:tcPr>
          <w:p w14:paraId="3ED8CC0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64970</w:t>
            </w:r>
          </w:p>
        </w:tc>
        <w:tc>
          <w:tcPr>
            <w:tcW w:w="1960" w:type="dxa"/>
            <w:noWrap/>
          </w:tcPr>
          <w:p w14:paraId="1E18915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23098</w:t>
            </w:r>
          </w:p>
        </w:tc>
        <w:tc>
          <w:tcPr>
            <w:tcW w:w="1560" w:type="dxa"/>
            <w:noWrap/>
          </w:tcPr>
          <w:p w14:paraId="2F8CC48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41872</w:t>
            </w:r>
          </w:p>
        </w:tc>
        <w:tc>
          <w:tcPr>
            <w:tcW w:w="1507" w:type="dxa"/>
            <w:noWrap/>
          </w:tcPr>
          <w:p w14:paraId="465BFD3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35,6%</w:t>
            </w:r>
          </w:p>
        </w:tc>
      </w:tr>
      <w:tr w:rsidR="00E6313A" w:rsidRPr="006F3533" w14:paraId="0E06B3E9"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6EE8DABF"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Плевен</w:t>
            </w:r>
          </w:p>
        </w:tc>
        <w:tc>
          <w:tcPr>
            <w:tcW w:w="1840" w:type="dxa"/>
            <w:shd w:val="clear" w:color="auto" w:fill="DEEAF6" w:themeFill="accent5" w:themeFillTint="33"/>
            <w:noWrap/>
          </w:tcPr>
          <w:p w14:paraId="761CCB3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94775</w:t>
            </w:r>
          </w:p>
        </w:tc>
        <w:tc>
          <w:tcPr>
            <w:tcW w:w="1960" w:type="dxa"/>
            <w:shd w:val="clear" w:color="auto" w:fill="DEEAF6" w:themeFill="accent5" w:themeFillTint="33"/>
            <w:noWrap/>
          </w:tcPr>
          <w:p w14:paraId="49AD0AA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52782</w:t>
            </w:r>
          </w:p>
        </w:tc>
        <w:tc>
          <w:tcPr>
            <w:tcW w:w="1560" w:type="dxa"/>
            <w:shd w:val="clear" w:color="auto" w:fill="DEEAF6" w:themeFill="accent5" w:themeFillTint="33"/>
            <w:noWrap/>
          </w:tcPr>
          <w:p w14:paraId="0E7F2E8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41993</w:t>
            </w:r>
          </w:p>
        </w:tc>
        <w:tc>
          <w:tcPr>
            <w:tcW w:w="1507" w:type="dxa"/>
            <w:shd w:val="clear" w:color="auto" w:fill="DEEAF6" w:themeFill="accent5" w:themeFillTint="33"/>
            <w:noWrap/>
          </w:tcPr>
          <w:p w14:paraId="40295DF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55,7%</w:t>
            </w:r>
          </w:p>
        </w:tc>
      </w:tr>
      <w:tr w:rsidR="00E6313A" w:rsidRPr="006F3533" w14:paraId="681787FF"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3230A9B1"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Пловдив</w:t>
            </w:r>
          </w:p>
        </w:tc>
        <w:tc>
          <w:tcPr>
            <w:tcW w:w="1840" w:type="dxa"/>
            <w:noWrap/>
          </w:tcPr>
          <w:p w14:paraId="0FEAC00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157402</w:t>
            </w:r>
          </w:p>
        </w:tc>
        <w:tc>
          <w:tcPr>
            <w:tcW w:w="1960" w:type="dxa"/>
            <w:noWrap/>
          </w:tcPr>
          <w:p w14:paraId="3BD6508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100621</w:t>
            </w:r>
          </w:p>
        </w:tc>
        <w:tc>
          <w:tcPr>
            <w:tcW w:w="1560" w:type="dxa"/>
            <w:noWrap/>
          </w:tcPr>
          <w:p w14:paraId="27DCC99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56781</w:t>
            </w:r>
          </w:p>
        </w:tc>
        <w:tc>
          <w:tcPr>
            <w:tcW w:w="1507" w:type="dxa"/>
            <w:noWrap/>
          </w:tcPr>
          <w:p w14:paraId="5C2DE78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63,9%</w:t>
            </w:r>
          </w:p>
        </w:tc>
      </w:tr>
      <w:tr w:rsidR="00E6313A" w:rsidRPr="006F3533" w14:paraId="1CCBB9BA"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69C921B1"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Разград</w:t>
            </w:r>
          </w:p>
        </w:tc>
        <w:tc>
          <w:tcPr>
            <w:tcW w:w="1840" w:type="dxa"/>
            <w:shd w:val="clear" w:color="auto" w:fill="DEEAF6" w:themeFill="accent5" w:themeFillTint="33"/>
            <w:noWrap/>
          </w:tcPr>
          <w:p w14:paraId="641E7E4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42267</w:t>
            </w:r>
          </w:p>
        </w:tc>
        <w:tc>
          <w:tcPr>
            <w:tcW w:w="1960" w:type="dxa"/>
            <w:shd w:val="clear" w:color="auto" w:fill="DEEAF6" w:themeFill="accent5" w:themeFillTint="33"/>
            <w:noWrap/>
          </w:tcPr>
          <w:p w14:paraId="00DE869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27846</w:t>
            </w:r>
          </w:p>
        </w:tc>
        <w:tc>
          <w:tcPr>
            <w:tcW w:w="1560" w:type="dxa"/>
            <w:shd w:val="clear" w:color="auto" w:fill="DEEAF6" w:themeFill="accent5" w:themeFillTint="33"/>
            <w:noWrap/>
          </w:tcPr>
          <w:p w14:paraId="73DE15C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14421</w:t>
            </w:r>
          </w:p>
        </w:tc>
        <w:tc>
          <w:tcPr>
            <w:tcW w:w="1507" w:type="dxa"/>
            <w:shd w:val="clear" w:color="auto" w:fill="DEEAF6" w:themeFill="accent5" w:themeFillTint="33"/>
            <w:noWrap/>
          </w:tcPr>
          <w:p w14:paraId="29F7A6E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65,9%</w:t>
            </w:r>
          </w:p>
        </w:tc>
      </w:tr>
      <w:tr w:rsidR="00E6313A" w:rsidRPr="006F3533" w14:paraId="0203EF1B"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4EA0D010"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Русе</w:t>
            </w:r>
          </w:p>
        </w:tc>
        <w:tc>
          <w:tcPr>
            <w:tcW w:w="1840" w:type="dxa"/>
            <w:noWrap/>
          </w:tcPr>
          <w:p w14:paraId="0A5AD83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62280</w:t>
            </w:r>
          </w:p>
        </w:tc>
        <w:tc>
          <w:tcPr>
            <w:tcW w:w="1960" w:type="dxa"/>
            <w:noWrap/>
          </w:tcPr>
          <w:p w14:paraId="5A24BC9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34908</w:t>
            </w:r>
          </w:p>
        </w:tc>
        <w:tc>
          <w:tcPr>
            <w:tcW w:w="1560" w:type="dxa"/>
            <w:noWrap/>
          </w:tcPr>
          <w:p w14:paraId="4E64098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27372</w:t>
            </w:r>
          </w:p>
        </w:tc>
        <w:tc>
          <w:tcPr>
            <w:tcW w:w="1507" w:type="dxa"/>
            <w:noWrap/>
          </w:tcPr>
          <w:p w14:paraId="6ECE78F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56,1%</w:t>
            </w:r>
          </w:p>
        </w:tc>
      </w:tr>
      <w:tr w:rsidR="00E6313A" w:rsidRPr="006F3533" w14:paraId="303A5F64"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6BF8A204"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Силистра</w:t>
            </w:r>
          </w:p>
        </w:tc>
        <w:tc>
          <w:tcPr>
            <w:tcW w:w="1840" w:type="dxa"/>
            <w:shd w:val="clear" w:color="auto" w:fill="DEEAF6" w:themeFill="accent5" w:themeFillTint="33"/>
            <w:noWrap/>
          </w:tcPr>
          <w:p w14:paraId="3C6C710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39546</w:t>
            </w:r>
          </w:p>
        </w:tc>
        <w:tc>
          <w:tcPr>
            <w:tcW w:w="1960" w:type="dxa"/>
            <w:shd w:val="clear" w:color="auto" w:fill="DEEAF6" w:themeFill="accent5" w:themeFillTint="33"/>
            <w:noWrap/>
          </w:tcPr>
          <w:p w14:paraId="2739414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25698</w:t>
            </w:r>
          </w:p>
        </w:tc>
        <w:tc>
          <w:tcPr>
            <w:tcW w:w="1560" w:type="dxa"/>
            <w:shd w:val="clear" w:color="auto" w:fill="DEEAF6" w:themeFill="accent5" w:themeFillTint="33"/>
            <w:noWrap/>
          </w:tcPr>
          <w:p w14:paraId="5A8B41C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13848</w:t>
            </w:r>
          </w:p>
        </w:tc>
        <w:tc>
          <w:tcPr>
            <w:tcW w:w="1507" w:type="dxa"/>
            <w:shd w:val="clear" w:color="auto" w:fill="DEEAF6" w:themeFill="accent5" w:themeFillTint="33"/>
            <w:noWrap/>
          </w:tcPr>
          <w:p w14:paraId="2B672D1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65,0%</w:t>
            </w:r>
          </w:p>
        </w:tc>
      </w:tr>
      <w:tr w:rsidR="00E6313A" w:rsidRPr="006F3533" w14:paraId="115A73D9"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4A6A5F76"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Сливен</w:t>
            </w:r>
          </w:p>
        </w:tc>
        <w:tc>
          <w:tcPr>
            <w:tcW w:w="1840" w:type="dxa"/>
            <w:noWrap/>
          </w:tcPr>
          <w:p w14:paraId="6DDD0D6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61881</w:t>
            </w:r>
          </w:p>
        </w:tc>
        <w:tc>
          <w:tcPr>
            <w:tcW w:w="1960" w:type="dxa"/>
            <w:noWrap/>
          </w:tcPr>
          <w:p w14:paraId="54590D7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36944</w:t>
            </w:r>
          </w:p>
        </w:tc>
        <w:tc>
          <w:tcPr>
            <w:tcW w:w="1560" w:type="dxa"/>
            <w:noWrap/>
          </w:tcPr>
          <w:p w14:paraId="7765E28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24937</w:t>
            </w:r>
          </w:p>
        </w:tc>
        <w:tc>
          <w:tcPr>
            <w:tcW w:w="1507" w:type="dxa"/>
            <w:noWrap/>
          </w:tcPr>
          <w:p w14:paraId="1AB0F2A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59,7%</w:t>
            </w:r>
          </w:p>
        </w:tc>
      </w:tr>
      <w:tr w:rsidR="00E6313A" w:rsidRPr="006F3533" w14:paraId="32DEABE3"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561B0A9F"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Смолян</w:t>
            </w:r>
          </w:p>
        </w:tc>
        <w:tc>
          <w:tcPr>
            <w:tcW w:w="1840" w:type="dxa"/>
            <w:shd w:val="clear" w:color="auto" w:fill="DEEAF6" w:themeFill="accent5" w:themeFillTint="33"/>
            <w:noWrap/>
          </w:tcPr>
          <w:p w14:paraId="667357D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38728</w:t>
            </w:r>
          </w:p>
        </w:tc>
        <w:tc>
          <w:tcPr>
            <w:tcW w:w="1960" w:type="dxa"/>
            <w:shd w:val="clear" w:color="auto" w:fill="DEEAF6" w:themeFill="accent5" w:themeFillTint="33"/>
            <w:noWrap/>
          </w:tcPr>
          <w:p w14:paraId="71FDCA6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23667</w:t>
            </w:r>
          </w:p>
        </w:tc>
        <w:tc>
          <w:tcPr>
            <w:tcW w:w="1560" w:type="dxa"/>
            <w:shd w:val="clear" w:color="auto" w:fill="DEEAF6" w:themeFill="accent5" w:themeFillTint="33"/>
            <w:noWrap/>
          </w:tcPr>
          <w:p w14:paraId="304A3EC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15061</w:t>
            </w:r>
          </w:p>
        </w:tc>
        <w:tc>
          <w:tcPr>
            <w:tcW w:w="1507" w:type="dxa"/>
            <w:shd w:val="clear" w:color="auto" w:fill="DEEAF6" w:themeFill="accent5" w:themeFillTint="33"/>
            <w:noWrap/>
          </w:tcPr>
          <w:p w14:paraId="2B568FF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61,1%</w:t>
            </w:r>
          </w:p>
        </w:tc>
      </w:tr>
      <w:tr w:rsidR="00E6313A" w:rsidRPr="006F3533" w14:paraId="530E0A99"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2374E82D"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София (столица)</w:t>
            </w:r>
          </w:p>
        </w:tc>
        <w:tc>
          <w:tcPr>
            <w:tcW w:w="1840" w:type="dxa"/>
            <w:noWrap/>
          </w:tcPr>
          <w:p w14:paraId="56FBCF7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118594</w:t>
            </w:r>
          </w:p>
        </w:tc>
        <w:tc>
          <w:tcPr>
            <w:tcW w:w="1960" w:type="dxa"/>
            <w:noWrap/>
          </w:tcPr>
          <w:p w14:paraId="15535FF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74208</w:t>
            </w:r>
          </w:p>
        </w:tc>
        <w:tc>
          <w:tcPr>
            <w:tcW w:w="1560" w:type="dxa"/>
            <w:noWrap/>
          </w:tcPr>
          <w:p w14:paraId="3A94C4F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44386</w:t>
            </w:r>
          </w:p>
        </w:tc>
        <w:tc>
          <w:tcPr>
            <w:tcW w:w="1507" w:type="dxa"/>
            <w:noWrap/>
          </w:tcPr>
          <w:p w14:paraId="78543F5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62,6%</w:t>
            </w:r>
          </w:p>
        </w:tc>
      </w:tr>
      <w:tr w:rsidR="00E6313A" w:rsidRPr="006F3533" w14:paraId="66854627"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5CB9794E"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София</w:t>
            </w:r>
          </w:p>
        </w:tc>
        <w:tc>
          <w:tcPr>
            <w:tcW w:w="1840" w:type="dxa"/>
            <w:shd w:val="clear" w:color="auto" w:fill="DEEAF6" w:themeFill="accent5" w:themeFillTint="33"/>
            <w:noWrap/>
          </w:tcPr>
          <w:p w14:paraId="526F8A7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141633</w:t>
            </w:r>
          </w:p>
        </w:tc>
        <w:tc>
          <w:tcPr>
            <w:tcW w:w="1960" w:type="dxa"/>
            <w:shd w:val="clear" w:color="auto" w:fill="DEEAF6" w:themeFill="accent5" w:themeFillTint="33"/>
            <w:noWrap/>
          </w:tcPr>
          <w:p w14:paraId="1C20BF7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59916</w:t>
            </w:r>
          </w:p>
        </w:tc>
        <w:tc>
          <w:tcPr>
            <w:tcW w:w="1560" w:type="dxa"/>
            <w:shd w:val="clear" w:color="auto" w:fill="DEEAF6" w:themeFill="accent5" w:themeFillTint="33"/>
            <w:noWrap/>
          </w:tcPr>
          <w:p w14:paraId="2F5F15B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81717</w:t>
            </w:r>
          </w:p>
        </w:tc>
        <w:tc>
          <w:tcPr>
            <w:tcW w:w="1507" w:type="dxa"/>
            <w:shd w:val="clear" w:color="auto" w:fill="DEEAF6" w:themeFill="accent5" w:themeFillTint="33"/>
            <w:noWrap/>
          </w:tcPr>
          <w:p w14:paraId="6DD02E1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42,3%</w:t>
            </w:r>
          </w:p>
        </w:tc>
      </w:tr>
      <w:tr w:rsidR="00E6313A" w:rsidRPr="006F3533" w14:paraId="5FE43108"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21E134B0"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lastRenderedPageBreak/>
              <w:t>Стара Загора</w:t>
            </w:r>
          </w:p>
        </w:tc>
        <w:tc>
          <w:tcPr>
            <w:tcW w:w="1840" w:type="dxa"/>
            <w:noWrap/>
          </w:tcPr>
          <w:p w14:paraId="57AF1AB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91176</w:t>
            </w:r>
          </w:p>
        </w:tc>
        <w:tc>
          <w:tcPr>
            <w:tcW w:w="1960" w:type="dxa"/>
            <w:noWrap/>
          </w:tcPr>
          <w:p w14:paraId="73A0524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51019</w:t>
            </w:r>
          </w:p>
        </w:tc>
        <w:tc>
          <w:tcPr>
            <w:tcW w:w="1560" w:type="dxa"/>
            <w:noWrap/>
          </w:tcPr>
          <w:p w14:paraId="6880E39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40157</w:t>
            </w:r>
          </w:p>
        </w:tc>
        <w:tc>
          <w:tcPr>
            <w:tcW w:w="1507" w:type="dxa"/>
            <w:noWrap/>
          </w:tcPr>
          <w:p w14:paraId="33A8702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56,0%</w:t>
            </w:r>
          </w:p>
        </w:tc>
      </w:tr>
      <w:tr w:rsidR="00E6313A" w:rsidRPr="006F3533" w14:paraId="34A92535"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5039F312"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Търговище</w:t>
            </w:r>
          </w:p>
        </w:tc>
        <w:tc>
          <w:tcPr>
            <w:tcW w:w="1840" w:type="dxa"/>
            <w:shd w:val="clear" w:color="auto" w:fill="DEEAF6" w:themeFill="accent5" w:themeFillTint="33"/>
            <w:noWrap/>
          </w:tcPr>
          <w:p w14:paraId="5A2EDA5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42254</w:t>
            </w:r>
          </w:p>
        </w:tc>
        <w:tc>
          <w:tcPr>
            <w:tcW w:w="1960" w:type="dxa"/>
            <w:shd w:val="clear" w:color="auto" w:fill="DEEAF6" w:themeFill="accent5" w:themeFillTint="33"/>
            <w:noWrap/>
          </w:tcPr>
          <w:p w14:paraId="527B55E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24067</w:t>
            </w:r>
          </w:p>
        </w:tc>
        <w:tc>
          <w:tcPr>
            <w:tcW w:w="1560" w:type="dxa"/>
            <w:shd w:val="clear" w:color="auto" w:fill="DEEAF6" w:themeFill="accent5" w:themeFillTint="33"/>
            <w:noWrap/>
          </w:tcPr>
          <w:p w14:paraId="609A98D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18187</w:t>
            </w:r>
          </w:p>
        </w:tc>
        <w:tc>
          <w:tcPr>
            <w:tcW w:w="1507" w:type="dxa"/>
            <w:shd w:val="clear" w:color="auto" w:fill="DEEAF6" w:themeFill="accent5" w:themeFillTint="33"/>
            <w:noWrap/>
          </w:tcPr>
          <w:p w14:paraId="25E7475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57,0%</w:t>
            </w:r>
          </w:p>
        </w:tc>
      </w:tr>
      <w:tr w:rsidR="00E6313A" w:rsidRPr="006F3533" w14:paraId="62BC6631"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5805301A"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Хасково</w:t>
            </w:r>
          </w:p>
        </w:tc>
        <w:tc>
          <w:tcPr>
            <w:tcW w:w="1840" w:type="dxa"/>
            <w:noWrap/>
          </w:tcPr>
          <w:p w14:paraId="5A134B1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76170</w:t>
            </w:r>
          </w:p>
        </w:tc>
        <w:tc>
          <w:tcPr>
            <w:tcW w:w="1960" w:type="dxa"/>
            <w:noWrap/>
          </w:tcPr>
          <w:p w14:paraId="3134453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44667</w:t>
            </w:r>
          </w:p>
        </w:tc>
        <w:tc>
          <w:tcPr>
            <w:tcW w:w="1560" w:type="dxa"/>
            <w:noWrap/>
          </w:tcPr>
          <w:p w14:paraId="3D5007A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31503</w:t>
            </w:r>
          </w:p>
        </w:tc>
        <w:tc>
          <w:tcPr>
            <w:tcW w:w="1507" w:type="dxa"/>
            <w:noWrap/>
          </w:tcPr>
          <w:p w14:paraId="42416B4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58,6%</w:t>
            </w:r>
          </w:p>
        </w:tc>
      </w:tr>
      <w:tr w:rsidR="00E6313A" w:rsidRPr="006F3533" w14:paraId="1625F80F"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70A94DE0"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Шумен</w:t>
            </w:r>
          </w:p>
        </w:tc>
        <w:tc>
          <w:tcPr>
            <w:tcW w:w="1840" w:type="dxa"/>
            <w:shd w:val="clear" w:color="auto" w:fill="DEEAF6" w:themeFill="accent5" w:themeFillTint="33"/>
            <w:noWrap/>
          </w:tcPr>
          <w:p w14:paraId="2A1D6FA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52552</w:t>
            </w:r>
          </w:p>
        </w:tc>
        <w:tc>
          <w:tcPr>
            <w:tcW w:w="1960" w:type="dxa"/>
            <w:shd w:val="clear" w:color="auto" w:fill="DEEAF6" w:themeFill="accent5" w:themeFillTint="33"/>
            <w:noWrap/>
          </w:tcPr>
          <w:p w14:paraId="46522FD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33764</w:t>
            </w:r>
          </w:p>
        </w:tc>
        <w:tc>
          <w:tcPr>
            <w:tcW w:w="1560" w:type="dxa"/>
            <w:shd w:val="clear" w:color="auto" w:fill="DEEAF6" w:themeFill="accent5" w:themeFillTint="33"/>
            <w:noWrap/>
          </w:tcPr>
          <w:p w14:paraId="5A03205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18788</w:t>
            </w:r>
          </w:p>
        </w:tc>
        <w:tc>
          <w:tcPr>
            <w:tcW w:w="1507" w:type="dxa"/>
            <w:shd w:val="clear" w:color="auto" w:fill="DEEAF6" w:themeFill="accent5" w:themeFillTint="33"/>
            <w:noWrap/>
          </w:tcPr>
          <w:p w14:paraId="44FC17B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64,2%</w:t>
            </w:r>
          </w:p>
        </w:tc>
      </w:tr>
      <w:tr w:rsidR="00E6313A" w:rsidRPr="006F3533" w14:paraId="4829CC56"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noWrap/>
          </w:tcPr>
          <w:p w14:paraId="49AA1C9C"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Ямбол</w:t>
            </w:r>
          </w:p>
        </w:tc>
        <w:tc>
          <w:tcPr>
            <w:tcW w:w="1840" w:type="dxa"/>
            <w:noWrap/>
          </w:tcPr>
          <w:p w14:paraId="1E18594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40985</w:t>
            </w:r>
          </w:p>
        </w:tc>
        <w:tc>
          <w:tcPr>
            <w:tcW w:w="1960" w:type="dxa"/>
            <w:noWrap/>
          </w:tcPr>
          <w:p w14:paraId="2724B82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23432</w:t>
            </w:r>
          </w:p>
        </w:tc>
        <w:tc>
          <w:tcPr>
            <w:tcW w:w="1560" w:type="dxa"/>
            <w:noWrap/>
          </w:tcPr>
          <w:p w14:paraId="46B98A1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17553</w:t>
            </w:r>
          </w:p>
        </w:tc>
        <w:tc>
          <w:tcPr>
            <w:tcW w:w="1507" w:type="dxa"/>
            <w:noWrap/>
          </w:tcPr>
          <w:p w14:paraId="56F3204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57,2%</w:t>
            </w:r>
          </w:p>
        </w:tc>
      </w:tr>
      <w:tr w:rsidR="00E6313A" w:rsidRPr="006F3533" w14:paraId="34818F5F"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2200" w:type="dxa"/>
            <w:shd w:val="clear" w:color="auto" w:fill="DEEAF6" w:themeFill="accent5" w:themeFillTint="33"/>
            <w:noWrap/>
          </w:tcPr>
          <w:p w14:paraId="0690CDD9"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Общо</w:t>
            </w:r>
          </w:p>
        </w:tc>
        <w:tc>
          <w:tcPr>
            <w:tcW w:w="1840" w:type="dxa"/>
            <w:shd w:val="clear" w:color="auto" w:fill="DEEAF6" w:themeFill="accent5" w:themeFillTint="33"/>
            <w:noWrap/>
          </w:tcPr>
          <w:p w14:paraId="7C359FB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2123121</w:t>
            </w:r>
          </w:p>
        </w:tc>
        <w:tc>
          <w:tcPr>
            <w:tcW w:w="1960" w:type="dxa"/>
            <w:shd w:val="clear" w:color="auto" w:fill="DEEAF6" w:themeFill="accent5" w:themeFillTint="33"/>
            <w:noWrap/>
          </w:tcPr>
          <w:p w14:paraId="303C73C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1152978</w:t>
            </w:r>
          </w:p>
        </w:tc>
        <w:tc>
          <w:tcPr>
            <w:tcW w:w="1560" w:type="dxa"/>
            <w:shd w:val="clear" w:color="auto" w:fill="DEEAF6" w:themeFill="accent5" w:themeFillTint="33"/>
            <w:noWrap/>
          </w:tcPr>
          <w:p w14:paraId="1A31E2A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970143</w:t>
            </w:r>
          </w:p>
        </w:tc>
        <w:tc>
          <w:tcPr>
            <w:tcW w:w="1507" w:type="dxa"/>
            <w:shd w:val="clear" w:color="auto" w:fill="DEEAF6" w:themeFill="accent5" w:themeFillTint="33"/>
            <w:noWrap/>
          </w:tcPr>
          <w:p w14:paraId="06D1AA5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54,3%</w:t>
            </w:r>
          </w:p>
        </w:tc>
      </w:tr>
    </w:tbl>
    <w:p w14:paraId="69660454"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 xml:space="preserve">Източник: НСИ, Преброяване на населението и жилищния фонд 2021 г. </w:t>
      </w:r>
    </w:p>
    <w:p w14:paraId="09C0FC0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Видно от таблицата относителният дял на обитаваните сгради по области варира в широки граници – от едва 35,0% във Видин до 67,5% в Благоевград. В групата на областите с най-нисък дял на обитавани сгради попадат Видин (35,0%), Перник (35,6%), Монтана (39,8%), Ловеч (42,1%), София-област (42,3%) и Враца (43,1%). Това са предимно региони от Северозападна България и други </w:t>
      </w:r>
      <w:proofErr w:type="spellStart"/>
      <w:r w:rsidRPr="006F3533">
        <w:rPr>
          <w:rFonts w:eastAsia="Times New Roman" w:cs="Times New Roman"/>
          <w:szCs w:val="24"/>
          <w:lang w:val="bg-BG" w:eastAsia="bg-BG"/>
        </w:rPr>
        <w:t>структурнослаби</w:t>
      </w:r>
      <w:proofErr w:type="spellEnd"/>
      <w:r w:rsidRPr="006F3533">
        <w:rPr>
          <w:rFonts w:eastAsia="Times New Roman" w:cs="Times New Roman"/>
          <w:szCs w:val="24"/>
          <w:lang w:val="bg-BG" w:eastAsia="bg-BG"/>
        </w:rPr>
        <w:t xml:space="preserve"> територии, силно засегнати от </w:t>
      </w:r>
      <w:proofErr w:type="spellStart"/>
      <w:r w:rsidRPr="006F3533">
        <w:rPr>
          <w:rFonts w:eastAsia="Times New Roman" w:cs="Times New Roman"/>
          <w:szCs w:val="24"/>
          <w:lang w:val="bg-BG" w:eastAsia="bg-BG"/>
        </w:rPr>
        <w:t>депопулация</w:t>
      </w:r>
      <w:proofErr w:type="spellEnd"/>
      <w:r w:rsidRPr="006F3533">
        <w:rPr>
          <w:rFonts w:eastAsia="Times New Roman" w:cs="Times New Roman"/>
          <w:szCs w:val="24"/>
          <w:lang w:val="bg-BG" w:eastAsia="bg-BG"/>
        </w:rPr>
        <w:t>, застаряване на населението и изселване към по-големи градове и извън страната. В тези области голям брой жилищни сгради формално съществуват в статистиката, но реално са извън жилищния и енергийния „оборот“, което допълнително задълбочава социално-икономическите дисбаланси.</w:t>
      </w:r>
    </w:p>
    <w:p w14:paraId="4B919FD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другия край на спектъра са областите с относително висок дял на обитавани сгради – Благоевград (67,5%), Разград (65,9%), Кърджали (65,5%), Силистра (65,0%), Шумен (64,2%), Пловдив (63,9%) и София (столица) (62,6%). В тези области жилищният фонд е по-пълноценно използван, а връзката между налична жилищна инфраструктура и реално население е по-устойчива. София-град и Пловдив, като големи урбанизирани центрове, концентрират не само значителен брой жилищни сгради, но и високи нива на обитаване, което ги превръща в ключови територии от гледна точка на енергийното потребление и потенциала за енергийно обновяване.</w:t>
      </w:r>
    </w:p>
    <w:p w14:paraId="2CAEBCC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Данните показват също така отчетлив контраст между градовете и селата: през 2021 г. обитаваните сгради в градовете са 64,9%, докато в селата – едва 47,6%. В сравнение с 2011 г., когато обитаваните сгради са били 83,7% в градовете и 66,8% в селата, се наблюдава силно изразено </w:t>
      </w:r>
      <w:r w:rsidRPr="006F3533">
        <w:rPr>
          <w:rFonts w:eastAsia="Times New Roman" w:cs="Times New Roman"/>
          <w:b/>
          <w:bCs/>
          <w:szCs w:val="24"/>
          <w:lang w:val="bg-BG" w:eastAsia="bg-BG"/>
        </w:rPr>
        <w:t>нарастване на необитаваните сгради и в двата типа територии, но особено в селските</w:t>
      </w:r>
      <w:r w:rsidRPr="006F3533">
        <w:rPr>
          <w:rFonts w:eastAsia="Times New Roman" w:cs="Times New Roman"/>
          <w:szCs w:val="24"/>
          <w:lang w:val="bg-BG" w:eastAsia="bg-BG"/>
        </w:rPr>
        <w:t xml:space="preserve">. Това потвърждава тенденцията към концентрация на населението в ограничен брой градски центрове и оставяне на значителна част от селския жилищен фонд извън активно ползване. </w:t>
      </w:r>
    </w:p>
    <w:p w14:paraId="468CC97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Важен структурен извод е, че размерът на жилищния фонд не кореспондира пряко с реалното жилищно потребление, а обитаването се концентрира в определени типове сгради и територии. Това означава, че мерките за енергийно обновяване следва да бъдат насочени приоритетно към обитаваните, активно използвани сгради, които формират приблизително половината от жилищния фонд, но поемат почти цялото енергийно натоварване на сектора. </w:t>
      </w:r>
    </w:p>
    <w:p w14:paraId="2219329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 оглед предмета на настоящия доклад, за нуждите на изработване на Национален план за саниране на сгради (в частта жилищен сектор), </w:t>
      </w:r>
      <w:r w:rsidRPr="006F3533">
        <w:rPr>
          <w:rFonts w:eastAsia="Times New Roman" w:cs="Times New Roman"/>
          <w:b/>
          <w:bCs/>
          <w:szCs w:val="24"/>
          <w:lang w:val="bg-BG" w:eastAsia="bg-BG"/>
        </w:rPr>
        <w:t>прегледът и анализът на съществуващия сграден жилищен фонд се концентрира върху обитаваните жилищни сгради/ жилища.</w:t>
      </w:r>
      <w:r w:rsidRPr="006F3533">
        <w:rPr>
          <w:rFonts w:eastAsia="Times New Roman" w:cs="Times New Roman"/>
          <w:szCs w:val="24"/>
          <w:lang w:val="bg-BG" w:eastAsia="bg-BG"/>
        </w:rPr>
        <w:t xml:space="preserve"> В противен случай, поради големия дял на необитавани жилищни сгради, би се получила силно деформирана статистическа картина с риск от грешни изводи и препоръки за бъдещи политики.</w:t>
      </w:r>
    </w:p>
    <w:p w14:paraId="3BB6C7B0"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bookmarkStart w:id="29" w:name="_Toc216776908"/>
      <w:r w:rsidRPr="006F3533">
        <w:rPr>
          <w:rFonts w:eastAsia="Times New Roman" w:cs="Times New Roman"/>
          <w:b/>
          <w:bCs/>
          <w:szCs w:val="24"/>
          <w:lang w:val="bg-BG" w:eastAsia="bg-BG"/>
        </w:rPr>
        <w:lastRenderedPageBreak/>
        <w:t>Предназначение/ функционални категории</w:t>
      </w:r>
      <w:bookmarkEnd w:id="29"/>
    </w:p>
    <w:p w14:paraId="6E1775F0" w14:textId="77777777" w:rsidR="00E6313A" w:rsidRPr="006F3533" w:rsidRDefault="00E6313A" w:rsidP="00E6313A">
      <w:pPr>
        <w:spacing w:after="0" w:line="240" w:lineRule="auto"/>
        <w:jc w:val="both"/>
        <w:rPr>
          <w:rFonts w:eastAsia="Times New Roman" w:cs="Times New Roman"/>
          <w:szCs w:val="24"/>
          <w:lang w:val="bg-BG" w:eastAsia="bg-BG"/>
        </w:rPr>
      </w:pPr>
      <w:r w:rsidRPr="006F3533">
        <w:rPr>
          <w:rFonts w:eastAsia="Times New Roman" w:cs="Times New Roman"/>
          <w:szCs w:val="24"/>
          <w:lang w:val="bg-BG" w:eastAsia="bg-BG"/>
        </w:rPr>
        <w:t>Анализът на жилищния фонд по функционални категории показва ясно изразена структурна асиметрия между различните видове сгради, както по отношение на техния брой, така и по отношение на реалното им участие в жилищното обитаване, респективно енергийното потребление, което е от ключово значение за дефиниране на политики за енергийно обновяване.</w:t>
      </w:r>
    </w:p>
    <w:p w14:paraId="15147193" w14:textId="77777777" w:rsidR="00E6313A" w:rsidRPr="006F3533" w:rsidRDefault="00E6313A" w:rsidP="00E6313A">
      <w:pPr>
        <w:spacing w:after="0" w:line="240" w:lineRule="auto"/>
        <w:jc w:val="both"/>
        <w:rPr>
          <w:rFonts w:eastAsia="Times New Roman" w:cs="Times New Roman"/>
          <w:b/>
          <w:bCs/>
          <w:szCs w:val="24"/>
          <w:lang w:val="bg-BG" w:eastAsia="bg-BG"/>
        </w:rPr>
      </w:pPr>
    </w:p>
    <w:p w14:paraId="4C55D1C5" w14:textId="77777777" w:rsidR="00E6313A" w:rsidRPr="006F3533" w:rsidRDefault="00E6313A" w:rsidP="00E6313A">
      <w:pPr>
        <w:spacing w:line="240" w:lineRule="auto"/>
        <w:jc w:val="both"/>
        <w:rPr>
          <w:rFonts w:cs="Times New Roman"/>
          <w:i/>
          <w:iCs/>
          <w:color w:val="0070C0"/>
          <w:szCs w:val="24"/>
          <w:lang w:val="bg-BG"/>
        </w:rPr>
      </w:pPr>
      <w:bookmarkStart w:id="30" w:name="_Toc216777095"/>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3</w:t>
      </w:r>
      <w:r w:rsidRPr="006F3533">
        <w:rPr>
          <w:rFonts w:cs="Times New Roman"/>
          <w:i/>
          <w:iCs/>
          <w:color w:val="0070C0"/>
          <w:szCs w:val="24"/>
          <w:lang w:val="bg-BG"/>
        </w:rPr>
        <w:fldChar w:fldCharType="end"/>
      </w:r>
      <w:r w:rsidRPr="006F3533">
        <w:rPr>
          <w:rFonts w:cs="Times New Roman"/>
          <w:i/>
          <w:iCs/>
          <w:color w:val="0070C0"/>
          <w:szCs w:val="24"/>
          <w:lang w:val="bg-BG"/>
        </w:rPr>
        <w:t>: Жилищни сгради по вид и начин на обитаване към 07.09.2021 г.</w:t>
      </w:r>
      <w:r w:rsidRPr="006F3533">
        <w:rPr>
          <w:rFonts w:cs="Times New Roman"/>
          <w:i/>
          <w:iCs/>
          <w:color w:val="0070C0"/>
          <w:szCs w:val="24"/>
          <w:vertAlign w:val="superscript"/>
          <w:lang w:val="bg-BG"/>
        </w:rPr>
        <w:footnoteReference w:id="18"/>
      </w:r>
      <w:bookmarkEnd w:id="30"/>
    </w:p>
    <w:tbl>
      <w:tblPr>
        <w:tblStyle w:val="GridTable4-Accent51"/>
        <w:tblW w:w="9209" w:type="dxa"/>
        <w:jc w:val="center"/>
        <w:tblLayout w:type="fixed"/>
        <w:tblLook w:val="04A0" w:firstRow="1" w:lastRow="0" w:firstColumn="1" w:lastColumn="0" w:noHBand="0" w:noVBand="1"/>
      </w:tblPr>
      <w:tblGrid>
        <w:gridCol w:w="3114"/>
        <w:gridCol w:w="1201"/>
        <w:gridCol w:w="1088"/>
        <w:gridCol w:w="1276"/>
        <w:gridCol w:w="1134"/>
        <w:gridCol w:w="1396"/>
      </w:tblGrid>
      <w:tr w:rsidR="00E6313A" w:rsidRPr="006F3533" w14:paraId="65571118" w14:textId="77777777" w:rsidTr="00541E0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135D4358" w14:textId="77777777" w:rsidR="00E6313A" w:rsidRPr="006F3533" w:rsidRDefault="00E6313A" w:rsidP="00541E06">
            <w:pPr>
              <w:spacing w:before="100" w:beforeAutospacing="1" w:after="100" w:afterAutospacing="1"/>
              <w:jc w:val="center"/>
              <w:rPr>
                <w:rFonts w:eastAsia="Times New Roman" w:cs="Calibri"/>
                <w:b w:val="0"/>
                <w:bCs w:val="0"/>
                <w:sz w:val="20"/>
                <w:lang w:val="bg-BG" w:eastAsia="bg-BG"/>
              </w:rPr>
            </w:pPr>
            <w:r w:rsidRPr="006F3533">
              <w:rPr>
                <w:rFonts w:eastAsia="Times New Roman" w:cs="Calibri"/>
                <w:sz w:val="20"/>
                <w:lang w:val="bg-BG" w:eastAsia="bg-BG"/>
              </w:rPr>
              <w:t>Вид на сградата</w:t>
            </w:r>
          </w:p>
        </w:tc>
        <w:tc>
          <w:tcPr>
            <w:tcW w:w="1201" w:type="dxa"/>
            <w:vMerge w:val="restart"/>
          </w:tcPr>
          <w:p w14:paraId="7BED3319"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20"/>
                <w:lang w:val="bg-BG" w:eastAsia="bg-BG"/>
              </w:rPr>
            </w:pPr>
            <w:r w:rsidRPr="006F3533">
              <w:rPr>
                <w:rFonts w:eastAsia="Times New Roman" w:cs="Calibri"/>
                <w:sz w:val="20"/>
                <w:lang w:val="bg-BG" w:eastAsia="bg-BG"/>
              </w:rPr>
              <w:t>Общо</w:t>
            </w:r>
          </w:p>
        </w:tc>
        <w:tc>
          <w:tcPr>
            <w:tcW w:w="4894" w:type="dxa"/>
            <w:gridSpan w:val="4"/>
          </w:tcPr>
          <w:p w14:paraId="55CE45C2"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20"/>
                <w:lang w:val="bg-BG" w:eastAsia="bg-BG"/>
              </w:rPr>
            </w:pPr>
            <w:r w:rsidRPr="006F3533">
              <w:rPr>
                <w:rFonts w:eastAsia="Times New Roman" w:cs="Calibri"/>
                <w:sz w:val="20"/>
                <w:lang w:val="bg-BG" w:eastAsia="bg-BG"/>
              </w:rPr>
              <w:t>Начин на обитаване</w:t>
            </w:r>
          </w:p>
        </w:tc>
      </w:tr>
      <w:tr w:rsidR="00E6313A" w:rsidRPr="006F3533" w14:paraId="786EF44A"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vMerge/>
            <w:shd w:val="clear" w:color="auto" w:fill="DEEAF6" w:themeFill="accent5" w:themeFillTint="33"/>
          </w:tcPr>
          <w:p w14:paraId="5837BBF4"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p>
        </w:tc>
        <w:tc>
          <w:tcPr>
            <w:tcW w:w="1201" w:type="dxa"/>
            <w:vMerge/>
            <w:shd w:val="clear" w:color="auto" w:fill="DEEAF6" w:themeFill="accent5" w:themeFillTint="33"/>
          </w:tcPr>
          <w:p w14:paraId="6D32719B"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p>
        </w:tc>
        <w:tc>
          <w:tcPr>
            <w:tcW w:w="3498" w:type="dxa"/>
            <w:gridSpan w:val="3"/>
            <w:shd w:val="clear" w:color="auto" w:fill="DEEAF6" w:themeFill="accent5" w:themeFillTint="33"/>
          </w:tcPr>
          <w:p w14:paraId="433D2BB6"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Обитавани сгради</w:t>
            </w:r>
            <w:r w:rsidRPr="006F3533">
              <w:rPr>
                <w:rFonts w:eastAsia="Times New Roman" w:cs="Calibri"/>
                <w:sz w:val="20"/>
                <w:vertAlign w:val="superscript"/>
                <w:lang w:val="bg-BG" w:eastAsia="bg-BG"/>
              </w:rPr>
              <w:footnoteReference w:id="19"/>
            </w:r>
          </w:p>
        </w:tc>
        <w:tc>
          <w:tcPr>
            <w:tcW w:w="1396" w:type="dxa"/>
            <w:tcBorders>
              <w:right w:val="single" w:sz="4" w:space="0" w:color="5B9BD5"/>
            </w:tcBorders>
            <w:shd w:val="clear" w:color="auto" w:fill="DEEAF6" w:themeFill="accent5" w:themeFillTint="33"/>
          </w:tcPr>
          <w:p w14:paraId="1CC2CE3E"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Необитавани сгради</w:t>
            </w:r>
          </w:p>
        </w:tc>
      </w:tr>
      <w:tr w:rsidR="00E6313A" w:rsidRPr="006F3533" w14:paraId="6219BB71"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vMerge/>
          </w:tcPr>
          <w:p w14:paraId="539EBDEE"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p>
        </w:tc>
        <w:tc>
          <w:tcPr>
            <w:tcW w:w="1201" w:type="dxa"/>
          </w:tcPr>
          <w:p w14:paraId="0BE947D4"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Сгради, бр.</w:t>
            </w:r>
          </w:p>
        </w:tc>
        <w:tc>
          <w:tcPr>
            <w:tcW w:w="1088" w:type="dxa"/>
          </w:tcPr>
          <w:p w14:paraId="0F7546DE"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Сгради, бр.</w:t>
            </w:r>
          </w:p>
        </w:tc>
        <w:tc>
          <w:tcPr>
            <w:tcW w:w="1276" w:type="dxa"/>
          </w:tcPr>
          <w:p w14:paraId="212C64A1"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Полезна площ, м2</w:t>
            </w:r>
          </w:p>
        </w:tc>
        <w:tc>
          <w:tcPr>
            <w:tcW w:w="1134" w:type="dxa"/>
          </w:tcPr>
          <w:p w14:paraId="3F1D2DE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Жилища, бр.</w:t>
            </w:r>
          </w:p>
        </w:tc>
        <w:tc>
          <w:tcPr>
            <w:tcW w:w="1396" w:type="dxa"/>
            <w:tcBorders>
              <w:right w:val="single" w:sz="4" w:space="0" w:color="5B9BD5"/>
            </w:tcBorders>
          </w:tcPr>
          <w:p w14:paraId="5D76162F"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 xml:space="preserve">Сгради, </w:t>
            </w:r>
          </w:p>
          <w:p w14:paraId="163DF62C"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бр.</w:t>
            </w:r>
          </w:p>
        </w:tc>
      </w:tr>
      <w:tr w:rsidR="00E6313A" w:rsidRPr="006F3533" w14:paraId="51089BA1"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shd w:val="clear" w:color="auto" w:fill="DEEAF6" w:themeFill="accent5" w:themeFillTint="33"/>
          </w:tcPr>
          <w:p w14:paraId="1038C681"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Къща</w:t>
            </w:r>
          </w:p>
        </w:tc>
        <w:tc>
          <w:tcPr>
            <w:tcW w:w="1201" w:type="dxa"/>
            <w:shd w:val="clear" w:color="auto" w:fill="DEEAF6" w:themeFill="accent5" w:themeFillTint="33"/>
          </w:tcPr>
          <w:p w14:paraId="6D23FE4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1 858 596</w:t>
            </w:r>
          </w:p>
        </w:tc>
        <w:tc>
          <w:tcPr>
            <w:tcW w:w="1088" w:type="dxa"/>
            <w:shd w:val="clear" w:color="auto" w:fill="DEEAF6" w:themeFill="accent5" w:themeFillTint="33"/>
          </w:tcPr>
          <w:p w14:paraId="18DEEB9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1 065 584</w:t>
            </w:r>
          </w:p>
        </w:tc>
        <w:tc>
          <w:tcPr>
            <w:tcW w:w="1276" w:type="dxa"/>
            <w:shd w:val="clear" w:color="auto" w:fill="DEEAF6" w:themeFill="accent5" w:themeFillTint="33"/>
          </w:tcPr>
          <w:p w14:paraId="3B000A9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122 229 230</w:t>
            </w:r>
          </w:p>
        </w:tc>
        <w:tc>
          <w:tcPr>
            <w:tcW w:w="1134" w:type="dxa"/>
            <w:shd w:val="clear" w:color="auto" w:fill="DEEAF6" w:themeFill="accent5" w:themeFillTint="33"/>
          </w:tcPr>
          <w:p w14:paraId="0BA338C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1 301 432</w:t>
            </w:r>
          </w:p>
        </w:tc>
        <w:tc>
          <w:tcPr>
            <w:tcW w:w="1396" w:type="dxa"/>
            <w:tcBorders>
              <w:right w:val="single" w:sz="4" w:space="0" w:color="5B9BD5"/>
            </w:tcBorders>
            <w:shd w:val="clear" w:color="auto" w:fill="DEEAF6" w:themeFill="accent5" w:themeFillTint="33"/>
          </w:tcPr>
          <w:p w14:paraId="0FC699D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793 012</w:t>
            </w:r>
          </w:p>
        </w:tc>
      </w:tr>
      <w:tr w:rsidR="00E6313A" w:rsidRPr="006F3533" w14:paraId="1FEB8E05"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tcPr>
          <w:p w14:paraId="5247571D"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Жилищен блок, кооперация</w:t>
            </w:r>
          </w:p>
        </w:tc>
        <w:tc>
          <w:tcPr>
            <w:tcW w:w="1201" w:type="dxa"/>
          </w:tcPr>
          <w:p w14:paraId="15E5D56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83 382</w:t>
            </w:r>
          </w:p>
        </w:tc>
        <w:tc>
          <w:tcPr>
            <w:tcW w:w="1088" w:type="dxa"/>
          </w:tcPr>
          <w:p w14:paraId="2D383FB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77 428</w:t>
            </w:r>
          </w:p>
        </w:tc>
        <w:tc>
          <w:tcPr>
            <w:tcW w:w="1276" w:type="dxa"/>
          </w:tcPr>
          <w:p w14:paraId="61F0EF8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140 898 110</w:t>
            </w:r>
          </w:p>
        </w:tc>
        <w:tc>
          <w:tcPr>
            <w:tcW w:w="1134" w:type="dxa"/>
          </w:tcPr>
          <w:p w14:paraId="7322C42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1 876 742</w:t>
            </w:r>
          </w:p>
        </w:tc>
        <w:tc>
          <w:tcPr>
            <w:tcW w:w="1396" w:type="dxa"/>
            <w:tcBorders>
              <w:right w:val="single" w:sz="4" w:space="0" w:color="5B9BD5"/>
            </w:tcBorders>
          </w:tcPr>
          <w:p w14:paraId="17CC9E8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5 954</w:t>
            </w:r>
          </w:p>
        </w:tc>
      </w:tr>
      <w:tr w:rsidR="00E6313A" w:rsidRPr="006F3533" w14:paraId="1FF05DA8"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shd w:val="clear" w:color="auto" w:fill="DEEAF6" w:themeFill="accent5" w:themeFillTint="33"/>
          </w:tcPr>
          <w:p w14:paraId="2AB426E4"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Сграда от смесен тип (над 60% жилищна площ)</w:t>
            </w:r>
          </w:p>
        </w:tc>
        <w:tc>
          <w:tcPr>
            <w:tcW w:w="1201" w:type="dxa"/>
            <w:shd w:val="clear" w:color="auto" w:fill="DEEAF6" w:themeFill="accent5" w:themeFillTint="33"/>
          </w:tcPr>
          <w:p w14:paraId="5C44C0D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3 415</w:t>
            </w:r>
          </w:p>
        </w:tc>
        <w:tc>
          <w:tcPr>
            <w:tcW w:w="1088" w:type="dxa"/>
            <w:shd w:val="clear" w:color="auto" w:fill="DEEAF6" w:themeFill="accent5" w:themeFillTint="33"/>
          </w:tcPr>
          <w:p w14:paraId="54A69A9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2 450</w:t>
            </w:r>
          </w:p>
        </w:tc>
        <w:tc>
          <w:tcPr>
            <w:tcW w:w="1276" w:type="dxa"/>
            <w:shd w:val="clear" w:color="auto" w:fill="DEEAF6" w:themeFill="accent5" w:themeFillTint="33"/>
          </w:tcPr>
          <w:p w14:paraId="1684C22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2 348 445</w:t>
            </w:r>
          </w:p>
        </w:tc>
        <w:tc>
          <w:tcPr>
            <w:tcW w:w="1134" w:type="dxa"/>
            <w:shd w:val="clear" w:color="auto" w:fill="DEEAF6" w:themeFill="accent5" w:themeFillTint="33"/>
          </w:tcPr>
          <w:p w14:paraId="7E1960A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28 508</w:t>
            </w:r>
          </w:p>
        </w:tc>
        <w:tc>
          <w:tcPr>
            <w:tcW w:w="1396" w:type="dxa"/>
            <w:tcBorders>
              <w:right w:val="single" w:sz="4" w:space="0" w:color="5B9BD5"/>
            </w:tcBorders>
            <w:shd w:val="clear" w:color="auto" w:fill="DEEAF6" w:themeFill="accent5" w:themeFillTint="33"/>
          </w:tcPr>
          <w:p w14:paraId="2E9EDF7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965</w:t>
            </w:r>
          </w:p>
        </w:tc>
      </w:tr>
      <w:tr w:rsidR="00E6313A" w:rsidRPr="006F3533" w14:paraId="4DC630CA"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tcPr>
          <w:p w14:paraId="6345C60E"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Общежитие</w:t>
            </w:r>
          </w:p>
        </w:tc>
        <w:tc>
          <w:tcPr>
            <w:tcW w:w="1201" w:type="dxa"/>
          </w:tcPr>
          <w:p w14:paraId="06CBE0A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615</w:t>
            </w:r>
          </w:p>
        </w:tc>
        <w:tc>
          <w:tcPr>
            <w:tcW w:w="1088" w:type="dxa"/>
          </w:tcPr>
          <w:p w14:paraId="5675364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343</w:t>
            </w:r>
          </w:p>
        </w:tc>
        <w:tc>
          <w:tcPr>
            <w:tcW w:w="1276" w:type="dxa"/>
          </w:tcPr>
          <w:p w14:paraId="69B0786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755 031</w:t>
            </w:r>
          </w:p>
        </w:tc>
        <w:tc>
          <w:tcPr>
            <w:tcW w:w="1134" w:type="dxa"/>
          </w:tcPr>
          <w:p w14:paraId="3207876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24 653</w:t>
            </w:r>
          </w:p>
        </w:tc>
        <w:tc>
          <w:tcPr>
            <w:tcW w:w="1396" w:type="dxa"/>
            <w:tcBorders>
              <w:right w:val="single" w:sz="4" w:space="0" w:color="5B9BD5"/>
            </w:tcBorders>
          </w:tcPr>
          <w:p w14:paraId="65E2EDB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272</w:t>
            </w:r>
          </w:p>
        </w:tc>
      </w:tr>
      <w:tr w:rsidR="00E6313A" w:rsidRPr="006F3533" w14:paraId="2899D3E3"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shd w:val="clear" w:color="auto" w:fill="DEEAF6" w:themeFill="accent5" w:themeFillTint="33"/>
          </w:tcPr>
          <w:p w14:paraId="474A8EC6"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Вила</w:t>
            </w:r>
          </w:p>
        </w:tc>
        <w:tc>
          <w:tcPr>
            <w:tcW w:w="1201" w:type="dxa"/>
            <w:shd w:val="clear" w:color="auto" w:fill="DEEAF6" w:themeFill="accent5" w:themeFillTint="33"/>
          </w:tcPr>
          <w:p w14:paraId="1254102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109 542</w:t>
            </w:r>
          </w:p>
        </w:tc>
        <w:tc>
          <w:tcPr>
            <w:tcW w:w="1088" w:type="dxa"/>
            <w:shd w:val="clear" w:color="auto" w:fill="DEEAF6" w:themeFill="accent5" w:themeFillTint="33"/>
          </w:tcPr>
          <w:p w14:paraId="3DFC9A4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6 578</w:t>
            </w:r>
          </w:p>
        </w:tc>
        <w:tc>
          <w:tcPr>
            <w:tcW w:w="1276" w:type="dxa"/>
            <w:shd w:val="clear" w:color="auto" w:fill="DEEAF6" w:themeFill="accent5" w:themeFillTint="33"/>
          </w:tcPr>
          <w:p w14:paraId="1EB7AE8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739 520</w:t>
            </w:r>
          </w:p>
        </w:tc>
        <w:tc>
          <w:tcPr>
            <w:tcW w:w="1134" w:type="dxa"/>
            <w:shd w:val="clear" w:color="auto" w:fill="DEEAF6" w:themeFill="accent5" w:themeFillTint="33"/>
          </w:tcPr>
          <w:p w14:paraId="07AE1F0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7 406</w:t>
            </w:r>
          </w:p>
        </w:tc>
        <w:tc>
          <w:tcPr>
            <w:tcW w:w="1396" w:type="dxa"/>
            <w:tcBorders>
              <w:right w:val="single" w:sz="4" w:space="0" w:color="5B9BD5"/>
            </w:tcBorders>
            <w:shd w:val="clear" w:color="auto" w:fill="DEEAF6" w:themeFill="accent5" w:themeFillTint="33"/>
          </w:tcPr>
          <w:p w14:paraId="3DE8D75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102 964</w:t>
            </w:r>
          </w:p>
        </w:tc>
      </w:tr>
      <w:tr w:rsidR="00E6313A" w:rsidRPr="006F3533" w14:paraId="244F8E70"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tcPr>
          <w:p w14:paraId="3062768B"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Лятна кухня</w:t>
            </w:r>
          </w:p>
        </w:tc>
        <w:tc>
          <w:tcPr>
            <w:tcW w:w="1201" w:type="dxa"/>
          </w:tcPr>
          <w:p w14:paraId="4C6A8C7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66 949</w:t>
            </w:r>
          </w:p>
        </w:tc>
        <w:tc>
          <w:tcPr>
            <w:tcW w:w="1088" w:type="dxa"/>
          </w:tcPr>
          <w:p w14:paraId="2E9C50A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276" w:type="dxa"/>
          </w:tcPr>
          <w:p w14:paraId="3DCF0E2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134" w:type="dxa"/>
          </w:tcPr>
          <w:p w14:paraId="4B5FC9A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396" w:type="dxa"/>
            <w:tcBorders>
              <w:right w:val="single" w:sz="4" w:space="0" w:color="5B9BD5"/>
            </w:tcBorders>
          </w:tcPr>
          <w:p w14:paraId="34C929A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66 949</w:t>
            </w:r>
          </w:p>
        </w:tc>
      </w:tr>
      <w:tr w:rsidR="00E6313A" w:rsidRPr="006F3533" w14:paraId="036FE48A"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shd w:val="clear" w:color="auto" w:fill="DEEAF6" w:themeFill="accent5" w:themeFillTint="33"/>
          </w:tcPr>
          <w:p w14:paraId="1B181CF5"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Сграда за колективно домакинство</w:t>
            </w:r>
          </w:p>
        </w:tc>
        <w:tc>
          <w:tcPr>
            <w:tcW w:w="1201" w:type="dxa"/>
            <w:shd w:val="clear" w:color="auto" w:fill="DEEAF6" w:themeFill="accent5" w:themeFillTint="33"/>
          </w:tcPr>
          <w:p w14:paraId="071B944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622</w:t>
            </w:r>
          </w:p>
        </w:tc>
        <w:tc>
          <w:tcPr>
            <w:tcW w:w="1088" w:type="dxa"/>
            <w:shd w:val="clear" w:color="auto" w:fill="DEEAF6" w:themeFill="accent5" w:themeFillTint="33"/>
          </w:tcPr>
          <w:p w14:paraId="4815621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595</w:t>
            </w:r>
          </w:p>
        </w:tc>
        <w:tc>
          <w:tcPr>
            <w:tcW w:w="1276" w:type="dxa"/>
            <w:shd w:val="clear" w:color="auto" w:fill="DEEAF6" w:themeFill="accent5" w:themeFillTint="33"/>
          </w:tcPr>
          <w:p w14:paraId="7761839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517 394</w:t>
            </w:r>
          </w:p>
        </w:tc>
        <w:tc>
          <w:tcPr>
            <w:tcW w:w="1134" w:type="dxa"/>
            <w:shd w:val="clear" w:color="auto" w:fill="DEEAF6" w:themeFill="accent5" w:themeFillTint="33"/>
          </w:tcPr>
          <w:p w14:paraId="73032E1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845</w:t>
            </w:r>
          </w:p>
        </w:tc>
        <w:tc>
          <w:tcPr>
            <w:tcW w:w="1396" w:type="dxa"/>
            <w:tcBorders>
              <w:right w:val="single" w:sz="4" w:space="0" w:color="5B9BD5"/>
            </w:tcBorders>
            <w:shd w:val="clear" w:color="auto" w:fill="DEEAF6" w:themeFill="accent5" w:themeFillTint="33"/>
          </w:tcPr>
          <w:p w14:paraId="5C0D407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27</w:t>
            </w:r>
          </w:p>
        </w:tc>
      </w:tr>
      <w:tr w:rsidR="00E6313A" w:rsidRPr="006F3533" w14:paraId="5C0CEF48"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3114" w:type="dxa"/>
          </w:tcPr>
          <w:p w14:paraId="769F2F89"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Общо</w:t>
            </w:r>
          </w:p>
        </w:tc>
        <w:tc>
          <w:tcPr>
            <w:tcW w:w="1201" w:type="dxa"/>
          </w:tcPr>
          <w:p w14:paraId="53EF9DD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2 123 121</w:t>
            </w:r>
          </w:p>
        </w:tc>
        <w:tc>
          <w:tcPr>
            <w:tcW w:w="1088" w:type="dxa"/>
          </w:tcPr>
          <w:p w14:paraId="2A864F4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1 152 978</w:t>
            </w:r>
          </w:p>
        </w:tc>
        <w:tc>
          <w:tcPr>
            <w:tcW w:w="1276" w:type="dxa"/>
          </w:tcPr>
          <w:p w14:paraId="7D9CA71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267 487 730</w:t>
            </w:r>
          </w:p>
        </w:tc>
        <w:tc>
          <w:tcPr>
            <w:tcW w:w="1134" w:type="dxa"/>
          </w:tcPr>
          <w:p w14:paraId="7DC31C0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3 239 586</w:t>
            </w:r>
          </w:p>
        </w:tc>
        <w:tc>
          <w:tcPr>
            <w:tcW w:w="1396" w:type="dxa"/>
            <w:tcBorders>
              <w:right w:val="single" w:sz="4" w:space="0" w:color="5B9BD5"/>
            </w:tcBorders>
          </w:tcPr>
          <w:p w14:paraId="41184B4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970 143</w:t>
            </w:r>
          </w:p>
        </w:tc>
      </w:tr>
    </w:tbl>
    <w:p w14:paraId="77448D19"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 xml:space="preserve">Източник: НСИ, Преброяване на населението и жилищния фонд 2021 г. </w:t>
      </w:r>
    </w:p>
    <w:p w14:paraId="1BE5E02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Еднофамилни жилищни сгради</w:t>
      </w:r>
      <w:r w:rsidRPr="006F3533">
        <w:rPr>
          <w:rFonts w:eastAsia="Times New Roman" w:cs="Times New Roman"/>
          <w:szCs w:val="24"/>
          <w:lang w:val="bg-BG" w:eastAsia="bg-BG"/>
        </w:rPr>
        <w:t xml:space="preserve"> (къщи) са най-разпространеният тип жилищни сгради в страната и представляват 1 858 596 броя, или около 87,5% от целия жилищен фонд. От тях </w:t>
      </w:r>
      <w:r w:rsidRPr="006F3533">
        <w:rPr>
          <w:rFonts w:eastAsia="Times New Roman" w:cs="Times New Roman"/>
          <w:b/>
          <w:bCs/>
          <w:szCs w:val="24"/>
          <w:lang w:val="bg-BG" w:eastAsia="bg-BG"/>
        </w:rPr>
        <w:t>1 065 584 са обитавани</w:t>
      </w:r>
      <w:r w:rsidRPr="006F3533">
        <w:rPr>
          <w:rFonts w:eastAsia="Times New Roman" w:cs="Times New Roman"/>
          <w:szCs w:val="24"/>
          <w:lang w:val="bg-BG" w:eastAsia="bg-BG"/>
        </w:rPr>
        <w:t xml:space="preserve">, което означава, че </w:t>
      </w:r>
      <w:r w:rsidRPr="006F3533">
        <w:rPr>
          <w:rFonts w:eastAsia="Times New Roman" w:cs="Times New Roman"/>
          <w:b/>
          <w:bCs/>
          <w:szCs w:val="24"/>
          <w:lang w:val="bg-BG" w:eastAsia="bg-BG"/>
        </w:rPr>
        <w:t>едва 57,3% функционират като реални жилища</w:t>
      </w:r>
      <w:r w:rsidRPr="006F3533">
        <w:rPr>
          <w:rFonts w:eastAsia="Times New Roman" w:cs="Times New Roman"/>
          <w:szCs w:val="24"/>
          <w:lang w:val="bg-BG" w:eastAsia="bg-BG"/>
        </w:rPr>
        <w:t xml:space="preserve">, докато 42,7% остават необитавани. </w:t>
      </w:r>
    </w:p>
    <w:p w14:paraId="5CD543E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Тази структура отразява както историческия модел на развитие на населените места, така и демографския спад, водещ до масово изоставяне на еднофамилни домове, особено в по-малките селища на страната. Макар къщите да заемат 45,7% от общата полезна площ на обитаваните жилищни сгради и да съдържат 40,2% от всички обитавани жилища</w:t>
      </w:r>
      <w:r w:rsidRPr="006F3533">
        <w:rPr>
          <w:rFonts w:eastAsia="Times New Roman" w:cs="Times New Roman"/>
          <w:b/>
          <w:bCs/>
          <w:szCs w:val="24"/>
          <w:lang w:val="bg-BG" w:eastAsia="bg-BG"/>
        </w:rPr>
        <w:t xml:space="preserve">, във всяка къща средно се намират около 1,2 жилища, което показва ниска плътност на населяване. </w:t>
      </w:r>
      <w:r w:rsidRPr="006F3533">
        <w:rPr>
          <w:rFonts w:eastAsia="Times New Roman" w:cs="Times New Roman"/>
          <w:szCs w:val="24"/>
          <w:lang w:val="bg-BG" w:eastAsia="bg-BG"/>
        </w:rPr>
        <w:t xml:space="preserve">Това има пряко отражение върху енергийната ефективност: еднофамилните сгради имат голяма външна повърхност и по-големи топлинни загуби, а разходите за комплексно саниране на квадратен метър са </w:t>
      </w:r>
      <w:r w:rsidRPr="006F3533">
        <w:rPr>
          <w:rFonts w:eastAsia="Times New Roman" w:cs="Times New Roman"/>
          <w:b/>
          <w:bCs/>
          <w:szCs w:val="24"/>
          <w:lang w:val="bg-BG" w:eastAsia="bg-BG"/>
        </w:rPr>
        <w:t>значително по-високи</w:t>
      </w:r>
      <w:r w:rsidRPr="006F3533">
        <w:rPr>
          <w:rFonts w:eastAsia="Times New Roman" w:cs="Times New Roman"/>
          <w:szCs w:val="24"/>
          <w:lang w:val="bg-BG" w:eastAsia="bg-BG"/>
        </w:rPr>
        <w:t xml:space="preserve"> спрямо многофамилните сгради. В практиката това означава, че за масовия случай при тях са по-подходящи поетапни или единични мерки – например подмяна на дограма, топлоизолация само на критични повърхности или обновяване на отоплителната система – тъй като пълният пакет мерки често се оказва икономически неприложим за едно домакинство.</w:t>
      </w:r>
    </w:p>
    <w:p w14:paraId="7C9B1244" w14:textId="77777777" w:rsidR="00E6313A" w:rsidRPr="006F3533" w:rsidRDefault="00E6313A" w:rsidP="00E6313A">
      <w:pPr>
        <w:spacing w:line="240" w:lineRule="auto"/>
        <w:jc w:val="both"/>
        <w:rPr>
          <w:rFonts w:cs="Times New Roman"/>
          <w:i/>
          <w:iCs/>
          <w:color w:val="0070C0"/>
          <w:szCs w:val="24"/>
          <w:lang w:val="bg-BG"/>
        </w:rPr>
      </w:pPr>
      <w:bookmarkStart w:id="31" w:name="_Toc216635996"/>
      <w:r w:rsidRPr="006F3533">
        <w:rPr>
          <w:rFonts w:cs="Times New Roman"/>
          <w:i/>
          <w:iCs/>
          <w:color w:val="0070C0"/>
          <w:szCs w:val="24"/>
          <w:lang w:val="bg-BG"/>
        </w:rPr>
        <w:lastRenderedPageBreak/>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2</w:t>
      </w:r>
      <w:r w:rsidRPr="006F3533">
        <w:rPr>
          <w:rFonts w:cs="Times New Roman"/>
          <w:i/>
          <w:iCs/>
          <w:color w:val="0070C0"/>
          <w:szCs w:val="24"/>
          <w:lang w:val="bg-BG"/>
        </w:rPr>
        <w:fldChar w:fldCharType="end"/>
      </w:r>
      <w:r w:rsidRPr="006F3533">
        <w:rPr>
          <w:rFonts w:cs="Times New Roman"/>
          <w:i/>
          <w:iCs/>
          <w:color w:val="0070C0"/>
          <w:szCs w:val="24"/>
          <w:lang w:val="bg-BG"/>
        </w:rPr>
        <w:t>: Дялово разпределение на броя на обитаваните жилищни сгради по вид към 07.09.2021 г.</w:t>
      </w:r>
      <w:bookmarkEnd w:id="31"/>
    </w:p>
    <w:p w14:paraId="6418A5A0" w14:textId="77777777" w:rsidR="00E6313A" w:rsidRPr="006F3533" w:rsidRDefault="00E6313A" w:rsidP="00E6313A">
      <w:pPr>
        <w:spacing w:before="100" w:beforeAutospacing="1" w:after="100" w:afterAutospacing="1" w:line="240" w:lineRule="auto"/>
        <w:jc w:val="center"/>
        <w:rPr>
          <w:rFonts w:eastAsia="Times New Roman" w:cs="Times New Roman"/>
          <w:b/>
          <w:bCs/>
          <w:i/>
          <w:iCs/>
          <w:szCs w:val="24"/>
          <w:lang w:val="bg-BG" w:eastAsia="bg-BG"/>
        </w:rPr>
      </w:pPr>
      <w:r w:rsidRPr="006F3533">
        <w:rPr>
          <w:rFonts w:eastAsia="Calibri" w:cs="Times New Roman"/>
          <w:noProof/>
          <w:szCs w:val="24"/>
          <w:lang w:val="bg-BG"/>
        </w:rPr>
        <w:drawing>
          <wp:inline distT="0" distB="0" distL="0" distR="0" wp14:anchorId="64F9A401" wp14:editId="5815B5B2">
            <wp:extent cx="4572000" cy="2208530"/>
            <wp:effectExtent l="0" t="0" r="0" b="1270"/>
            <wp:docPr id="121251851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096CCC2"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ab/>
        <w:t xml:space="preserve">Източник: НСИ, Преброяване на населението и жилищния фонд 2021 г. </w:t>
      </w:r>
    </w:p>
    <w:p w14:paraId="5439FBF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 противоположния край се намират многофамилните жилищни сгради (жилищни блокове, кооперации), които са </w:t>
      </w:r>
      <w:r w:rsidRPr="006F3533">
        <w:rPr>
          <w:rFonts w:eastAsia="Times New Roman" w:cs="Times New Roman"/>
          <w:b/>
          <w:bCs/>
          <w:szCs w:val="24"/>
          <w:lang w:val="bg-BG" w:eastAsia="bg-BG"/>
        </w:rPr>
        <w:t>83 382 на брой, или около 3,9% от жилищния фонд</w:t>
      </w:r>
      <w:r w:rsidRPr="006F3533">
        <w:rPr>
          <w:rFonts w:eastAsia="Times New Roman" w:cs="Times New Roman"/>
          <w:szCs w:val="24"/>
          <w:lang w:val="bg-BG" w:eastAsia="bg-BG"/>
        </w:rPr>
        <w:t xml:space="preserve">. Въпреки това 77 428 от тях са обитавани (92,9%), което ги прави най-устойчивата категория по линия на реално жилищно използване. Тяхната структурна компактност обуславя ключовата им роля в енергийния баланс на страната. Макар да са малко като брой, тези сгради съдържат </w:t>
      </w:r>
      <w:r w:rsidRPr="006F3533">
        <w:rPr>
          <w:rFonts w:eastAsia="Times New Roman" w:cs="Times New Roman"/>
          <w:b/>
          <w:bCs/>
          <w:szCs w:val="24"/>
          <w:lang w:val="bg-BG" w:eastAsia="bg-BG"/>
        </w:rPr>
        <w:t>1 876 742 жилища</w:t>
      </w:r>
      <w:r w:rsidRPr="006F3533">
        <w:rPr>
          <w:rFonts w:eastAsia="Times New Roman" w:cs="Times New Roman"/>
          <w:szCs w:val="24"/>
          <w:lang w:val="bg-BG" w:eastAsia="bg-BG"/>
        </w:rPr>
        <w:t xml:space="preserve">, или близо 58% от всички жилища в страната, и заемат 52,7% от цялата полезна площ на обитаваните жилищни сгради.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673"/>
        <w:gridCol w:w="4389"/>
      </w:tblGrid>
      <w:tr w:rsidR="00E6313A" w:rsidRPr="006F3533" w14:paraId="0356046F" w14:textId="77777777" w:rsidTr="00541E06">
        <w:tc>
          <w:tcPr>
            <w:tcW w:w="4673" w:type="dxa"/>
          </w:tcPr>
          <w:p w14:paraId="4F839270" w14:textId="77777777" w:rsidR="00E6313A" w:rsidRPr="006F3533" w:rsidRDefault="00E6313A" w:rsidP="00541E06">
            <w:pPr>
              <w:jc w:val="both"/>
              <w:rPr>
                <w:rFonts w:cs="Times New Roman"/>
                <w:i/>
                <w:iCs/>
                <w:color w:val="0070C0"/>
                <w:szCs w:val="24"/>
                <w:lang w:val="bg-BG"/>
              </w:rPr>
            </w:pPr>
            <w:bookmarkStart w:id="32" w:name="_Toc216635997"/>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3</w:t>
            </w:r>
            <w:r w:rsidRPr="006F3533">
              <w:rPr>
                <w:rFonts w:cs="Times New Roman"/>
                <w:i/>
                <w:iCs/>
                <w:color w:val="0070C0"/>
                <w:szCs w:val="24"/>
                <w:lang w:val="bg-BG"/>
              </w:rPr>
              <w:fldChar w:fldCharType="end"/>
            </w:r>
            <w:r w:rsidRPr="006F3533">
              <w:rPr>
                <w:rFonts w:cs="Times New Roman"/>
                <w:i/>
                <w:iCs/>
                <w:color w:val="0070C0"/>
                <w:szCs w:val="24"/>
                <w:lang w:val="bg-BG"/>
              </w:rPr>
              <w:t>: Дялово разпределение на полезната площ на обитаваните жилищни сгради по вид към 07.09.2021 г.</w:t>
            </w:r>
            <w:bookmarkEnd w:id="32"/>
          </w:p>
          <w:p w14:paraId="0595A184" w14:textId="77777777" w:rsidR="00E6313A" w:rsidRPr="006F3533" w:rsidRDefault="00E6313A" w:rsidP="00541E06">
            <w:pPr>
              <w:spacing w:before="100" w:beforeAutospacing="1" w:after="100" w:afterAutospacing="1"/>
              <w:jc w:val="center"/>
              <w:rPr>
                <w:rFonts w:eastAsia="Calibri" w:cs="Times New Roman"/>
                <w:szCs w:val="24"/>
                <w:lang w:val="bg-BG" w:eastAsia="bg-BG"/>
              </w:rPr>
            </w:pPr>
            <w:r w:rsidRPr="006F3533">
              <w:rPr>
                <w:rFonts w:eastAsia="Calibri" w:cs="Times New Roman"/>
                <w:noProof/>
                <w:szCs w:val="24"/>
                <w:lang w:val="bg-BG"/>
              </w:rPr>
              <w:drawing>
                <wp:inline distT="0" distB="0" distL="0" distR="0" wp14:anchorId="53E846C1" wp14:editId="10EF32D5">
                  <wp:extent cx="2701925" cy="1821815"/>
                  <wp:effectExtent l="0" t="0" r="3175" b="6985"/>
                  <wp:docPr id="102967545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c>
          <w:tcPr>
            <w:tcW w:w="4389" w:type="dxa"/>
          </w:tcPr>
          <w:p w14:paraId="5861FBB9" w14:textId="77777777" w:rsidR="00E6313A" w:rsidRPr="006F3533" w:rsidRDefault="00E6313A" w:rsidP="00541E06">
            <w:pPr>
              <w:jc w:val="both"/>
              <w:rPr>
                <w:rFonts w:cs="Times New Roman"/>
                <w:i/>
                <w:iCs/>
                <w:color w:val="0070C0"/>
                <w:szCs w:val="24"/>
                <w:lang w:val="bg-BG"/>
              </w:rPr>
            </w:pPr>
            <w:bookmarkStart w:id="33" w:name="_Toc216635998"/>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4</w:t>
            </w:r>
            <w:r w:rsidRPr="006F3533">
              <w:rPr>
                <w:rFonts w:cs="Times New Roman"/>
                <w:i/>
                <w:iCs/>
                <w:color w:val="0070C0"/>
                <w:szCs w:val="24"/>
                <w:lang w:val="bg-BG"/>
              </w:rPr>
              <w:fldChar w:fldCharType="end"/>
            </w:r>
            <w:r w:rsidRPr="006F3533">
              <w:rPr>
                <w:rFonts w:cs="Times New Roman"/>
                <w:i/>
                <w:iCs/>
                <w:color w:val="0070C0"/>
                <w:szCs w:val="24"/>
                <w:lang w:val="bg-BG"/>
              </w:rPr>
              <w:t>: Дялово разпределение на жилищата в обитаваните жилищни сгради по вид към 07.09.2021 г.</w:t>
            </w:r>
            <w:bookmarkEnd w:id="33"/>
            <w:r w:rsidRPr="006F3533">
              <w:rPr>
                <w:rFonts w:cs="Times New Roman"/>
                <w:i/>
                <w:iCs/>
                <w:color w:val="0070C0"/>
                <w:szCs w:val="24"/>
                <w:lang w:val="bg-BG"/>
              </w:rPr>
              <w:t xml:space="preserve"> </w:t>
            </w:r>
          </w:p>
          <w:p w14:paraId="4202DFF1" w14:textId="77777777" w:rsidR="00E6313A" w:rsidRPr="006F3533" w:rsidRDefault="00E6313A" w:rsidP="00541E06">
            <w:pPr>
              <w:keepNext/>
              <w:spacing w:before="100" w:beforeAutospacing="1" w:after="100" w:afterAutospacing="1"/>
              <w:jc w:val="center"/>
              <w:rPr>
                <w:rFonts w:eastAsia="Times New Roman" w:cs="Times New Roman"/>
                <w:szCs w:val="24"/>
                <w:lang w:val="bg-BG" w:eastAsia="bg-BG"/>
              </w:rPr>
            </w:pPr>
            <w:r w:rsidRPr="006F3533">
              <w:rPr>
                <w:rFonts w:eastAsia="Calibri" w:cs="Times New Roman"/>
                <w:noProof/>
                <w:szCs w:val="24"/>
                <w:lang w:val="bg-BG"/>
              </w:rPr>
              <w:drawing>
                <wp:inline distT="0" distB="0" distL="0" distR="0" wp14:anchorId="437DCB41" wp14:editId="4BEB4717">
                  <wp:extent cx="2545080" cy="1835150"/>
                  <wp:effectExtent l="0" t="0" r="7620" b="12700"/>
                  <wp:docPr id="31790829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15F4CEAC"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6BA966B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Тази висока концентрация на жилища и полезна площ прави многофамилните сгради стратегически най-значимия сегмент на жилищния фонд от гледна точка на енергийната ефективност, фактор, който следва да бъде отчетен при планиране на мерките за енергийна ефективност с оглед постигане на целите за енергийни спестявания. </w:t>
      </w:r>
    </w:p>
    <w:p w14:paraId="5CD73AB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lastRenderedPageBreak/>
        <w:t>Многофамилни жилищни сгради</w:t>
      </w:r>
      <w:r w:rsidRPr="006F3533">
        <w:rPr>
          <w:rFonts w:eastAsia="Times New Roman" w:cs="Times New Roman"/>
          <w:szCs w:val="24"/>
          <w:lang w:val="bg-BG" w:eastAsia="bg-BG"/>
        </w:rPr>
        <w:t xml:space="preserve"> - поради големия брой домакинства ,,под един покрив“ - средно на една многофамилна жилищна сграда се падат </w:t>
      </w:r>
      <w:r w:rsidRPr="006F3533">
        <w:rPr>
          <w:rFonts w:eastAsia="Times New Roman" w:cs="Times New Roman"/>
          <w:b/>
          <w:bCs/>
          <w:szCs w:val="24"/>
          <w:lang w:val="bg-BG" w:eastAsia="bg-BG"/>
        </w:rPr>
        <w:t>24,2 жилища</w:t>
      </w:r>
      <w:r w:rsidRPr="006F3533">
        <w:rPr>
          <w:rFonts w:eastAsia="Times New Roman" w:cs="Times New Roman"/>
          <w:szCs w:val="24"/>
          <w:lang w:val="bg-BG" w:eastAsia="bg-BG"/>
        </w:rPr>
        <w:t>, обновяването им генерира значително по-висок обществен ефект – намаляване на енергопотреблението, ограничаване на енергийната бедност, по-ефективно използване на публичните средства и по-бързо постигане на националните цели за ЕЕ и климат., като същевременно помощта достига до много по-голям брой крайни бенефициенти.</w:t>
      </w:r>
    </w:p>
    <w:p w14:paraId="47F4B1EF" w14:textId="163C544A"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 xml:space="preserve">За еднофамилни жилищни сгради е по-целесъобразно да се прилагат  пакети от единични мерки, поне на </w:t>
      </w:r>
      <w:r w:rsidR="00372360" w:rsidRPr="006F3533">
        <w:rPr>
          <w:rFonts w:eastAsia="Times New Roman" w:cs="Times New Roman"/>
          <w:b/>
          <w:bCs/>
          <w:szCs w:val="24"/>
          <w:lang w:val="bg-BG" w:eastAsia="bg-BG"/>
        </w:rPr>
        <w:t>първия</w:t>
      </w:r>
      <w:r w:rsidRPr="006F3533">
        <w:rPr>
          <w:rFonts w:eastAsia="Times New Roman" w:cs="Times New Roman"/>
          <w:b/>
          <w:bCs/>
          <w:szCs w:val="24"/>
          <w:lang w:val="bg-BG" w:eastAsia="bg-BG"/>
        </w:rPr>
        <w:t xml:space="preserve"> етап, което отговаря по-добре на потребностите на отделното домакинство и осигурява по-добро съотношение цена–полза.</w:t>
      </w:r>
      <w:r w:rsidRPr="006F3533">
        <w:rPr>
          <w:rFonts w:eastAsia="Times New Roman" w:cs="Times New Roman"/>
          <w:szCs w:val="24"/>
          <w:lang w:val="bg-BG" w:eastAsia="bg-BG"/>
        </w:rPr>
        <w:t xml:space="preserve"> Този извод е продиктуван от анализ на съществуващото положение и няколко обуславящи фактора: висока цена на единица обновена площ, ниска обитаемост, влошена демографска картина – застаряващо население с нисък финансов статус и трудности да инвестират в енергийна ефективност.  </w:t>
      </w:r>
    </w:p>
    <w:p w14:paraId="115AF8C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Сградите от смесен тип</w:t>
      </w:r>
      <w:r w:rsidRPr="006F3533">
        <w:rPr>
          <w:rFonts w:eastAsia="Times New Roman" w:cs="Times New Roman"/>
          <w:szCs w:val="24"/>
          <w:lang w:val="bg-BG" w:eastAsia="bg-BG"/>
        </w:rPr>
        <w:t>, в които над 60% от площта е жилищна, но има и нежилищни функции, заемат ограничен дял – 3 415 броя, от които 2 450 са обитавани. Макар да представляват едва 0,2% от обитаваните сгради, те имат нормативно значение, тъй като попадат в специфичен режим на енергийно сертифициране. По Наредба № Е-РД-04-2/2022 различните функционални части на такива сгради се сертифицират отделно, когато имат различно предназначение и обособени топлинни зони. Това изисква комплексен подход при енергийните обследвания и може да увеличи както административното, така и финансовото натоварване при обновяване. Макар техният общ енергиен принос да е ограничен, в градските центрове те имат важна роля за формиране на смесената функционална среда.</w:t>
      </w:r>
    </w:p>
    <w:p w14:paraId="6A07247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Общежитията</w:t>
      </w:r>
      <w:r w:rsidRPr="006F3533">
        <w:rPr>
          <w:rFonts w:eastAsia="Times New Roman" w:cs="Times New Roman"/>
          <w:szCs w:val="24"/>
          <w:lang w:val="bg-BG" w:eastAsia="bg-BG"/>
        </w:rPr>
        <w:t xml:space="preserve"> формират малка, но специфична група от 615 сгради, от които 343 са обитавани. Макар да съдържат сравнително скромен брой обитавани помещения – 24 653 – те са структурно и функционално близки до многофамилните жилищни сгради. Общежитията концентрират голям брой обитатели в един строителен обем, като ползват общи инсталации и имат сходни модели на енергийно потребление. Именно поради това нормативната рамка прилага към тях скалата за енергопотребление, предназначена за многофамилните сгради. Макар да не представляват голям дял от националния сграден фонд, те са важни в определени урбанизирани територии (предимно университетски центрове) и следва да се разглеждат като част от потенциала за повишаване на енергийната ефективност.</w:t>
      </w:r>
    </w:p>
    <w:p w14:paraId="2F0FB7B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Вилите и летните кухни</w:t>
      </w:r>
      <w:r w:rsidRPr="006F3533">
        <w:rPr>
          <w:rFonts w:eastAsia="Times New Roman" w:cs="Times New Roman"/>
          <w:szCs w:val="24"/>
          <w:lang w:val="bg-BG" w:eastAsia="bg-BG"/>
        </w:rPr>
        <w:t xml:space="preserve"> имат съвсем различен профил. Вилите наброяват 109 542 сгради, но едва 6 578 от тях са обитавани. Това означава, че 94% остават извън реалното жилищно използване. Летните кухни, 66 949 наброяващи, по дефиниция са 100% необитавани. </w:t>
      </w:r>
      <w:r w:rsidRPr="006F3533">
        <w:rPr>
          <w:rFonts w:eastAsia="Times New Roman" w:cs="Times New Roman"/>
          <w:b/>
          <w:bCs/>
          <w:szCs w:val="24"/>
          <w:lang w:val="bg-BG" w:eastAsia="bg-BG"/>
        </w:rPr>
        <w:t>Тези две категории са извън обхвата на политиките</w:t>
      </w:r>
      <w:r w:rsidRPr="006F3533">
        <w:rPr>
          <w:rFonts w:eastAsia="Times New Roman" w:cs="Times New Roman"/>
          <w:szCs w:val="24"/>
          <w:lang w:val="bg-BG" w:eastAsia="bg-BG"/>
        </w:rPr>
        <w:t xml:space="preserve"> за енергийна ефективност, както поради сезонното им използване, така и поради липса на нормативно изискване за сертифициране.</w:t>
      </w:r>
    </w:p>
    <w:p w14:paraId="090794F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Сградите за колективни домакинства</w:t>
      </w:r>
      <w:r w:rsidRPr="006F3533">
        <w:rPr>
          <w:rFonts w:eastAsia="Times New Roman" w:cs="Times New Roman"/>
          <w:szCs w:val="24"/>
          <w:lang w:val="bg-BG" w:eastAsia="bg-BG"/>
        </w:rPr>
        <w:t xml:space="preserve"> представляват 622 броя, от които 595 са обитавани, но същевременно съдържат едва 845 помещения. Това са социални институции, чиято функция и начин на използване се различават коренно от жилищните. </w:t>
      </w:r>
      <w:r w:rsidRPr="006F3533">
        <w:rPr>
          <w:rFonts w:eastAsia="Times New Roman" w:cs="Times New Roman"/>
          <w:szCs w:val="24"/>
          <w:lang w:val="bg-BG" w:eastAsia="bg-BG"/>
        </w:rPr>
        <w:lastRenderedPageBreak/>
        <w:t>Те имат минимален дял в общата жилищна площ и следователно нямат съществено значение за енергийния анализ на жилищния фонд.</w:t>
      </w:r>
    </w:p>
    <w:p w14:paraId="02EA850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В обобщение</w:t>
      </w:r>
      <w:r w:rsidRPr="006F3533">
        <w:rPr>
          <w:rFonts w:eastAsia="Times New Roman" w:cs="Times New Roman"/>
          <w:szCs w:val="24"/>
          <w:lang w:val="bg-BG" w:eastAsia="bg-BG"/>
        </w:rPr>
        <w:t xml:space="preserve">, въз основа на анализираните по-горе данни, могат да бъдат изведени следните </w:t>
      </w:r>
      <w:r w:rsidRPr="006F3533">
        <w:rPr>
          <w:rFonts w:eastAsia="Times New Roman" w:cs="Times New Roman"/>
          <w:b/>
          <w:bCs/>
          <w:szCs w:val="24"/>
          <w:lang w:val="bg-BG" w:eastAsia="bg-BG"/>
        </w:rPr>
        <w:t>основни изводи</w:t>
      </w:r>
      <w:r w:rsidRPr="006F3533">
        <w:rPr>
          <w:rFonts w:eastAsia="Times New Roman" w:cs="Times New Roman"/>
          <w:szCs w:val="24"/>
          <w:lang w:val="bg-BG" w:eastAsia="bg-BG"/>
        </w:rPr>
        <w:t>:</w:t>
      </w:r>
    </w:p>
    <w:p w14:paraId="79FE00FB" w14:textId="77777777" w:rsidR="00E6313A" w:rsidRPr="006F3533" w:rsidRDefault="00E6313A" w:rsidP="00551FED">
      <w:pPr>
        <w:numPr>
          <w:ilvl w:val="0"/>
          <w:numId w:val="109"/>
        </w:numPr>
        <w:spacing w:before="100" w:beforeAutospacing="1" w:after="100" w:afterAutospacing="1" w:line="240" w:lineRule="auto"/>
        <w:contextualSpacing/>
        <w:jc w:val="both"/>
        <w:rPr>
          <w:rFonts w:eastAsia="Times New Roman" w:cs="Times New Roman"/>
          <w:szCs w:val="24"/>
          <w:lang w:val="bg-BG" w:eastAsia="bg-BG"/>
        </w:rPr>
      </w:pPr>
      <w:r w:rsidRPr="006F3533">
        <w:rPr>
          <w:rFonts w:eastAsia="Times New Roman" w:cs="Times New Roman"/>
          <w:b/>
          <w:bCs/>
          <w:szCs w:val="24"/>
          <w:lang w:val="bg-BG" w:eastAsia="bg-BG"/>
        </w:rPr>
        <w:t>Еднофамилните жилищни сгради</w:t>
      </w:r>
      <w:r w:rsidRPr="006F3533">
        <w:rPr>
          <w:rFonts w:eastAsia="Times New Roman" w:cs="Times New Roman"/>
          <w:szCs w:val="24"/>
          <w:lang w:val="bg-BG" w:eastAsia="bg-BG"/>
        </w:rPr>
        <w:t xml:space="preserve"> доминират по брой, но представляват само 45,7% от полезната площ на обитаваните жилища. Те са скъпоструващи за комплексно саниране, подходящи за индивидуални или поетапни мерки.</w:t>
      </w:r>
    </w:p>
    <w:p w14:paraId="20789A2B" w14:textId="77777777" w:rsidR="00E6313A" w:rsidRPr="006F3533" w:rsidRDefault="00E6313A" w:rsidP="00551FED">
      <w:pPr>
        <w:numPr>
          <w:ilvl w:val="0"/>
          <w:numId w:val="109"/>
        </w:numPr>
        <w:spacing w:before="100" w:beforeAutospacing="1" w:after="100" w:afterAutospacing="1" w:line="240" w:lineRule="auto"/>
        <w:contextualSpacing/>
        <w:jc w:val="both"/>
        <w:rPr>
          <w:rFonts w:eastAsia="Times New Roman" w:cs="Times New Roman"/>
          <w:szCs w:val="24"/>
          <w:lang w:val="bg-BG" w:eastAsia="bg-BG"/>
        </w:rPr>
      </w:pPr>
      <w:r w:rsidRPr="006F3533">
        <w:rPr>
          <w:rFonts w:eastAsia="Times New Roman" w:cs="Times New Roman"/>
          <w:b/>
          <w:bCs/>
          <w:szCs w:val="24"/>
          <w:lang w:val="bg-BG" w:eastAsia="bg-BG"/>
        </w:rPr>
        <w:t>Многофамилните жилищни сгради</w:t>
      </w:r>
      <w:r w:rsidRPr="006F3533">
        <w:rPr>
          <w:rFonts w:eastAsia="Times New Roman" w:cs="Times New Roman"/>
          <w:szCs w:val="24"/>
          <w:lang w:val="bg-BG" w:eastAsia="bg-BG"/>
        </w:rPr>
        <w:t xml:space="preserve"> са малко (3,9%), но имат най-голямо значение за енергийния профил на страната – над 50% от обитаваната площ и близо 60% от жилищата. Имат най-висок потенциал за енергийни спестявания.</w:t>
      </w:r>
    </w:p>
    <w:p w14:paraId="4DBF2D46" w14:textId="77777777" w:rsidR="00E6313A" w:rsidRPr="006F3533" w:rsidRDefault="00E6313A" w:rsidP="00551FED">
      <w:pPr>
        <w:numPr>
          <w:ilvl w:val="0"/>
          <w:numId w:val="109"/>
        </w:numPr>
        <w:spacing w:before="100" w:beforeAutospacing="1" w:after="100" w:afterAutospacing="1" w:line="240" w:lineRule="auto"/>
        <w:contextualSpacing/>
        <w:jc w:val="both"/>
        <w:rPr>
          <w:rFonts w:eastAsia="Times New Roman" w:cs="Times New Roman"/>
          <w:szCs w:val="24"/>
          <w:lang w:val="bg-BG" w:eastAsia="bg-BG"/>
        </w:rPr>
      </w:pPr>
      <w:r w:rsidRPr="006F3533">
        <w:rPr>
          <w:rFonts w:eastAsia="Times New Roman" w:cs="Times New Roman"/>
          <w:b/>
          <w:bCs/>
          <w:szCs w:val="24"/>
          <w:lang w:val="bg-BG" w:eastAsia="bg-BG"/>
        </w:rPr>
        <w:t>Сградите от смесен тип</w:t>
      </w:r>
      <w:r w:rsidRPr="006F3533">
        <w:rPr>
          <w:rFonts w:eastAsia="Times New Roman" w:cs="Times New Roman"/>
          <w:szCs w:val="24"/>
          <w:lang w:val="bg-BG" w:eastAsia="bg-BG"/>
        </w:rPr>
        <w:t xml:space="preserve"> и общежитията са функционално значими, но ограничени по обем.</w:t>
      </w:r>
    </w:p>
    <w:p w14:paraId="3A38C579" w14:textId="77777777" w:rsidR="00E6313A" w:rsidRPr="006F3533" w:rsidRDefault="00E6313A" w:rsidP="00551FED">
      <w:pPr>
        <w:numPr>
          <w:ilvl w:val="0"/>
          <w:numId w:val="109"/>
        </w:numPr>
        <w:spacing w:before="100" w:beforeAutospacing="1" w:after="100" w:afterAutospacing="1" w:line="240" w:lineRule="auto"/>
        <w:contextualSpacing/>
        <w:jc w:val="both"/>
        <w:rPr>
          <w:rFonts w:eastAsia="Times New Roman" w:cs="Times New Roman"/>
          <w:szCs w:val="24"/>
          <w:lang w:val="bg-BG" w:eastAsia="bg-BG"/>
        </w:rPr>
      </w:pPr>
      <w:r w:rsidRPr="006F3533">
        <w:rPr>
          <w:rFonts w:eastAsia="Times New Roman" w:cs="Times New Roman"/>
          <w:b/>
          <w:bCs/>
          <w:szCs w:val="24"/>
          <w:lang w:val="bg-BG" w:eastAsia="bg-BG"/>
        </w:rPr>
        <w:t>Вилите и летните кухни</w:t>
      </w:r>
      <w:r w:rsidRPr="006F3533">
        <w:rPr>
          <w:rFonts w:eastAsia="Times New Roman" w:cs="Times New Roman"/>
          <w:szCs w:val="24"/>
          <w:lang w:val="bg-BG" w:eastAsia="bg-BG"/>
        </w:rPr>
        <w:t xml:space="preserve"> са извън енергийния анализ поради почти пълна необитаемост. </w:t>
      </w:r>
    </w:p>
    <w:p w14:paraId="2EFC9424" w14:textId="77777777" w:rsidR="00E6313A" w:rsidRPr="006F3533" w:rsidRDefault="00E6313A" w:rsidP="00551FED">
      <w:pPr>
        <w:numPr>
          <w:ilvl w:val="0"/>
          <w:numId w:val="109"/>
        </w:numPr>
        <w:spacing w:before="100" w:beforeAutospacing="1" w:after="100" w:afterAutospacing="1" w:line="240" w:lineRule="auto"/>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Различните категории сгради могат да бъдат обхванати с гъвкави, но целенасочени механизми, които отразяват реалното им значение за енергийния профил на страната. </w:t>
      </w:r>
    </w:p>
    <w:p w14:paraId="6D3A3E54" w14:textId="77777777" w:rsidR="00E6313A" w:rsidRPr="006F3533" w:rsidRDefault="00E6313A" w:rsidP="00E6313A">
      <w:pPr>
        <w:pStyle w:val="Heading2"/>
        <w:spacing w:before="100" w:beforeAutospacing="1" w:after="100" w:afterAutospacing="1"/>
        <w:jc w:val="both"/>
        <w:rPr>
          <w:sz w:val="24"/>
          <w:szCs w:val="24"/>
          <w:lang w:val="bg-BG"/>
        </w:rPr>
      </w:pPr>
      <w:bookmarkStart w:id="34" w:name="_Toc217837098"/>
      <w:bookmarkStart w:id="35" w:name="_Toc217888756"/>
      <w:r w:rsidRPr="006F3533">
        <w:rPr>
          <w:sz w:val="24"/>
          <w:szCs w:val="24"/>
          <w:lang w:val="bg-BG"/>
        </w:rPr>
        <w:t>Статистически преглед по технически показатели на жилищните сгради</w:t>
      </w:r>
      <w:bookmarkEnd w:id="34"/>
      <w:bookmarkEnd w:id="35"/>
      <w:r w:rsidRPr="006F3533">
        <w:rPr>
          <w:sz w:val="24"/>
          <w:szCs w:val="24"/>
          <w:lang w:val="bg-BG"/>
        </w:rPr>
        <w:t xml:space="preserve"> </w:t>
      </w:r>
    </w:p>
    <w:p w14:paraId="6E760F7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bookmarkStart w:id="36" w:name="_Hlk29641492"/>
      <w:r w:rsidRPr="006F3533">
        <w:rPr>
          <w:rFonts w:eastAsia="Times New Roman" w:cs="Times New Roman"/>
          <w:szCs w:val="24"/>
          <w:lang w:val="bg-BG" w:eastAsia="bg-BG"/>
        </w:rPr>
        <w:t xml:space="preserve">Прегледът на жилищните сгради по технически показатели </w:t>
      </w:r>
      <w:r w:rsidRPr="006F3533">
        <w:rPr>
          <w:rFonts w:eastAsia="Times New Roman" w:cs="Times New Roman"/>
          <w:b/>
          <w:bCs/>
          <w:szCs w:val="24"/>
          <w:lang w:val="bg-BG" w:eastAsia="bg-BG"/>
        </w:rPr>
        <w:t>има за цел да очертае</w:t>
      </w:r>
      <w:r w:rsidRPr="006F3533">
        <w:rPr>
          <w:rFonts w:eastAsia="Times New Roman" w:cs="Times New Roman"/>
          <w:szCs w:val="24"/>
          <w:lang w:val="bg-BG" w:eastAsia="bg-BG"/>
        </w:rPr>
        <w:t xml:space="preserve"> </w:t>
      </w:r>
      <w:r w:rsidRPr="006F3533">
        <w:rPr>
          <w:rFonts w:eastAsia="Times New Roman" w:cs="Times New Roman"/>
          <w:b/>
          <w:bCs/>
          <w:szCs w:val="24"/>
          <w:lang w:val="bg-BG" w:eastAsia="bg-BG"/>
        </w:rPr>
        <w:t>реалното техническо състояние на обитавания жилищен фонд</w:t>
      </w:r>
      <w:r w:rsidRPr="006F3533">
        <w:rPr>
          <w:rFonts w:eastAsia="Times New Roman" w:cs="Times New Roman"/>
          <w:szCs w:val="24"/>
          <w:lang w:val="bg-BG" w:eastAsia="bg-BG"/>
        </w:rPr>
        <w:t xml:space="preserve"> в България и неговите ключови конструктивни и експлоатационни характеристики. Тази оценка е от съществено значение, тъй като именно техническите параметри на сградите определят както възможностите и ограниченията за тяхното енергийно обновяване, така и ефективността на предвидените мерки. </w:t>
      </w:r>
    </w:p>
    <w:p w14:paraId="423BC78E"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Анализът служи за: 1) </w:t>
      </w:r>
      <w:r w:rsidRPr="006F3533">
        <w:rPr>
          <w:rFonts w:eastAsia="Times New Roman" w:cs="Times New Roman"/>
          <w:b/>
          <w:bCs/>
          <w:szCs w:val="24"/>
          <w:lang w:val="bg-BG" w:eastAsia="bg-BG"/>
        </w:rPr>
        <w:t>оценка на състоянието</w:t>
      </w:r>
      <w:r w:rsidRPr="006F3533">
        <w:rPr>
          <w:rFonts w:eastAsia="Times New Roman" w:cs="Times New Roman"/>
          <w:szCs w:val="24"/>
          <w:lang w:val="bg-BG" w:eastAsia="bg-BG"/>
        </w:rPr>
        <w:t xml:space="preserve"> на сградите спрямо съществените изисквания към строежите по чл. 169, ал. 1, т.1–7 от Закона за устройство на територията – механична устойчивост, пожарна безопасност, хигиена, здраве и околна среда, достъпност, шумозащита, енергийна ефективност и устойчиво използване на ресурсите и 2) </w:t>
      </w:r>
      <w:r w:rsidRPr="006F3533">
        <w:rPr>
          <w:rFonts w:eastAsia="Times New Roman" w:cs="Times New Roman"/>
          <w:b/>
          <w:bCs/>
          <w:szCs w:val="24"/>
          <w:lang w:val="bg-BG" w:eastAsia="bg-BG"/>
        </w:rPr>
        <w:t>оценка на ефективността на разходите</w:t>
      </w:r>
      <w:r w:rsidRPr="006F3533">
        <w:rPr>
          <w:rFonts w:eastAsia="Times New Roman" w:cs="Times New Roman"/>
          <w:szCs w:val="24"/>
          <w:lang w:val="bg-BG" w:eastAsia="bg-BG"/>
        </w:rPr>
        <w:t xml:space="preserve"> при енергийно обновяване, като се съпоставят различните типове конструкции, възрастови групи и строителни системи.</w:t>
      </w:r>
    </w:p>
    <w:p w14:paraId="0A637A8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Следва да се подчертае, че най-пълната и надеждна представа за техническото състояние на една жилищна сграда би могла да бъде получена чрез нейния технически паспорт, изготвен по реда на Наредба № 5 за техническите паспорти. Към момента на изготвяне на настоящия анализ, само жилищните сгради (многофамилни), преминали през предходни програми за енергийно обновяване, разполагат с технически паспорти (задължително условие за кандидатстване), като </w:t>
      </w:r>
      <w:r w:rsidRPr="006F3533">
        <w:rPr>
          <w:rFonts w:eastAsia="Times New Roman" w:cs="Times New Roman"/>
          <w:b/>
          <w:bCs/>
          <w:szCs w:val="24"/>
          <w:lang w:val="bg-BG" w:eastAsia="bg-BG"/>
        </w:rPr>
        <w:t>техният брой е малко под 6 000</w:t>
      </w:r>
      <w:r w:rsidRPr="006F3533">
        <w:rPr>
          <w:rFonts w:eastAsia="Times New Roman" w:cs="Times New Roman"/>
          <w:szCs w:val="24"/>
          <w:lang w:val="bg-BG" w:eastAsia="bg-BG"/>
        </w:rPr>
        <w:t xml:space="preserve"> – едва незначителна част от националния жилищен фонд. Поради тази причина настоящият анализ се основава на </w:t>
      </w:r>
      <w:proofErr w:type="spellStart"/>
      <w:r w:rsidRPr="006F3533">
        <w:rPr>
          <w:rFonts w:eastAsia="Times New Roman" w:cs="Times New Roman"/>
          <w:szCs w:val="24"/>
          <w:lang w:val="bg-BG" w:eastAsia="bg-BG"/>
        </w:rPr>
        <w:t>агрегирани</w:t>
      </w:r>
      <w:proofErr w:type="spellEnd"/>
      <w:r w:rsidRPr="006F3533">
        <w:rPr>
          <w:rFonts w:eastAsia="Times New Roman" w:cs="Times New Roman"/>
          <w:szCs w:val="24"/>
          <w:lang w:val="bg-BG" w:eastAsia="bg-BG"/>
        </w:rPr>
        <w:t xml:space="preserve"> статистически данни от Преброяване 2021, които представляват най-пълния наличен източник за общите технически характеристики на жилищните сгради.</w:t>
      </w:r>
    </w:p>
    <w:p w14:paraId="255FCAF5"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Важно е да се подчертае, че оценката е фокусирана върху обитаваните жилищни сгради, които формират реалния енергиен актив на страната и участват в актуалното енергийно потребление. Този фокус позволява да бъде очертан действителният потенциал за енергийни спестявания, както и структурните бариери, които трябва да бъдат преодолени чрез политиките за обновяване.</w:t>
      </w:r>
    </w:p>
    <w:p w14:paraId="66F9EAE6"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bookmarkStart w:id="37" w:name="_Toc29053244"/>
      <w:bookmarkStart w:id="38" w:name="_Toc216776910"/>
      <w:bookmarkStart w:id="39" w:name="_Toc29741306"/>
      <w:bookmarkEnd w:id="36"/>
      <w:r w:rsidRPr="006F3533">
        <w:rPr>
          <w:rFonts w:eastAsia="Times New Roman" w:cs="Times New Roman"/>
          <w:b/>
          <w:bCs/>
          <w:szCs w:val="24"/>
          <w:lang w:val="bg-BG" w:eastAsia="bg-BG"/>
        </w:rPr>
        <w:t>Статистически преглед по вид на строителната система</w:t>
      </w:r>
      <w:bookmarkEnd w:id="37"/>
      <w:bookmarkEnd w:id="38"/>
      <w:bookmarkEnd w:id="39"/>
    </w:p>
    <w:p w14:paraId="1CB567D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Видът на строителната система</w:t>
      </w:r>
      <w:r w:rsidRPr="006F3533">
        <w:rPr>
          <w:rFonts w:eastAsia="Times New Roman" w:cs="Times New Roman"/>
          <w:szCs w:val="24"/>
          <w:lang w:val="bg-BG" w:eastAsia="bg-BG"/>
        </w:rPr>
        <w:t xml:space="preserve"> е един от ключовите технически параметри, които определят степента на пригодност на жилищните сгради за енергийно обновяване. Конструктивните характеристики влияят не само върху възможността за прилагане на различни енергоспестяващи мерки, но и върху дълготрайността, експлоатационната безопасност и остатъчния технически живот на сградите. В тази връзка възрастта на жилищния фонд следва да се анализира едновременно с конструктивния тип, тъй като различните поколения строителство използват различни материали, детайли и нормативни изисквания.</w:t>
      </w:r>
    </w:p>
    <w:p w14:paraId="765DD80E"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Техническите амортизационни периоди на жилищните сгради в България зависят както от конструктивната система (обективен фактор), така и от начина на експлоатация и поддържане (субективен фактор), който в значителна част от случая е неблагоприятен. Липсата на поддръжка ускорява стареенето на сградите и може да намали техния остатъчен живот, докато редовната поддръжка и извършваните ремонти могат да удължат периода на безопасна експлоатация.</w:t>
      </w:r>
    </w:p>
    <w:p w14:paraId="09368454" w14:textId="77777777" w:rsidR="00E6313A" w:rsidRPr="006F3533" w:rsidRDefault="00E6313A" w:rsidP="00E6313A">
      <w:pPr>
        <w:shd w:val="clear" w:color="auto" w:fill="FFFFFF"/>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 xml:space="preserve">По вида на строителната система, жилищният фонд в Р България е представен </w:t>
      </w:r>
      <w:r w:rsidRPr="006F3533">
        <w:rPr>
          <w:rFonts w:eastAsia="Calibri" w:cs="Times New Roman"/>
          <w:b/>
          <w:bCs/>
          <w:szCs w:val="24"/>
          <w:lang w:val="bg-BG"/>
        </w:rPr>
        <w:t>в пет обобщени категории</w:t>
      </w:r>
      <w:r w:rsidRPr="006F3533">
        <w:rPr>
          <w:rFonts w:eastAsia="Calibri" w:cs="Times New Roman"/>
          <w:szCs w:val="24"/>
          <w:lang w:val="bg-BG"/>
        </w:rPr>
        <w:t xml:space="preserve"> – панелни сгради</w:t>
      </w:r>
      <w:r w:rsidRPr="006F3533">
        <w:rPr>
          <w:rFonts w:eastAsia="Times New Roman" w:cs="Times New Roman"/>
          <w:szCs w:val="24"/>
          <w:vertAlign w:val="superscript"/>
          <w:lang w:val="bg-BG" w:eastAsia="en-GB"/>
        </w:rPr>
        <w:footnoteReference w:id="20"/>
      </w:r>
      <w:r w:rsidRPr="006F3533">
        <w:rPr>
          <w:rFonts w:eastAsia="Calibri" w:cs="Times New Roman"/>
          <w:szCs w:val="24"/>
          <w:lang w:val="bg-BG"/>
        </w:rPr>
        <w:t>, стоманобетонни сгради</w:t>
      </w:r>
      <w:r w:rsidRPr="006F3533">
        <w:rPr>
          <w:rFonts w:eastAsia="Times New Roman" w:cs="Times New Roman"/>
          <w:szCs w:val="24"/>
          <w:vertAlign w:val="superscript"/>
          <w:lang w:val="bg-BG" w:eastAsia="en-GB"/>
        </w:rPr>
        <w:footnoteReference w:id="21"/>
      </w:r>
      <w:r w:rsidRPr="006F3533">
        <w:rPr>
          <w:rFonts w:eastAsia="Calibri" w:cs="Times New Roman"/>
          <w:szCs w:val="24"/>
          <w:lang w:val="bg-BG"/>
        </w:rPr>
        <w:t>, масивни (тухлени с бетонна плоча)</w:t>
      </w:r>
      <w:r w:rsidRPr="006F3533">
        <w:rPr>
          <w:rFonts w:eastAsia="Times New Roman" w:cs="Times New Roman"/>
          <w:szCs w:val="24"/>
          <w:vertAlign w:val="superscript"/>
          <w:lang w:val="bg-BG" w:eastAsia="en-GB"/>
        </w:rPr>
        <w:footnoteReference w:id="22"/>
      </w:r>
      <w:r w:rsidRPr="006F3533">
        <w:rPr>
          <w:rFonts w:eastAsia="Calibri" w:cs="Times New Roman"/>
          <w:szCs w:val="24"/>
          <w:lang w:val="bg-BG"/>
        </w:rPr>
        <w:t>, полумасивни (тухлени с гредоред)</w:t>
      </w:r>
      <w:r w:rsidRPr="006F3533">
        <w:rPr>
          <w:rFonts w:eastAsia="Times New Roman" w:cs="Times New Roman"/>
          <w:szCs w:val="24"/>
          <w:vertAlign w:val="superscript"/>
          <w:lang w:val="bg-BG" w:eastAsia="en-GB"/>
        </w:rPr>
        <w:footnoteReference w:id="23"/>
      </w:r>
      <w:r w:rsidRPr="006F3533">
        <w:rPr>
          <w:rFonts w:eastAsia="Calibri" w:cs="Times New Roman"/>
          <w:szCs w:val="24"/>
          <w:lang w:val="bg-BG"/>
        </w:rPr>
        <w:t xml:space="preserve"> и други</w:t>
      </w:r>
      <w:r w:rsidRPr="006F3533">
        <w:rPr>
          <w:rFonts w:eastAsia="Calibri" w:cs="Times New Roman"/>
          <w:szCs w:val="24"/>
          <w:vertAlign w:val="superscript"/>
          <w:lang w:val="bg-BG"/>
        </w:rPr>
        <w:footnoteReference w:id="24"/>
      </w:r>
      <w:r w:rsidRPr="006F3533">
        <w:rPr>
          <w:rFonts w:eastAsia="Calibri" w:cs="Times New Roman"/>
          <w:szCs w:val="24"/>
          <w:lang w:val="bg-BG"/>
        </w:rPr>
        <w:t xml:space="preserve">. </w:t>
      </w:r>
    </w:p>
    <w:p w14:paraId="7FB882BF" w14:textId="77777777" w:rsidR="00E6313A" w:rsidRPr="006F3533" w:rsidRDefault="00E6313A" w:rsidP="00E6313A">
      <w:pPr>
        <w:spacing w:line="240" w:lineRule="auto"/>
        <w:jc w:val="both"/>
        <w:rPr>
          <w:rFonts w:cs="Times New Roman"/>
          <w:i/>
          <w:iCs/>
          <w:color w:val="0070C0"/>
          <w:szCs w:val="24"/>
          <w:lang w:val="bg-BG"/>
        </w:rPr>
      </w:pPr>
      <w:bookmarkStart w:id="42" w:name="_Toc216635999"/>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5</w:t>
      </w:r>
      <w:r w:rsidRPr="006F3533">
        <w:rPr>
          <w:rFonts w:cs="Times New Roman"/>
          <w:i/>
          <w:iCs/>
          <w:color w:val="0070C0"/>
          <w:szCs w:val="24"/>
          <w:lang w:val="bg-BG"/>
        </w:rPr>
        <w:fldChar w:fldCharType="end"/>
      </w:r>
      <w:r w:rsidRPr="006F3533">
        <w:rPr>
          <w:rFonts w:cs="Times New Roman"/>
          <w:i/>
          <w:iCs/>
          <w:color w:val="0070C0"/>
          <w:szCs w:val="24"/>
          <w:lang w:val="bg-BG"/>
        </w:rPr>
        <w:t>: Дялово разпределение на общ брой на обитаваните жилищни сгради по вид на строителната система към 07.09.2021 г.</w:t>
      </w:r>
      <w:bookmarkEnd w:id="42"/>
      <w:r w:rsidRPr="006F3533">
        <w:rPr>
          <w:rFonts w:cs="Times New Roman"/>
          <w:i/>
          <w:iCs/>
          <w:color w:val="0070C0"/>
          <w:szCs w:val="24"/>
          <w:lang w:val="bg-BG"/>
        </w:rPr>
        <w:t xml:space="preserve"> </w:t>
      </w:r>
    </w:p>
    <w:p w14:paraId="647CC7AE" w14:textId="77777777" w:rsidR="00E6313A" w:rsidRPr="006F3533" w:rsidRDefault="00E6313A" w:rsidP="00E6313A">
      <w:pPr>
        <w:spacing w:before="100" w:beforeAutospacing="1" w:after="100" w:afterAutospacing="1" w:line="240" w:lineRule="auto"/>
        <w:jc w:val="center"/>
        <w:rPr>
          <w:rFonts w:eastAsia="Times New Roman" w:cs="Times New Roman"/>
          <w:szCs w:val="24"/>
          <w:lang w:val="bg-BG" w:eastAsia="bg-BG"/>
        </w:rPr>
      </w:pPr>
      <w:r w:rsidRPr="006F3533">
        <w:rPr>
          <w:rFonts w:eastAsia="Calibri" w:cs="Times New Roman"/>
          <w:noProof/>
          <w:szCs w:val="24"/>
          <w:lang w:val="bg-BG"/>
        </w:rPr>
        <w:lastRenderedPageBreak/>
        <w:drawing>
          <wp:inline distT="0" distB="0" distL="0" distR="0" wp14:anchorId="1C132C54" wp14:editId="2698465E">
            <wp:extent cx="4572000" cy="2743200"/>
            <wp:effectExtent l="0" t="0" r="0" b="0"/>
            <wp:docPr id="48538478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2054670"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3F6C039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национален мащаб почти половината от обитаваните сгради – 49,1% – са </w:t>
      </w:r>
      <w:r w:rsidRPr="006F3533">
        <w:rPr>
          <w:rFonts w:eastAsia="Times New Roman" w:cs="Times New Roman"/>
          <w:b/>
          <w:bCs/>
          <w:szCs w:val="24"/>
          <w:lang w:val="bg-BG" w:eastAsia="bg-BG"/>
        </w:rPr>
        <w:t>тухлени с бетонна плоча, което ги прави най-широко разпространената конструкция</w:t>
      </w:r>
      <w:r w:rsidRPr="006F3533">
        <w:rPr>
          <w:rFonts w:eastAsia="Times New Roman" w:cs="Times New Roman"/>
          <w:szCs w:val="24"/>
          <w:lang w:val="bg-BG" w:eastAsia="bg-BG"/>
        </w:rPr>
        <w:t xml:space="preserve"> в страната. След тях се нареждат сградите, изпълнени с тухли и гредоред (без стоманобетон), които представляват 38,0% от обитавания жилищен фонд. Това е значителен дял, който показва преобладаващия традиционен строителен модел в еднофамилните къщи в селата и малките населени места.</w:t>
      </w:r>
    </w:p>
    <w:p w14:paraId="2DD1931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Стоманобетонните сгради</w:t>
      </w:r>
      <w:r w:rsidRPr="006F3533">
        <w:rPr>
          <w:rFonts w:eastAsia="Times New Roman" w:cs="Times New Roman"/>
          <w:szCs w:val="24"/>
          <w:lang w:val="bg-BG" w:eastAsia="bg-BG"/>
        </w:rPr>
        <w:t xml:space="preserve"> – съвременният стандарт за градско строителство – съставляват 2,8% от обитаваните сгради, докато панелните сгради са 1,0%. Макар делът им като брой сгради да е малък, те концентрират голям брой жилища, което ги прави важен приоритет за политиките за енергийна ефективност. </w:t>
      </w:r>
    </w:p>
    <w:p w14:paraId="5C04A2C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Категорията „други“, която включва сгради, построени от кирпич (сурови тухли), дърво и други материали, формира 9,0% от обитаваните сгради. Данните показват, че тази група е концентрирана почти изцяло в еднофамилните къщи – 103 840 къщи, или 9,7% от всички обитавани къщи.</w:t>
      </w:r>
    </w:p>
    <w:p w14:paraId="38E5D329" w14:textId="77777777" w:rsidR="00E6313A" w:rsidRPr="006F3533" w:rsidRDefault="00E6313A" w:rsidP="00E6313A">
      <w:pPr>
        <w:spacing w:line="240" w:lineRule="auto"/>
        <w:jc w:val="both"/>
        <w:rPr>
          <w:rFonts w:cs="Times New Roman"/>
          <w:i/>
          <w:iCs/>
          <w:color w:val="0070C0"/>
          <w:szCs w:val="24"/>
          <w:lang w:val="bg-BG"/>
        </w:rPr>
      </w:pPr>
      <w:bookmarkStart w:id="43" w:name="_Toc216777096"/>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4</w:t>
      </w:r>
      <w:r w:rsidRPr="006F3533">
        <w:rPr>
          <w:rFonts w:cs="Times New Roman"/>
          <w:i/>
          <w:iCs/>
          <w:color w:val="0070C0"/>
          <w:szCs w:val="24"/>
          <w:lang w:val="bg-BG"/>
        </w:rPr>
        <w:fldChar w:fldCharType="end"/>
      </w:r>
      <w:r w:rsidRPr="006F3533">
        <w:rPr>
          <w:rFonts w:cs="Times New Roman"/>
          <w:i/>
          <w:iCs/>
          <w:color w:val="0070C0"/>
          <w:szCs w:val="24"/>
          <w:lang w:val="bg-BG"/>
        </w:rPr>
        <w:t>: Обитавани жилищни сгради по вид и строителна система към 07.09.2021</w:t>
      </w:r>
      <w:bookmarkEnd w:id="43"/>
      <w:r w:rsidRPr="006F3533">
        <w:rPr>
          <w:rFonts w:cs="Times New Roman"/>
          <w:i/>
          <w:iCs/>
          <w:color w:val="0070C0"/>
          <w:szCs w:val="24"/>
          <w:lang w:val="bg-BG"/>
        </w:rPr>
        <w:t>г.</w:t>
      </w:r>
    </w:p>
    <w:tbl>
      <w:tblPr>
        <w:tblStyle w:val="GridTable4-Accent51"/>
        <w:tblW w:w="10485" w:type="dxa"/>
        <w:jc w:val="center"/>
        <w:tblLook w:val="04A0" w:firstRow="1" w:lastRow="0" w:firstColumn="1" w:lastColumn="0" w:noHBand="0" w:noVBand="1"/>
      </w:tblPr>
      <w:tblGrid>
        <w:gridCol w:w="2263"/>
        <w:gridCol w:w="1134"/>
        <w:gridCol w:w="993"/>
        <w:gridCol w:w="1441"/>
        <w:gridCol w:w="1588"/>
        <w:gridCol w:w="1081"/>
        <w:gridCol w:w="960"/>
        <w:gridCol w:w="1025"/>
      </w:tblGrid>
      <w:tr w:rsidR="00E6313A" w:rsidRPr="006F3533" w14:paraId="27EB7AB6" w14:textId="77777777" w:rsidTr="00541E0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tcPr>
          <w:p w14:paraId="63E29313" w14:textId="77777777" w:rsidR="00E6313A" w:rsidRPr="006F3533" w:rsidRDefault="00E6313A" w:rsidP="00541E06">
            <w:pPr>
              <w:spacing w:before="100" w:beforeAutospacing="1" w:after="100" w:afterAutospacing="1"/>
              <w:jc w:val="center"/>
              <w:rPr>
                <w:rFonts w:eastAsia="Times New Roman" w:cs="Calibri"/>
                <w:b w:val="0"/>
                <w:bCs w:val="0"/>
                <w:sz w:val="18"/>
                <w:szCs w:val="18"/>
                <w:lang w:val="bg-BG" w:eastAsia="bg-BG"/>
              </w:rPr>
            </w:pPr>
            <w:r w:rsidRPr="006F3533">
              <w:rPr>
                <w:rFonts w:eastAsia="Times New Roman" w:cs="Calibri"/>
                <w:sz w:val="18"/>
                <w:szCs w:val="18"/>
                <w:lang w:val="bg-BG" w:eastAsia="bg-BG"/>
              </w:rPr>
              <w:t>Вид на сградата</w:t>
            </w:r>
          </w:p>
        </w:tc>
        <w:tc>
          <w:tcPr>
            <w:tcW w:w="8222" w:type="dxa"/>
            <w:gridSpan w:val="7"/>
            <w:noWrap/>
          </w:tcPr>
          <w:p w14:paraId="06312F2D"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8"/>
                <w:szCs w:val="18"/>
                <w:lang w:val="bg-BG" w:eastAsia="bg-BG"/>
              </w:rPr>
            </w:pPr>
            <w:r w:rsidRPr="006F3533">
              <w:rPr>
                <w:rFonts w:eastAsia="Times New Roman" w:cs="Calibri"/>
                <w:sz w:val="18"/>
                <w:szCs w:val="18"/>
                <w:lang w:val="bg-BG" w:eastAsia="bg-BG"/>
              </w:rPr>
              <w:t>Обитавани сгради</w:t>
            </w:r>
          </w:p>
        </w:tc>
      </w:tr>
      <w:tr w:rsidR="00E6313A" w:rsidRPr="006F3533" w14:paraId="44F07774"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shd w:val="clear" w:color="auto" w:fill="DEEAF6" w:themeFill="accent5" w:themeFillTint="33"/>
          </w:tcPr>
          <w:p w14:paraId="0FCF55C9"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p>
        </w:tc>
        <w:tc>
          <w:tcPr>
            <w:tcW w:w="1134" w:type="dxa"/>
            <w:shd w:val="clear" w:color="auto" w:fill="DEEAF6" w:themeFill="accent5" w:themeFillTint="33"/>
          </w:tcPr>
          <w:p w14:paraId="201AC64E"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Общо обитавани сгради</w:t>
            </w:r>
          </w:p>
        </w:tc>
        <w:tc>
          <w:tcPr>
            <w:tcW w:w="993" w:type="dxa"/>
            <w:shd w:val="clear" w:color="auto" w:fill="DEEAF6" w:themeFill="accent5" w:themeFillTint="33"/>
          </w:tcPr>
          <w:p w14:paraId="3E366059"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Тухлена (с бетонна плоча)</w:t>
            </w:r>
          </w:p>
        </w:tc>
        <w:tc>
          <w:tcPr>
            <w:tcW w:w="1441" w:type="dxa"/>
            <w:shd w:val="clear" w:color="auto" w:fill="DEEAF6" w:themeFill="accent5" w:themeFillTint="33"/>
          </w:tcPr>
          <w:p w14:paraId="471B1125"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Тухлена (с гредоред без стоманобетон)</w:t>
            </w:r>
          </w:p>
        </w:tc>
        <w:tc>
          <w:tcPr>
            <w:tcW w:w="1588" w:type="dxa"/>
            <w:shd w:val="clear" w:color="auto" w:fill="DEEAF6" w:themeFill="accent5" w:themeFillTint="33"/>
          </w:tcPr>
          <w:p w14:paraId="746D97F9"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Стоманобетонна (с плоча и колони)</w:t>
            </w:r>
          </w:p>
        </w:tc>
        <w:tc>
          <w:tcPr>
            <w:tcW w:w="1081" w:type="dxa"/>
            <w:shd w:val="clear" w:color="auto" w:fill="DEEAF6" w:themeFill="accent5" w:themeFillTint="33"/>
          </w:tcPr>
          <w:p w14:paraId="2B6C1C00"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От панели (готови сглобяеми елементи)</w:t>
            </w:r>
          </w:p>
        </w:tc>
        <w:tc>
          <w:tcPr>
            <w:tcW w:w="960" w:type="dxa"/>
            <w:shd w:val="clear" w:color="auto" w:fill="DEEAF6" w:themeFill="accent5" w:themeFillTint="33"/>
          </w:tcPr>
          <w:p w14:paraId="6D7AFF3E"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Друга</w:t>
            </w:r>
          </w:p>
        </w:tc>
        <w:tc>
          <w:tcPr>
            <w:tcW w:w="1025" w:type="dxa"/>
            <w:shd w:val="clear" w:color="auto" w:fill="DEEAF6" w:themeFill="accent5" w:themeFillTint="33"/>
          </w:tcPr>
          <w:p w14:paraId="229EE629"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Друга, % от общия брой</w:t>
            </w:r>
          </w:p>
        </w:tc>
      </w:tr>
      <w:tr w:rsidR="00E6313A" w:rsidRPr="006F3533" w14:paraId="5EF875EF"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tcPr>
          <w:p w14:paraId="58237EB2"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Къща</w:t>
            </w:r>
          </w:p>
        </w:tc>
        <w:tc>
          <w:tcPr>
            <w:tcW w:w="1134" w:type="dxa"/>
          </w:tcPr>
          <w:p w14:paraId="64C05F8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1 065 584</w:t>
            </w:r>
          </w:p>
        </w:tc>
        <w:tc>
          <w:tcPr>
            <w:tcW w:w="993" w:type="dxa"/>
          </w:tcPr>
          <w:p w14:paraId="431DE1B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508 707</w:t>
            </w:r>
          </w:p>
        </w:tc>
        <w:tc>
          <w:tcPr>
            <w:tcW w:w="1441" w:type="dxa"/>
          </w:tcPr>
          <w:p w14:paraId="6C67EB6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433 852</w:t>
            </w:r>
          </w:p>
        </w:tc>
        <w:tc>
          <w:tcPr>
            <w:tcW w:w="1588" w:type="dxa"/>
          </w:tcPr>
          <w:p w14:paraId="69BE159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17 732</w:t>
            </w:r>
          </w:p>
        </w:tc>
        <w:tc>
          <w:tcPr>
            <w:tcW w:w="1081" w:type="dxa"/>
          </w:tcPr>
          <w:p w14:paraId="3C505AE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1 453</w:t>
            </w:r>
          </w:p>
        </w:tc>
        <w:tc>
          <w:tcPr>
            <w:tcW w:w="960" w:type="dxa"/>
          </w:tcPr>
          <w:p w14:paraId="71BBA66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103 840</w:t>
            </w:r>
          </w:p>
        </w:tc>
        <w:tc>
          <w:tcPr>
            <w:tcW w:w="1025" w:type="dxa"/>
          </w:tcPr>
          <w:p w14:paraId="46EBCBD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9,7%</w:t>
            </w:r>
          </w:p>
        </w:tc>
      </w:tr>
      <w:tr w:rsidR="00E6313A" w:rsidRPr="006F3533" w14:paraId="2EC699D9"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DEEAF6" w:themeFill="accent5" w:themeFillTint="33"/>
          </w:tcPr>
          <w:p w14:paraId="7CD148CF"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Жилищен блок, кооперация</w:t>
            </w:r>
          </w:p>
        </w:tc>
        <w:tc>
          <w:tcPr>
            <w:tcW w:w="1134" w:type="dxa"/>
            <w:shd w:val="clear" w:color="auto" w:fill="DEEAF6" w:themeFill="accent5" w:themeFillTint="33"/>
          </w:tcPr>
          <w:p w14:paraId="03E3182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77 428</w:t>
            </w:r>
          </w:p>
        </w:tc>
        <w:tc>
          <w:tcPr>
            <w:tcW w:w="993" w:type="dxa"/>
            <w:shd w:val="clear" w:color="auto" w:fill="DEEAF6" w:themeFill="accent5" w:themeFillTint="33"/>
          </w:tcPr>
          <w:p w14:paraId="3A213EE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50 374</w:t>
            </w:r>
          </w:p>
        </w:tc>
        <w:tc>
          <w:tcPr>
            <w:tcW w:w="1441" w:type="dxa"/>
            <w:shd w:val="clear" w:color="auto" w:fill="DEEAF6" w:themeFill="accent5" w:themeFillTint="33"/>
          </w:tcPr>
          <w:p w14:paraId="2876A4A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2 977</w:t>
            </w:r>
          </w:p>
        </w:tc>
        <w:tc>
          <w:tcPr>
            <w:tcW w:w="1588" w:type="dxa"/>
            <w:shd w:val="clear" w:color="auto" w:fill="DEEAF6" w:themeFill="accent5" w:themeFillTint="33"/>
          </w:tcPr>
          <w:p w14:paraId="6A9806E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14 214</w:t>
            </w:r>
          </w:p>
        </w:tc>
        <w:tc>
          <w:tcPr>
            <w:tcW w:w="1081" w:type="dxa"/>
            <w:shd w:val="clear" w:color="auto" w:fill="DEEAF6" w:themeFill="accent5" w:themeFillTint="33"/>
          </w:tcPr>
          <w:p w14:paraId="654E343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9 812</w:t>
            </w:r>
          </w:p>
        </w:tc>
        <w:tc>
          <w:tcPr>
            <w:tcW w:w="960" w:type="dxa"/>
            <w:shd w:val="clear" w:color="auto" w:fill="DEEAF6" w:themeFill="accent5" w:themeFillTint="33"/>
          </w:tcPr>
          <w:p w14:paraId="04353F4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51</w:t>
            </w:r>
          </w:p>
        </w:tc>
        <w:tc>
          <w:tcPr>
            <w:tcW w:w="1025" w:type="dxa"/>
            <w:shd w:val="clear" w:color="auto" w:fill="DEEAF6" w:themeFill="accent5" w:themeFillTint="33"/>
          </w:tcPr>
          <w:p w14:paraId="09CA3E5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0,1%</w:t>
            </w:r>
          </w:p>
        </w:tc>
      </w:tr>
      <w:tr w:rsidR="00E6313A" w:rsidRPr="006F3533" w14:paraId="4FA77C74"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tcPr>
          <w:p w14:paraId="1408F88B"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Сграда от смесен тип (над 60% жилищна площ)</w:t>
            </w:r>
          </w:p>
        </w:tc>
        <w:tc>
          <w:tcPr>
            <w:tcW w:w="1134" w:type="dxa"/>
          </w:tcPr>
          <w:p w14:paraId="3733B6C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2 450</w:t>
            </w:r>
          </w:p>
        </w:tc>
        <w:tc>
          <w:tcPr>
            <w:tcW w:w="993" w:type="dxa"/>
          </w:tcPr>
          <w:p w14:paraId="55F6BDD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1 684</w:t>
            </w:r>
          </w:p>
        </w:tc>
        <w:tc>
          <w:tcPr>
            <w:tcW w:w="1441" w:type="dxa"/>
          </w:tcPr>
          <w:p w14:paraId="75DCBB2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297</w:t>
            </w:r>
          </w:p>
        </w:tc>
        <w:tc>
          <w:tcPr>
            <w:tcW w:w="1588" w:type="dxa"/>
          </w:tcPr>
          <w:p w14:paraId="3004211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426</w:t>
            </w:r>
          </w:p>
        </w:tc>
        <w:tc>
          <w:tcPr>
            <w:tcW w:w="1081" w:type="dxa"/>
          </w:tcPr>
          <w:p w14:paraId="2976D82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40</w:t>
            </w:r>
          </w:p>
        </w:tc>
        <w:tc>
          <w:tcPr>
            <w:tcW w:w="960" w:type="dxa"/>
          </w:tcPr>
          <w:p w14:paraId="4F4F5E1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3</w:t>
            </w:r>
          </w:p>
        </w:tc>
        <w:tc>
          <w:tcPr>
            <w:tcW w:w="1025" w:type="dxa"/>
          </w:tcPr>
          <w:p w14:paraId="32D9268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0,1%</w:t>
            </w:r>
          </w:p>
        </w:tc>
      </w:tr>
      <w:tr w:rsidR="00E6313A" w:rsidRPr="006F3533" w14:paraId="02536F25"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DEEAF6" w:themeFill="accent5" w:themeFillTint="33"/>
          </w:tcPr>
          <w:p w14:paraId="675E5A8F"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Общежитие</w:t>
            </w:r>
          </w:p>
        </w:tc>
        <w:tc>
          <w:tcPr>
            <w:tcW w:w="1134" w:type="dxa"/>
            <w:shd w:val="clear" w:color="auto" w:fill="DEEAF6" w:themeFill="accent5" w:themeFillTint="33"/>
          </w:tcPr>
          <w:p w14:paraId="29C519C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343</w:t>
            </w:r>
          </w:p>
        </w:tc>
        <w:tc>
          <w:tcPr>
            <w:tcW w:w="993" w:type="dxa"/>
            <w:shd w:val="clear" w:color="auto" w:fill="DEEAF6" w:themeFill="accent5" w:themeFillTint="33"/>
          </w:tcPr>
          <w:p w14:paraId="097AF4D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152</w:t>
            </w:r>
          </w:p>
        </w:tc>
        <w:tc>
          <w:tcPr>
            <w:tcW w:w="1441" w:type="dxa"/>
            <w:shd w:val="clear" w:color="auto" w:fill="DEEAF6" w:themeFill="accent5" w:themeFillTint="33"/>
          </w:tcPr>
          <w:p w14:paraId="4D0F6DC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33</w:t>
            </w:r>
          </w:p>
        </w:tc>
        <w:tc>
          <w:tcPr>
            <w:tcW w:w="1588" w:type="dxa"/>
            <w:shd w:val="clear" w:color="auto" w:fill="DEEAF6" w:themeFill="accent5" w:themeFillTint="33"/>
          </w:tcPr>
          <w:p w14:paraId="63F3B32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75</w:t>
            </w:r>
          </w:p>
        </w:tc>
        <w:tc>
          <w:tcPr>
            <w:tcW w:w="1081" w:type="dxa"/>
            <w:shd w:val="clear" w:color="auto" w:fill="DEEAF6" w:themeFill="accent5" w:themeFillTint="33"/>
          </w:tcPr>
          <w:p w14:paraId="172BBD2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83</w:t>
            </w:r>
          </w:p>
        </w:tc>
        <w:tc>
          <w:tcPr>
            <w:tcW w:w="960" w:type="dxa"/>
            <w:shd w:val="clear" w:color="auto" w:fill="DEEAF6" w:themeFill="accent5" w:themeFillTint="33"/>
          </w:tcPr>
          <w:p w14:paraId="0405261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w:t>
            </w:r>
          </w:p>
        </w:tc>
        <w:tc>
          <w:tcPr>
            <w:tcW w:w="1025" w:type="dxa"/>
            <w:shd w:val="clear" w:color="auto" w:fill="DEEAF6" w:themeFill="accent5" w:themeFillTint="33"/>
          </w:tcPr>
          <w:p w14:paraId="54920EE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0,0%</w:t>
            </w:r>
          </w:p>
        </w:tc>
      </w:tr>
      <w:tr w:rsidR="00E6313A" w:rsidRPr="006F3533" w14:paraId="6340120E"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tcPr>
          <w:p w14:paraId="55DB9823"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Вила</w:t>
            </w:r>
          </w:p>
        </w:tc>
        <w:tc>
          <w:tcPr>
            <w:tcW w:w="1134" w:type="dxa"/>
          </w:tcPr>
          <w:p w14:paraId="64684B4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6 578</w:t>
            </w:r>
          </w:p>
        </w:tc>
        <w:tc>
          <w:tcPr>
            <w:tcW w:w="993" w:type="dxa"/>
          </w:tcPr>
          <w:p w14:paraId="101E095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4 670</w:t>
            </w:r>
          </w:p>
        </w:tc>
        <w:tc>
          <w:tcPr>
            <w:tcW w:w="1441" w:type="dxa"/>
          </w:tcPr>
          <w:p w14:paraId="6B58265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1 090</w:t>
            </w:r>
          </w:p>
        </w:tc>
        <w:tc>
          <w:tcPr>
            <w:tcW w:w="1588" w:type="dxa"/>
          </w:tcPr>
          <w:p w14:paraId="2FC2CC9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272</w:t>
            </w:r>
          </w:p>
        </w:tc>
        <w:tc>
          <w:tcPr>
            <w:tcW w:w="1081" w:type="dxa"/>
          </w:tcPr>
          <w:p w14:paraId="5F307F1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109</w:t>
            </w:r>
          </w:p>
        </w:tc>
        <w:tc>
          <w:tcPr>
            <w:tcW w:w="960" w:type="dxa"/>
          </w:tcPr>
          <w:p w14:paraId="6289AB2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437</w:t>
            </w:r>
          </w:p>
        </w:tc>
        <w:tc>
          <w:tcPr>
            <w:tcW w:w="1025" w:type="dxa"/>
          </w:tcPr>
          <w:p w14:paraId="5678617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6,6%</w:t>
            </w:r>
          </w:p>
        </w:tc>
      </w:tr>
      <w:tr w:rsidR="00E6313A" w:rsidRPr="006F3533" w14:paraId="51133E7F"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DEEAF6" w:themeFill="accent5" w:themeFillTint="33"/>
          </w:tcPr>
          <w:p w14:paraId="2C019EA5"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Лятна кухня</w:t>
            </w:r>
          </w:p>
        </w:tc>
        <w:tc>
          <w:tcPr>
            <w:tcW w:w="1134" w:type="dxa"/>
            <w:shd w:val="clear" w:color="auto" w:fill="DEEAF6" w:themeFill="accent5" w:themeFillTint="33"/>
          </w:tcPr>
          <w:p w14:paraId="552FE79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0 </w:t>
            </w:r>
          </w:p>
        </w:tc>
        <w:tc>
          <w:tcPr>
            <w:tcW w:w="993" w:type="dxa"/>
            <w:shd w:val="clear" w:color="auto" w:fill="DEEAF6" w:themeFill="accent5" w:themeFillTint="33"/>
          </w:tcPr>
          <w:p w14:paraId="29D3BEC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0 </w:t>
            </w:r>
          </w:p>
        </w:tc>
        <w:tc>
          <w:tcPr>
            <w:tcW w:w="1441" w:type="dxa"/>
            <w:shd w:val="clear" w:color="auto" w:fill="DEEAF6" w:themeFill="accent5" w:themeFillTint="33"/>
          </w:tcPr>
          <w:p w14:paraId="3B49CF7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0 </w:t>
            </w:r>
          </w:p>
        </w:tc>
        <w:tc>
          <w:tcPr>
            <w:tcW w:w="1588" w:type="dxa"/>
            <w:shd w:val="clear" w:color="auto" w:fill="DEEAF6" w:themeFill="accent5" w:themeFillTint="33"/>
          </w:tcPr>
          <w:p w14:paraId="19A93B3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0 </w:t>
            </w:r>
          </w:p>
        </w:tc>
        <w:tc>
          <w:tcPr>
            <w:tcW w:w="1081" w:type="dxa"/>
            <w:shd w:val="clear" w:color="auto" w:fill="DEEAF6" w:themeFill="accent5" w:themeFillTint="33"/>
          </w:tcPr>
          <w:p w14:paraId="0C52445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0 </w:t>
            </w:r>
          </w:p>
        </w:tc>
        <w:tc>
          <w:tcPr>
            <w:tcW w:w="960" w:type="dxa"/>
            <w:shd w:val="clear" w:color="auto" w:fill="DEEAF6" w:themeFill="accent5" w:themeFillTint="33"/>
          </w:tcPr>
          <w:p w14:paraId="4B1390E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w:t>
            </w:r>
          </w:p>
        </w:tc>
        <w:tc>
          <w:tcPr>
            <w:tcW w:w="1025" w:type="dxa"/>
            <w:shd w:val="clear" w:color="auto" w:fill="DEEAF6" w:themeFill="accent5" w:themeFillTint="33"/>
          </w:tcPr>
          <w:p w14:paraId="48AA873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0,0%</w:t>
            </w:r>
          </w:p>
        </w:tc>
      </w:tr>
      <w:tr w:rsidR="00E6313A" w:rsidRPr="006F3533" w14:paraId="26108604"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tcPr>
          <w:p w14:paraId="6A517A55"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lastRenderedPageBreak/>
              <w:t>Сграда за колективно домакинство</w:t>
            </w:r>
          </w:p>
        </w:tc>
        <w:tc>
          <w:tcPr>
            <w:tcW w:w="1134" w:type="dxa"/>
          </w:tcPr>
          <w:p w14:paraId="52CEF3C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595</w:t>
            </w:r>
          </w:p>
        </w:tc>
        <w:tc>
          <w:tcPr>
            <w:tcW w:w="993" w:type="dxa"/>
          </w:tcPr>
          <w:p w14:paraId="686C196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423</w:t>
            </w:r>
          </w:p>
        </w:tc>
        <w:tc>
          <w:tcPr>
            <w:tcW w:w="1441" w:type="dxa"/>
          </w:tcPr>
          <w:p w14:paraId="1616552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77</w:t>
            </w:r>
          </w:p>
        </w:tc>
        <w:tc>
          <w:tcPr>
            <w:tcW w:w="1588" w:type="dxa"/>
          </w:tcPr>
          <w:p w14:paraId="71CDE53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73</w:t>
            </w:r>
          </w:p>
        </w:tc>
        <w:tc>
          <w:tcPr>
            <w:tcW w:w="1081" w:type="dxa"/>
          </w:tcPr>
          <w:p w14:paraId="02DED78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15</w:t>
            </w:r>
          </w:p>
        </w:tc>
        <w:tc>
          <w:tcPr>
            <w:tcW w:w="960" w:type="dxa"/>
          </w:tcPr>
          <w:p w14:paraId="39FF359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7</w:t>
            </w:r>
          </w:p>
        </w:tc>
        <w:tc>
          <w:tcPr>
            <w:tcW w:w="1025" w:type="dxa"/>
          </w:tcPr>
          <w:p w14:paraId="0EB738F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1,2%</w:t>
            </w:r>
          </w:p>
        </w:tc>
      </w:tr>
      <w:tr w:rsidR="00E6313A" w:rsidRPr="006F3533" w14:paraId="10D9C1CE"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DEEAF6" w:themeFill="accent5" w:themeFillTint="33"/>
          </w:tcPr>
          <w:p w14:paraId="62F202B8"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Общо, бр.</w:t>
            </w:r>
          </w:p>
        </w:tc>
        <w:tc>
          <w:tcPr>
            <w:tcW w:w="1134" w:type="dxa"/>
            <w:shd w:val="clear" w:color="auto" w:fill="DEEAF6" w:themeFill="accent5" w:themeFillTint="33"/>
          </w:tcPr>
          <w:p w14:paraId="795F40A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1 152 978</w:t>
            </w:r>
          </w:p>
        </w:tc>
        <w:tc>
          <w:tcPr>
            <w:tcW w:w="993" w:type="dxa"/>
            <w:shd w:val="clear" w:color="auto" w:fill="DEEAF6" w:themeFill="accent5" w:themeFillTint="33"/>
          </w:tcPr>
          <w:p w14:paraId="56414C5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566 010</w:t>
            </w:r>
          </w:p>
        </w:tc>
        <w:tc>
          <w:tcPr>
            <w:tcW w:w="1441" w:type="dxa"/>
            <w:shd w:val="clear" w:color="auto" w:fill="DEEAF6" w:themeFill="accent5" w:themeFillTint="33"/>
          </w:tcPr>
          <w:p w14:paraId="221BA76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438 326</w:t>
            </w:r>
          </w:p>
        </w:tc>
        <w:tc>
          <w:tcPr>
            <w:tcW w:w="1588" w:type="dxa"/>
            <w:shd w:val="clear" w:color="auto" w:fill="DEEAF6" w:themeFill="accent5" w:themeFillTint="33"/>
          </w:tcPr>
          <w:p w14:paraId="19F24B4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32 792</w:t>
            </w:r>
          </w:p>
        </w:tc>
        <w:tc>
          <w:tcPr>
            <w:tcW w:w="1081" w:type="dxa"/>
            <w:shd w:val="clear" w:color="auto" w:fill="DEEAF6" w:themeFill="accent5" w:themeFillTint="33"/>
          </w:tcPr>
          <w:p w14:paraId="7F3DA37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11 512</w:t>
            </w:r>
          </w:p>
        </w:tc>
        <w:tc>
          <w:tcPr>
            <w:tcW w:w="960" w:type="dxa"/>
            <w:shd w:val="clear" w:color="auto" w:fill="DEEAF6" w:themeFill="accent5" w:themeFillTint="33"/>
          </w:tcPr>
          <w:p w14:paraId="7AB649C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104 338</w:t>
            </w:r>
          </w:p>
        </w:tc>
        <w:tc>
          <w:tcPr>
            <w:tcW w:w="1025" w:type="dxa"/>
            <w:shd w:val="clear" w:color="auto" w:fill="DEEAF6" w:themeFill="accent5" w:themeFillTint="33"/>
          </w:tcPr>
          <w:p w14:paraId="3E384C7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18"/>
                <w:lang w:val="bg-BG" w:eastAsia="bg-BG"/>
              </w:rPr>
            </w:pPr>
            <w:r w:rsidRPr="006F3533">
              <w:rPr>
                <w:rFonts w:eastAsia="Times New Roman" w:cs="Times New Roman"/>
                <w:sz w:val="18"/>
                <w:szCs w:val="18"/>
                <w:lang w:val="bg-BG" w:eastAsia="bg-BG"/>
              </w:rPr>
              <w:t>9,0%</w:t>
            </w:r>
          </w:p>
        </w:tc>
      </w:tr>
      <w:tr w:rsidR="00E6313A" w:rsidRPr="006F3533" w14:paraId="719E6583"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noWrap/>
          </w:tcPr>
          <w:p w14:paraId="0CECB024"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Общо, %</w:t>
            </w:r>
          </w:p>
        </w:tc>
        <w:tc>
          <w:tcPr>
            <w:tcW w:w="1134" w:type="dxa"/>
            <w:noWrap/>
          </w:tcPr>
          <w:p w14:paraId="6F2E004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100.0%</w:t>
            </w:r>
          </w:p>
        </w:tc>
        <w:tc>
          <w:tcPr>
            <w:tcW w:w="993" w:type="dxa"/>
            <w:noWrap/>
          </w:tcPr>
          <w:p w14:paraId="52CECF7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49.1%</w:t>
            </w:r>
          </w:p>
        </w:tc>
        <w:tc>
          <w:tcPr>
            <w:tcW w:w="1441" w:type="dxa"/>
            <w:noWrap/>
          </w:tcPr>
          <w:p w14:paraId="62FA9A6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38.0%</w:t>
            </w:r>
          </w:p>
        </w:tc>
        <w:tc>
          <w:tcPr>
            <w:tcW w:w="1588" w:type="dxa"/>
            <w:noWrap/>
          </w:tcPr>
          <w:p w14:paraId="4301E01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2.8%</w:t>
            </w:r>
          </w:p>
        </w:tc>
        <w:tc>
          <w:tcPr>
            <w:tcW w:w="1081" w:type="dxa"/>
            <w:noWrap/>
          </w:tcPr>
          <w:p w14:paraId="39FDE20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1.0%</w:t>
            </w:r>
          </w:p>
        </w:tc>
        <w:tc>
          <w:tcPr>
            <w:tcW w:w="960" w:type="dxa"/>
            <w:noWrap/>
          </w:tcPr>
          <w:p w14:paraId="5BD568C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9.0%</w:t>
            </w:r>
          </w:p>
        </w:tc>
        <w:tc>
          <w:tcPr>
            <w:tcW w:w="1025" w:type="dxa"/>
            <w:noWrap/>
          </w:tcPr>
          <w:p w14:paraId="2520AD2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 </w:t>
            </w:r>
          </w:p>
        </w:tc>
      </w:tr>
    </w:tbl>
    <w:p w14:paraId="64A937F7"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4AD4F5C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Анализът на жилищния сграден фонд по показател „строителна система“ показва, че </w:t>
      </w:r>
      <w:r w:rsidRPr="006F3533">
        <w:rPr>
          <w:rFonts w:eastAsia="Times New Roman" w:cs="Times New Roman"/>
          <w:b/>
          <w:bCs/>
          <w:szCs w:val="24"/>
          <w:lang w:val="bg-BG" w:eastAsia="bg-BG"/>
        </w:rPr>
        <w:t>за категория „други“</w:t>
      </w:r>
      <w:r w:rsidRPr="006F3533">
        <w:rPr>
          <w:rFonts w:eastAsia="Times New Roman" w:cs="Times New Roman"/>
          <w:szCs w:val="24"/>
          <w:lang w:val="bg-BG" w:eastAsia="bg-BG"/>
        </w:rPr>
        <w:t xml:space="preserve"> може да се направи заключението, че строителната им конструкция не отговаря на съвременните технически норми в Република България и би било </w:t>
      </w:r>
      <w:proofErr w:type="spellStart"/>
      <w:r w:rsidRPr="006F3533">
        <w:rPr>
          <w:rFonts w:eastAsia="Times New Roman" w:cs="Times New Roman"/>
          <w:b/>
          <w:bCs/>
          <w:szCs w:val="24"/>
          <w:lang w:val="bg-BG" w:eastAsia="bg-BG"/>
        </w:rPr>
        <w:t>разходонеефективно</w:t>
      </w:r>
      <w:proofErr w:type="spellEnd"/>
      <w:r w:rsidRPr="006F3533">
        <w:rPr>
          <w:rFonts w:eastAsia="Times New Roman" w:cs="Times New Roman"/>
          <w:szCs w:val="24"/>
          <w:lang w:val="bg-BG" w:eastAsia="bg-BG"/>
        </w:rPr>
        <w:t>, а в повечето случаи и технически необосновано/невъзможно привеждането им към нормативните изисквания относно механично съпротивление и устойчивост, безопасност при пожар, достъпност и безопасност при експлоатация във връзка с евентуално прилагане на енергоспестяващи мерки. Категорията, извън тези, наблюдавани при еднофамилните къщи, има минимално присъствие при останалите видове сгради. При жилищните блокове, сградите от смесен тип, общежитията и сградите за колективно домакинство делът на нестандартните или остарели конструктивни решения е пренебрежимо малък – между 0% и 1,2%. Този факт показва, че при сградите с многообектно обитаване конструктивната структура е значително по-еднородна, стандартна и технически предвидима. Това ги прави по-подходящи за интегрирани мерки за енергийно обновяване и минимизира риска от непредвидими технически ограничения, характерни за повечето сгради от категорията „друга“ конструкция.</w:t>
      </w:r>
    </w:p>
    <w:p w14:paraId="66E6384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По отношение на тухлените сгради с дървени подови конструкции (гредоред) и без стоманобетонови вертикални и хоризонтални елементи ситуацията е подобна. Независимо от относителната надеждност на конструкцията (носещи тухлени стени и хоризонтални дървени носещи елементи), е под въпрос доколко е технически и икономически обосновано привеждането им към нормативните изисквания за ЕЕ, поради амортизираните носещи елементи и изтекъл/ изтичащ срок на експлоатация.</w:t>
      </w:r>
    </w:p>
    <w:p w14:paraId="2909B2DE"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Разпределението по вид сграда потвърждава, че конструктивните типове са тясно свързани със застрояването и етажността. </w:t>
      </w:r>
      <w:r w:rsidRPr="006F3533">
        <w:rPr>
          <w:rFonts w:eastAsia="Times New Roman" w:cs="Times New Roman"/>
          <w:b/>
          <w:bCs/>
          <w:szCs w:val="24"/>
          <w:lang w:val="bg-BG" w:eastAsia="bg-BG"/>
        </w:rPr>
        <w:t>Еднофамилните къщи</w:t>
      </w:r>
      <w:r w:rsidRPr="006F3533">
        <w:rPr>
          <w:rFonts w:eastAsia="Times New Roman" w:cs="Times New Roman"/>
          <w:szCs w:val="24"/>
          <w:lang w:val="bg-BG" w:eastAsia="bg-BG"/>
        </w:rPr>
        <w:t xml:space="preserve"> представляват 1 065 584 обитавани сгради, като при тях доминират тухлените конструкции с бетонна плоча (508 707 къщи) и тухлените с гредоред (433 852 къщи). В тези сгради мерките за енергийна ефективност са ограничени от значителните разходи за изолация на голяма ограждаща повърхност и по-ниската възвръщаемост на инвестицията.</w:t>
      </w:r>
    </w:p>
    <w:p w14:paraId="741FB58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 </w:t>
      </w:r>
      <w:r w:rsidRPr="006F3533">
        <w:rPr>
          <w:rFonts w:eastAsia="Times New Roman" w:cs="Times New Roman"/>
          <w:b/>
          <w:bCs/>
          <w:szCs w:val="24"/>
          <w:lang w:val="bg-BG" w:eastAsia="bg-BG"/>
        </w:rPr>
        <w:t>многофамилните жилищни блокове</w:t>
      </w:r>
      <w:r w:rsidRPr="006F3533">
        <w:rPr>
          <w:rFonts w:eastAsia="Times New Roman" w:cs="Times New Roman"/>
          <w:szCs w:val="24"/>
          <w:lang w:val="bg-BG" w:eastAsia="bg-BG"/>
        </w:rPr>
        <w:t xml:space="preserve"> конструкцията е значително по-различна: в тях преобладават тухлени масивни конструкции (50 374 блока) и стоманобетонни или панелни системи (общо над 24 000 блока). При тях обновяването е икономически най-ефективно поради мащаба, стандартизираността на конструктивните системи и възможността за прилагане на комплексен пакет мерки.</w:t>
      </w:r>
    </w:p>
    <w:p w14:paraId="7F83F5C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Общежитията представляват малък, но специфичен сегмент от обитавания жилищен фонд, в които конструктивно доминират масивни тухлени и стоманобетонни системи. Макар да обслужват специфични групи обитатели и да имат по-различна функционална логика от жилищните блокове, по своето енергийно поведение те са близки до многофамилните сгради. Поради това общежитията могат да бъдат включени в обхвата </w:t>
      </w:r>
      <w:r w:rsidRPr="006F3533">
        <w:rPr>
          <w:rFonts w:eastAsia="Times New Roman" w:cs="Times New Roman"/>
          <w:szCs w:val="24"/>
          <w:lang w:val="bg-BG" w:eastAsia="bg-BG"/>
        </w:rPr>
        <w:lastRenderedPageBreak/>
        <w:t>на мерките за енергийно обновяване, когато тяхното предназначение е трайно и има обществен интерес от подобряване на енергийните характеристики.</w:t>
      </w:r>
    </w:p>
    <w:p w14:paraId="047999C2"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Вилите, въпреки че фигурират в статистиката като обитавани сгради се отличават със сезонен характер на обитаване. Техният принос към националното енергопотребление е минимален, а конструктивният им профил и непостоянното обитаване правят обновяването им икономически и стратегически нецелесъобразно.</w:t>
      </w:r>
    </w:p>
    <w:p w14:paraId="480C6AB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Сградите за колективно домакинство – са едва 595 в национален мащаб. Те изпълняват функции, различни от жилищните, и имат строго специфични експлоатационни и конструктивни характеристики. Поради минималния им относителен дял и различните изисквания към тяхното обновяване, те следва да бъдат разглеждани отделно от типичния жилищен фонд и не представляват съществен фактор за общия енергиен баланс.</w:t>
      </w:r>
    </w:p>
    <w:p w14:paraId="1F65B92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Така представената картина показва, че </w:t>
      </w:r>
      <w:r w:rsidRPr="006F3533">
        <w:rPr>
          <w:rFonts w:eastAsia="Times New Roman" w:cs="Times New Roman"/>
          <w:b/>
          <w:bCs/>
          <w:szCs w:val="24"/>
          <w:lang w:val="bg-BG" w:eastAsia="bg-BG"/>
        </w:rPr>
        <w:t>ефективното планиране на мерките за енергийна ефективност трябва да се базира не само на вида на сградата, но и на конструктивните ѝ характеристики, като конструктивната категория се превръща в определящ фактор</w:t>
      </w:r>
      <w:r w:rsidRPr="006F3533">
        <w:rPr>
          <w:rFonts w:eastAsia="Times New Roman" w:cs="Times New Roman"/>
          <w:szCs w:val="24"/>
          <w:lang w:val="bg-BG" w:eastAsia="bg-BG"/>
        </w:rPr>
        <w:t xml:space="preserve"> за техническата, икономическата и социалната целесъобразност на обновяването.</w:t>
      </w:r>
    </w:p>
    <w:p w14:paraId="1C7CF77E"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Допълнително, при анализа на конструктивните типове следва да се вземе предвид и </w:t>
      </w:r>
      <w:r w:rsidRPr="006F3533">
        <w:rPr>
          <w:rFonts w:eastAsia="Times New Roman" w:cs="Times New Roman"/>
          <w:b/>
          <w:bCs/>
          <w:szCs w:val="24"/>
          <w:lang w:val="bg-BG" w:eastAsia="bg-BG"/>
        </w:rPr>
        <w:t>разходната структура на необходимите енергоспестяващи и съпътстващи мерки</w:t>
      </w:r>
      <w:r w:rsidRPr="006F3533">
        <w:rPr>
          <w:rFonts w:eastAsia="Times New Roman" w:cs="Times New Roman"/>
          <w:szCs w:val="24"/>
          <w:lang w:val="bg-BG" w:eastAsia="bg-BG"/>
        </w:rPr>
        <w:t xml:space="preserve">. Експертни разчети, изготвени в рамките на проект </w:t>
      </w:r>
      <w:hyperlink r:id="rId17" w:history="1">
        <w:proofErr w:type="spellStart"/>
        <w:r w:rsidRPr="006F3533">
          <w:rPr>
            <w:rFonts w:eastAsia="Times New Roman" w:cs="Times New Roman"/>
            <w:szCs w:val="24"/>
            <w:u w:val="single"/>
            <w:lang w:val="bg-BG" w:eastAsia="bg-BG"/>
          </w:rPr>
          <w:t>SHEERenov</w:t>
        </w:r>
        <w:proofErr w:type="spellEnd"/>
      </w:hyperlink>
      <w:r w:rsidRPr="006F3533">
        <w:rPr>
          <w:rFonts w:eastAsia="Times New Roman" w:cs="Times New Roman"/>
          <w:szCs w:val="24"/>
          <w:lang w:val="bg-BG" w:eastAsia="bg-BG"/>
        </w:rPr>
        <w:t xml:space="preserve">, показват отчетливи разлики в разходните компоненти според вида на конструктивната система, най-отчетливи при многофамилните жилищни сгради. При </w:t>
      </w:r>
      <w:r w:rsidRPr="006F3533">
        <w:rPr>
          <w:rFonts w:eastAsia="Times New Roman" w:cs="Times New Roman"/>
          <w:b/>
          <w:bCs/>
          <w:szCs w:val="24"/>
          <w:lang w:val="bg-BG" w:eastAsia="bg-BG"/>
        </w:rPr>
        <w:t>МЖС, строени по индустриален способ</w:t>
      </w:r>
      <w:r w:rsidRPr="006F3533">
        <w:rPr>
          <w:rFonts w:eastAsia="Times New Roman" w:cs="Times New Roman"/>
          <w:szCs w:val="24"/>
          <w:lang w:val="bg-BG" w:eastAsia="bg-BG"/>
        </w:rPr>
        <w:t xml:space="preserve"> – панелни, </w:t>
      </w:r>
      <w:proofErr w:type="spellStart"/>
      <w:r w:rsidRPr="006F3533">
        <w:rPr>
          <w:rFonts w:eastAsia="Times New Roman" w:cs="Times New Roman"/>
          <w:szCs w:val="24"/>
          <w:lang w:val="bg-BG" w:eastAsia="bg-BG"/>
        </w:rPr>
        <w:t>едроплощен</w:t>
      </w:r>
      <w:proofErr w:type="spellEnd"/>
      <w:r w:rsidRPr="006F3533">
        <w:rPr>
          <w:rFonts w:eastAsia="Times New Roman" w:cs="Times New Roman"/>
          <w:szCs w:val="24"/>
          <w:lang w:val="bg-BG" w:eastAsia="bg-BG"/>
        </w:rPr>
        <w:t xml:space="preserve"> кофраж или други разновидности – и с типични плоски покриви („студен“ или „топъл“ плосък покрив), разходите за възстановяване на експлоатационната годност на покрива представляват </w:t>
      </w:r>
      <w:r w:rsidRPr="006F3533">
        <w:rPr>
          <w:rFonts w:eastAsia="Times New Roman" w:cs="Times New Roman"/>
          <w:b/>
          <w:bCs/>
          <w:szCs w:val="24"/>
          <w:lang w:val="bg-BG" w:eastAsia="bg-BG"/>
        </w:rPr>
        <w:t>сравнително нисък дял от общата стойност на обновяването и се движат между 5% и 15%.</w:t>
      </w:r>
      <w:r w:rsidRPr="006F3533">
        <w:rPr>
          <w:rFonts w:eastAsia="Times New Roman" w:cs="Times New Roman"/>
          <w:szCs w:val="24"/>
          <w:lang w:val="bg-BG" w:eastAsia="bg-BG"/>
        </w:rPr>
        <w:t xml:space="preserve"> За разлика от тях, </w:t>
      </w:r>
      <w:r w:rsidRPr="006F3533">
        <w:rPr>
          <w:rFonts w:eastAsia="Times New Roman" w:cs="Times New Roman"/>
          <w:b/>
          <w:bCs/>
          <w:szCs w:val="24"/>
          <w:lang w:val="bg-BG" w:eastAsia="bg-BG"/>
        </w:rPr>
        <w:t>при жилищни кооперации</w:t>
      </w:r>
      <w:r w:rsidRPr="006F3533">
        <w:rPr>
          <w:rFonts w:eastAsia="Times New Roman" w:cs="Times New Roman"/>
          <w:szCs w:val="24"/>
          <w:lang w:val="bg-BG" w:eastAsia="bg-BG"/>
        </w:rPr>
        <w:t xml:space="preserve"> със </w:t>
      </w:r>
      <w:proofErr w:type="spellStart"/>
      <w:r w:rsidRPr="006F3533">
        <w:rPr>
          <w:rFonts w:eastAsia="Times New Roman" w:cs="Times New Roman"/>
          <w:szCs w:val="24"/>
          <w:lang w:val="bg-BG" w:eastAsia="bg-BG"/>
        </w:rPr>
        <w:t>скатни</w:t>
      </w:r>
      <w:proofErr w:type="spellEnd"/>
      <w:r w:rsidRPr="006F3533">
        <w:rPr>
          <w:rFonts w:eastAsia="Times New Roman" w:cs="Times New Roman"/>
          <w:szCs w:val="24"/>
          <w:lang w:val="bg-BG" w:eastAsia="bg-BG"/>
        </w:rPr>
        <w:t xml:space="preserve"> покриви, изградени с дървена или стоманобетонова носеща конструкция, този разходен дял нараства значително – </w:t>
      </w:r>
      <w:r w:rsidRPr="006F3533">
        <w:rPr>
          <w:rFonts w:eastAsia="Times New Roman" w:cs="Times New Roman"/>
          <w:b/>
          <w:bCs/>
          <w:szCs w:val="24"/>
          <w:lang w:val="bg-BG" w:eastAsia="bg-BG"/>
        </w:rPr>
        <w:t>обичайно между 10% и 25% от общите разходи за обновяване,</w:t>
      </w:r>
      <w:r w:rsidRPr="006F3533">
        <w:rPr>
          <w:rFonts w:eastAsia="Times New Roman" w:cs="Times New Roman"/>
          <w:szCs w:val="24"/>
          <w:lang w:val="bg-BG" w:eastAsia="bg-BG"/>
        </w:rPr>
        <w:t xml:space="preserve"> а при единични случаи, при много лошо техническо състояние и необходимост от подмяна на носещи елементи, може да надхвърли 35%. </w:t>
      </w:r>
    </w:p>
    <w:p w14:paraId="012F6CF3"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Тази разлика в разходните параметри </w:t>
      </w:r>
      <w:r w:rsidRPr="006F3533">
        <w:rPr>
          <w:rFonts w:eastAsia="Times New Roman" w:cs="Times New Roman"/>
          <w:b/>
          <w:bCs/>
          <w:szCs w:val="24"/>
          <w:lang w:val="bg-BG" w:eastAsia="bg-BG"/>
        </w:rPr>
        <w:t>се проявява още по-осезаемо при еднофамилните жилищни сгради</w:t>
      </w:r>
      <w:r w:rsidRPr="006F3533">
        <w:rPr>
          <w:rFonts w:eastAsia="Times New Roman" w:cs="Times New Roman"/>
          <w:szCs w:val="24"/>
          <w:lang w:val="bg-BG" w:eastAsia="bg-BG"/>
        </w:rPr>
        <w:t xml:space="preserve">, голяма част от които са изпълнени именно със </w:t>
      </w:r>
      <w:proofErr w:type="spellStart"/>
      <w:r w:rsidRPr="006F3533">
        <w:rPr>
          <w:rFonts w:eastAsia="Times New Roman" w:cs="Times New Roman"/>
          <w:szCs w:val="24"/>
          <w:lang w:val="bg-BG" w:eastAsia="bg-BG"/>
        </w:rPr>
        <w:t>скатни</w:t>
      </w:r>
      <w:proofErr w:type="spellEnd"/>
      <w:r w:rsidRPr="006F3533">
        <w:rPr>
          <w:rFonts w:eastAsia="Times New Roman" w:cs="Times New Roman"/>
          <w:szCs w:val="24"/>
          <w:lang w:val="bg-BG" w:eastAsia="bg-BG"/>
        </w:rPr>
        <w:t xml:space="preserve"> покриви – най-често с дървена покривна конструкция, а в редица случаи и с остарели или частично компрометирани материали. За този вид сгради покривът представлява съществена част от ограждащата конструкция и неговото обновяване е не само технически необходимо, но и изключително </w:t>
      </w:r>
      <w:proofErr w:type="spellStart"/>
      <w:r w:rsidRPr="006F3533">
        <w:rPr>
          <w:rFonts w:eastAsia="Times New Roman" w:cs="Times New Roman"/>
          <w:szCs w:val="24"/>
          <w:lang w:val="bg-BG" w:eastAsia="bg-BG"/>
        </w:rPr>
        <w:t>разходоемко</w:t>
      </w:r>
      <w:proofErr w:type="spellEnd"/>
      <w:r w:rsidRPr="006F3533">
        <w:rPr>
          <w:rFonts w:eastAsia="Times New Roman" w:cs="Times New Roman"/>
          <w:szCs w:val="24"/>
          <w:lang w:val="bg-BG" w:eastAsia="bg-BG"/>
        </w:rPr>
        <w:t xml:space="preserve">. Поради това при еднофамилните къщи делът на разходите, свързани с покривната конструкция, оказва още по-значимо влияние върху общата стойност на обновяването, което прави прилагането на пълен пакет от мерки икономически необосновано, тъй като необходимите инвестиции не осигуряват достатъчно добра възвръщаемост в сравнение с многофамилните сгради. Тази конструктивна специфика обуславя необходимостта при еднофамилните жилищни сгради да се прилага по-гъвкав подход, основан на единични, приоритетни или поетапни мерки, съобразени както с техническото състояние на </w:t>
      </w:r>
      <w:r w:rsidRPr="006F3533">
        <w:rPr>
          <w:rFonts w:eastAsia="Times New Roman" w:cs="Times New Roman"/>
          <w:szCs w:val="24"/>
          <w:lang w:val="bg-BG" w:eastAsia="bg-BG"/>
        </w:rPr>
        <w:lastRenderedPageBreak/>
        <w:t xml:space="preserve">сградата, така и с икономическата целесъобразност на инвестицията и срокът на откупуването ѝ. </w:t>
      </w:r>
    </w:p>
    <w:p w14:paraId="13736765"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Статистически преглед по година на построяване</w:t>
      </w:r>
    </w:p>
    <w:p w14:paraId="4D523B4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Годината на построяване на жилищните сгради е ключов технически индикатор, който определя тяхната първоначална енергийна характеристика, конструктивните им качества, съответствието им със съществуващите нормативни изисквания и реалистичния потенциал за енергийно обновяване. </w:t>
      </w:r>
    </w:p>
    <w:p w14:paraId="66B7D602"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България нормативните изисквания към топлоизолациите и енергийните характеристики се въвеждат поетапно от началото на 60-те години, а завишените стандарти за енергийна ефективност влизат в сила едва след 2000 г. Това означава, че преобладаващата част от съществуващия жилищен фонд е проектирана и построена при липса или при минимално ниво на енергийни изисквания.</w:t>
      </w:r>
    </w:p>
    <w:p w14:paraId="359A0576" w14:textId="77777777" w:rsidR="00E6313A" w:rsidRPr="006F3533" w:rsidRDefault="00E6313A" w:rsidP="00E6313A">
      <w:pPr>
        <w:spacing w:line="240" w:lineRule="auto"/>
        <w:jc w:val="both"/>
        <w:rPr>
          <w:rFonts w:cs="Times New Roman"/>
          <w:i/>
          <w:iCs/>
          <w:color w:val="0070C0"/>
          <w:szCs w:val="24"/>
          <w:lang w:val="bg-BG"/>
        </w:rPr>
      </w:pPr>
      <w:bookmarkStart w:id="44" w:name="_Toc216777097"/>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5</w:t>
      </w:r>
      <w:r w:rsidRPr="006F3533">
        <w:rPr>
          <w:rFonts w:cs="Times New Roman"/>
          <w:i/>
          <w:iCs/>
          <w:color w:val="0070C0"/>
          <w:szCs w:val="24"/>
          <w:lang w:val="bg-BG"/>
        </w:rPr>
        <w:fldChar w:fldCharType="end"/>
      </w:r>
      <w:r w:rsidRPr="006F3533">
        <w:rPr>
          <w:rFonts w:cs="Times New Roman"/>
          <w:i/>
          <w:iCs/>
          <w:color w:val="0070C0"/>
          <w:szCs w:val="24"/>
          <w:lang w:val="bg-BG"/>
        </w:rPr>
        <w:t>: Обитавани жилищни сгради по вид на сградата и период на построяване към 07.09.2021 г.</w:t>
      </w:r>
      <w:bookmarkEnd w:id="44"/>
    </w:p>
    <w:tbl>
      <w:tblPr>
        <w:tblStyle w:val="GridTable4-Accent51"/>
        <w:tblW w:w="10409" w:type="dxa"/>
        <w:jc w:val="center"/>
        <w:tblLook w:val="04A0" w:firstRow="1" w:lastRow="0" w:firstColumn="1" w:lastColumn="0" w:noHBand="0" w:noVBand="1"/>
      </w:tblPr>
      <w:tblGrid>
        <w:gridCol w:w="2263"/>
        <w:gridCol w:w="1187"/>
        <w:gridCol w:w="881"/>
        <w:gridCol w:w="881"/>
        <w:gridCol w:w="881"/>
        <w:gridCol w:w="881"/>
        <w:gridCol w:w="881"/>
        <w:gridCol w:w="793"/>
        <w:gridCol w:w="911"/>
        <w:gridCol w:w="850"/>
      </w:tblGrid>
      <w:tr w:rsidR="00E6313A" w:rsidRPr="006F3533" w14:paraId="1E5F9312" w14:textId="77777777" w:rsidTr="00541E0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noWrap/>
          </w:tcPr>
          <w:p w14:paraId="70D04792"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 </w:t>
            </w:r>
          </w:p>
          <w:p w14:paraId="0156A5BA"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Вид сграда</w:t>
            </w:r>
          </w:p>
        </w:tc>
        <w:tc>
          <w:tcPr>
            <w:tcW w:w="8146" w:type="dxa"/>
            <w:gridSpan w:val="9"/>
            <w:noWrap/>
          </w:tcPr>
          <w:p w14:paraId="74208372"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8"/>
                <w:szCs w:val="18"/>
                <w:lang w:val="bg-BG" w:eastAsia="bg-BG"/>
              </w:rPr>
            </w:pPr>
            <w:r w:rsidRPr="006F3533">
              <w:rPr>
                <w:rFonts w:eastAsia="Times New Roman" w:cs="Calibri"/>
                <w:sz w:val="18"/>
                <w:szCs w:val="18"/>
                <w:lang w:val="bg-BG" w:eastAsia="bg-BG"/>
              </w:rPr>
              <w:t>Обитавани сгради</w:t>
            </w:r>
          </w:p>
        </w:tc>
      </w:tr>
      <w:tr w:rsidR="00E6313A" w:rsidRPr="006F3533" w14:paraId="5DF199F1"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shd w:val="clear" w:color="auto" w:fill="DEEAF6" w:themeFill="accent5" w:themeFillTint="33"/>
          </w:tcPr>
          <w:p w14:paraId="5399D2B5"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p>
        </w:tc>
        <w:tc>
          <w:tcPr>
            <w:tcW w:w="1187" w:type="dxa"/>
            <w:shd w:val="clear" w:color="auto" w:fill="DEEAF6" w:themeFill="accent5" w:themeFillTint="33"/>
          </w:tcPr>
          <w:p w14:paraId="4F355A4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 xml:space="preserve">Общо обитавани сгради </w:t>
            </w:r>
          </w:p>
        </w:tc>
        <w:tc>
          <w:tcPr>
            <w:tcW w:w="881" w:type="dxa"/>
            <w:shd w:val="clear" w:color="auto" w:fill="DEEAF6" w:themeFill="accent5" w:themeFillTint="33"/>
          </w:tcPr>
          <w:p w14:paraId="4CD5E8B4"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до края на 1949 г.</w:t>
            </w:r>
          </w:p>
        </w:tc>
        <w:tc>
          <w:tcPr>
            <w:tcW w:w="881" w:type="dxa"/>
            <w:shd w:val="clear" w:color="auto" w:fill="DEEAF6" w:themeFill="accent5" w:themeFillTint="33"/>
          </w:tcPr>
          <w:p w14:paraId="454D2C17"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от 1950 до 1959 г.</w:t>
            </w:r>
          </w:p>
        </w:tc>
        <w:tc>
          <w:tcPr>
            <w:tcW w:w="881" w:type="dxa"/>
            <w:shd w:val="clear" w:color="auto" w:fill="DEEAF6" w:themeFill="accent5" w:themeFillTint="33"/>
          </w:tcPr>
          <w:p w14:paraId="3CA13B02"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от 1960 до 1969 г.</w:t>
            </w:r>
          </w:p>
        </w:tc>
        <w:tc>
          <w:tcPr>
            <w:tcW w:w="881" w:type="dxa"/>
            <w:shd w:val="clear" w:color="auto" w:fill="DEEAF6" w:themeFill="accent5" w:themeFillTint="33"/>
          </w:tcPr>
          <w:p w14:paraId="10618E9A"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от 1970 до 1979 г.</w:t>
            </w:r>
          </w:p>
        </w:tc>
        <w:tc>
          <w:tcPr>
            <w:tcW w:w="881" w:type="dxa"/>
            <w:shd w:val="clear" w:color="auto" w:fill="DEEAF6" w:themeFill="accent5" w:themeFillTint="33"/>
          </w:tcPr>
          <w:p w14:paraId="09A85961"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от 1980 до 1989 г.</w:t>
            </w:r>
          </w:p>
        </w:tc>
        <w:tc>
          <w:tcPr>
            <w:tcW w:w="793" w:type="dxa"/>
            <w:shd w:val="clear" w:color="auto" w:fill="DEEAF6" w:themeFill="accent5" w:themeFillTint="33"/>
          </w:tcPr>
          <w:p w14:paraId="1A7990E4"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 xml:space="preserve">от 1990 до 1999г. </w:t>
            </w:r>
          </w:p>
        </w:tc>
        <w:tc>
          <w:tcPr>
            <w:tcW w:w="911" w:type="dxa"/>
            <w:shd w:val="clear" w:color="auto" w:fill="DEEAF6" w:themeFill="accent5" w:themeFillTint="33"/>
          </w:tcPr>
          <w:p w14:paraId="44B84C93"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от 2000 до 2009 г.</w:t>
            </w:r>
          </w:p>
        </w:tc>
        <w:tc>
          <w:tcPr>
            <w:tcW w:w="850" w:type="dxa"/>
            <w:shd w:val="clear" w:color="auto" w:fill="DEEAF6" w:themeFill="accent5" w:themeFillTint="33"/>
          </w:tcPr>
          <w:p w14:paraId="6D5E83C2"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от 2010 до 2021 г.</w:t>
            </w:r>
          </w:p>
        </w:tc>
      </w:tr>
      <w:tr w:rsidR="00E6313A" w:rsidRPr="006F3533" w14:paraId="7FDAA24D"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tcPr>
          <w:p w14:paraId="18ABA51E"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Къща</w:t>
            </w:r>
          </w:p>
        </w:tc>
        <w:tc>
          <w:tcPr>
            <w:tcW w:w="1187" w:type="dxa"/>
          </w:tcPr>
          <w:p w14:paraId="0BEA3F5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1065584</w:t>
            </w:r>
          </w:p>
        </w:tc>
        <w:tc>
          <w:tcPr>
            <w:tcW w:w="881" w:type="dxa"/>
          </w:tcPr>
          <w:p w14:paraId="348C1B4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157121</w:t>
            </w:r>
          </w:p>
        </w:tc>
        <w:tc>
          <w:tcPr>
            <w:tcW w:w="881" w:type="dxa"/>
          </w:tcPr>
          <w:p w14:paraId="7E007C7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182619</w:t>
            </w:r>
          </w:p>
        </w:tc>
        <w:tc>
          <w:tcPr>
            <w:tcW w:w="881" w:type="dxa"/>
          </w:tcPr>
          <w:p w14:paraId="73B3C81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256971</w:t>
            </w:r>
          </w:p>
        </w:tc>
        <w:tc>
          <w:tcPr>
            <w:tcW w:w="881" w:type="dxa"/>
          </w:tcPr>
          <w:p w14:paraId="53109CC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186476</w:t>
            </w:r>
          </w:p>
        </w:tc>
        <w:tc>
          <w:tcPr>
            <w:tcW w:w="881" w:type="dxa"/>
          </w:tcPr>
          <w:p w14:paraId="3F5B90E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143159</w:t>
            </w:r>
          </w:p>
        </w:tc>
        <w:tc>
          <w:tcPr>
            <w:tcW w:w="793" w:type="dxa"/>
          </w:tcPr>
          <w:p w14:paraId="36D3BFF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66466</w:t>
            </w:r>
          </w:p>
        </w:tc>
        <w:tc>
          <w:tcPr>
            <w:tcW w:w="911" w:type="dxa"/>
          </w:tcPr>
          <w:p w14:paraId="747962B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39906</w:t>
            </w:r>
          </w:p>
        </w:tc>
        <w:tc>
          <w:tcPr>
            <w:tcW w:w="850" w:type="dxa"/>
          </w:tcPr>
          <w:p w14:paraId="6FCBFDF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32866</w:t>
            </w:r>
          </w:p>
        </w:tc>
      </w:tr>
      <w:tr w:rsidR="00E6313A" w:rsidRPr="006F3533" w14:paraId="55EDCE1F"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DEEAF6" w:themeFill="accent5" w:themeFillTint="33"/>
          </w:tcPr>
          <w:p w14:paraId="01915F62"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Жилищен блок, кооперация</w:t>
            </w:r>
          </w:p>
        </w:tc>
        <w:tc>
          <w:tcPr>
            <w:tcW w:w="1187" w:type="dxa"/>
            <w:shd w:val="clear" w:color="auto" w:fill="DEEAF6" w:themeFill="accent5" w:themeFillTint="33"/>
          </w:tcPr>
          <w:p w14:paraId="4104EC5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77428</w:t>
            </w:r>
          </w:p>
        </w:tc>
        <w:tc>
          <w:tcPr>
            <w:tcW w:w="881" w:type="dxa"/>
            <w:shd w:val="clear" w:color="auto" w:fill="DEEAF6" w:themeFill="accent5" w:themeFillTint="33"/>
          </w:tcPr>
          <w:p w14:paraId="74ECD41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3652</w:t>
            </w:r>
          </w:p>
        </w:tc>
        <w:tc>
          <w:tcPr>
            <w:tcW w:w="881" w:type="dxa"/>
            <w:shd w:val="clear" w:color="auto" w:fill="DEEAF6" w:themeFill="accent5" w:themeFillTint="33"/>
          </w:tcPr>
          <w:p w14:paraId="3C90C0D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3815</w:t>
            </w:r>
          </w:p>
        </w:tc>
        <w:tc>
          <w:tcPr>
            <w:tcW w:w="881" w:type="dxa"/>
            <w:shd w:val="clear" w:color="auto" w:fill="DEEAF6" w:themeFill="accent5" w:themeFillTint="33"/>
          </w:tcPr>
          <w:p w14:paraId="1843776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10956</w:t>
            </w:r>
          </w:p>
        </w:tc>
        <w:tc>
          <w:tcPr>
            <w:tcW w:w="881" w:type="dxa"/>
            <w:shd w:val="clear" w:color="auto" w:fill="DEEAF6" w:themeFill="accent5" w:themeFillTint="33"/>
          </w:tcPr>
          <w:p w14:paraId="6F47E50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15034</w:t>
            </w:r>
          </w:p>
        </w:tc>
        <w:tc>
          <w:tcPr>
            <w:tcW w:w="881" w:type="dxa"/>
            <w:shd w:val="clear" w:color="auto" w:fill="DEEAF6" w:themeFill="accent5" w:themeFillTint="33"/>
          </w:tcPr>
          <w:p w14:paraId="342A5C7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14678</w:t>
            </w:r>
          </w:p>
        </w:tc>
        <w:tc>
          <w:tcPr>
            <w:tcW w:w="793" w:type="dxa"/>
            <w:shd w:val="clear" w:color="auto" w:fill="DEEAF6" w:themeFill="accent5" w:themeFillTint="33"/>
          </w:tcPr>
          <w:p w14:paraId="582A251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9048</w:t>
            </w:r>
          </w:p>
        </w:tc>
        <w:tc>
          <w:tcPr>
            <w:tcW w:w="911" w:type="dxa"/>
            <w:shd w:val="clear" w:color="auto" w:fill="DEEAF6" w:themeFill="accent5" w:themeFillTint="33"/>
          </w:tcPr>
          <w:p w14:paraId="63DE81E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11225</w:t>
            </w:r>
          </w:p>
        </w:tc>
        <w:tc>
          <w:tcPr>
            <w:tcW w:w="850" w:type="dxa"/>
            <w:shd w:val="clear" w:color="auto" w:fill="DEEAF6" w:themeFill="accent5" w:themeFillTint="33"/>
          </w:tcPr>
          <w:p w14:paraId="6A29855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9020</w:t>
            </w:r>
          </w:p>
        </w:tc>
      </w:tr>
      <w:tr w:rsidR="00E6313A" w:rsidRPr="006F3533" w14:paraId="0A5AB5A4"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tcPr>
          <w:p w14:paraId="1F0961D7"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Сграда от смесен тип (над 60% жилищна площ)</w:t>
            </w:r>
          </w:p>
        </w:tc>
        <w:tc>
          <w:tcPr>
            <w:tcW w:w="1187" w:type="dxa"/>
          </w:tcPr>
          <w:p w14:paraId="45FB422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2450</w:t>
            </w:r>
          </w:p>
        </w:tc>
        <w:tc>
          <w:tcPr>
            <w:tcW w:w="881" w:type="dxa"/>
          </w:tcPr>
          <w:p w14:paraId="5324E1B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394</w:t>
            </w:r>
          </w:p>
        </w:tc>
        <w:tc>
          <w:tcPr>
            <w:tcW w:w="881" w:type="dxa"/>
          </w:tcPr>
          <w:p w14:paraId="48F3779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153</w:t>
            </w:r>
          </w:p>
        </w:tc>
        <w:tc>
          <w:tcPr>
            <w:tcW w:w="881" w:type="dxa"/>
          </w:tcPr>
          <w:p w14:paraId="3F3F43A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266</w:t>
            </w:r>
          </w:p>
        </w:tc>
        <w:tc>
          <w:tcPr>
            <w:tcW w:w="881" w:type="dxa"/>
          </w:tcPr>
          <w:p w14:paraId="7913442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204</w:t>
            </w:r>
          </w:p>
        </w:tc>
        <w:tc>
          <w:tcPr>
            <w:tcW w:w="881" w:type="dxa"/>
          </w:tcPr>
          <w:p w14:paraId="732B120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174</w:t>
            </w:r>
          </w:p>
        </w:tc>
        <w:tc>
          <w:tcPr>
            <w:tcW w:w="793" w:type="dxa"/>
          </w:tcPr>
          <w:p w14:paraId="5660038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242</w:t>
            </w:r>
          </w:p>
        </w:tc>
        <w:tc>
          <w:tcPr>
            <w:tcW w:w="911" w:type="dxa"/>
          </w:tcPr>
          <w:p w14:paraId="3C74B35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600</w:t>
            </w:r>
          </w:p>
        </w:tc>
        <w:tc>
          <w:tcPr>
            <w:tcW w:w="850" w:type="dxa"/>
          </w:tcPr>
          <w:p w14:paraId="641164F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417</w:t>
            </w:r>
          </w:p>
        </w:tc>
      </w:tr>
      <w:tr w:rsidR="00E6313A" w:rsidRPr="006F3533" w14:paraId="3438D0B1"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DEEAF6" w:themeFill="accent5" w:themeFillTint="33"/>
          </w:tcPr>
          <w:p w14:paraId="54F7159D"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Общежитие</w:t>
            </w:r>
          </w:p>
        </w:tc>
        <w:tc>
          <w:tcPr>
            <w:tcW w:w="1187" w:type="dxa"/>
            <w:shd w:val="clear" w:color="auto" w:fill="DEEAF6" w:themeFill="accent5" w:themeFillTint="33"/>
          </w:tcPr>
          <w:p w14:paraId="26051B5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343</w:t>
            </w:r>
          </w:p>
        </w:tc>
        <w:tc>
          <w:tcPr>
            <w:tcW w:w="881" w:type="dxa"/>
            <w:shd w:val="clear" w:color="auto" w:fill="DEEAF6" w:themeFill="accent5" w:themeFillTint="33"/>
          </w:tcPr>
          <w:p w14:paraId="2CF7141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26</w:t>
            </w:r>
          </w:p>
        </w:tc>
        <w:tc>
          <w:tcPr>
            <w:tcW w:w="881" w:type="dxa"/>
            <w:shd w:val="clear" w:color="auto" w:fill="DEEAF6" w:themeFill="accent5" w:themeFillTint="33"/>
          </w:tcPr>
          <w:p w14:paraId="1DCA089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18</w:t>
            </w:r>
          </w:p>
        </w:tc>
        <w:tc>
          <w:tcPr>
            <w:tcW w:w="881" w:type="dxa"/>
            <w:shd w:val="clear" w:color="auto" w:fill="DEEAF6" w:themeFill="accent5" w:themeFillTint="33"/>
          </w:tcPr>
          <w:p w14:paraId="6AB7C9E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50</w:t>
            </w:r>
          </w:p>
        </w:tc>
        <w:tc>
          <w:tcPr>
            <w:tcW w:w="881" w:type="dxa"/>
            <w:shd w:val="clear" w:color="auto" w:fill="DEEAF6" w:themeFill="accent5" w:themeFillTint="33"/>
          </w:tcPr>
          <w:p w14:paraId="27CA000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115</w:t>
            </w:r>
          </w:p>
        </w:tc>
        <w:tc>
          <w:tcPr>
            <w:tcW w:w="881" w:type="dxa"/>
            <w:shd w:val="clear" w:color="auto" w:fill="DEEAF6" w:themeFill="accent5" w:themeFillTint="33"/>
          </w:tcPr>
          <w:p w14:paraId="0B700D9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71</w:t>
            </w:r>
          </w:p>
        </w:tc>
        <w:tc>
          <w:tcPr>
            <w:tcW w:w="793" w:type="dxa"/>
            <w:shd w:val="clear" w:color="auto" w:fill="DEEAF6" w:themeFill="accent5" w:themeFillTint="33"/>
          </w:tcPr>
          <w:p w14:paraId="64C56BA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27</w:t>
            </w:r>
          </w:p>
        </w:tc>
        <w:tc>
          <w:tcPr>
            <w:tcW w:w="911" w:type="dxa"/>
            <w:shd w:val="clear" w:color="auto" w:fill="DEEAF6" w:themeFill="accent5" w:themeFillTint="33"/>
          </w:tcPr>
          <w:p w14:paraId="04BF1EA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13</w:t>
            </w:r>
          </w:p>
        </w:tc>
        <w:tc>
          <w:tcPr>
            <w:tcW w:w="850" w:type="dxa"/>
            <w:shd w:val="clear" w:color="auto" w:fill="DEEAF6" w:themeFill="accent5" w:themeFillTint="33"/>
          </w:tcPr>
          <w:p w14:paraId="3307259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23</w:t>
            </w:r>
          </w:p>
        </w:tc>
      </w:tr>
      <w:tr w:rsidR="00E6313A" w:rsidRPr="006F3533" w14:paraId="741D81B7"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tcPr>
          <w:p w14:paraId="02AAE5CE"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Вила</w:t>
            </w:r>
          </w:p>
        </w:tc>
        <w:tc>
          <w:tcPr>
            <w:tcW w:w="1187" w:type="dxa"/>
          </w:tcPr>
          <w:p w14:paraId="713EB89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6578</w:t>
            </w:r>
          </w:p>
        </w:tc>
        <w:tc>
          <w:tcPr>
            <w:tcW w:w="881" w:type="dxa"/>
          </w:tcPr>
          <w:p w14:paraId="0E3C983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106</w:t>
            </w:r>
          </w:p>
        </w:tc>
        <w:tc>
          <w:tcPr>
            <w:tcW w:w="881" w:type="dxa"/>
          </w:tcPr>
          <w:p w14:paraId="45A8E75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118</w:t>
            </w:r>
          </w:p>
        </w:tc>
        <w:tc>
          <w:tcPr>
            <w:tcW w:w="881" w:type="dxa"/>
          </w:tcPr>
          <w:p w14:paraId="7BBF377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361</w:t>
            </w:r>
          </w:p>
        </w:tc>
        <w:tc>
          <w:tcPr>
            <w:tcW w:w="881" w:type="dxa"/>
          </w:tcPr>
          <w:p w14:paraId="71BFA1A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908</w:t>
            </w:r>
          </w:p>
        </w:tc>
        <w:tc>
          <w:tcPr>
            <w:tcW w:w="881" w:type="dxa"/>
          </w:tcPr>
          <w:p w14:paraId="5FAA54C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1793</w:t>
            </w:r>
          </w:p>
        </w:tc>
        <w:tc>
          <w:tcPr>
            <w:tcW w:w="793" w:type="dxa"/>
          </w:tcPr>
          <w:p w14:paraId="2482EB3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1269</w:t>
            </w:r>
          </w:p>
        </w:tc>
        <w:tc>
          <w:tcPr>
            <w:tcW w:w="911" w:type="dxa"/>
          </w:tcPr>
          <w:p w14:paraId="4D85D10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1256</w:t>
            </w:r>
          </w:p>
        </w:tc>
        <w:tc>
          <w:tcPr>
            <w:tcW w:w="850" w:type="dxa"/>
          </w:tcPr>
          <w:p w14:paraId="21AFE62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767</w:t>
            </w:r>
          </w:p>
        </w:tc>
      </w:tr>
      <w:tr w:rsidR="00E6313A" w:rsidRPr="006F3533" w14:paraId="33BFB95C"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DEEAF6" w:themeFill="accent5" w:themeFillTint="33"/>
          </w:tcPr>
          <w:p w14:paraId="2B064CFB"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Лятна кухня</w:t>
            </w:r>
          </w:p>
        </w:tc>
        <w:tc>
          <w:tcPr>
            <w:tcW w:w="1187" w:type="dxa"/>
            <w:shd w:val="clear" w:color="auto" w:fill="DEEAF6" w:themeFill="accent5" w:themeFillTint="33"/>
          </w:tcPr>
          <w:p w14:paraId="2BC40AA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0</w:t>
            </w:r>
          </w:p>
        </w:tc>
        <w:tc>
          <w:tcPr>
            <w:tcW w:w="881" w:type="dxa"/>
            <w:shd w:val="clear" w:color="auto" w:fill="DEEAF6" w:themeFill="accent5" w:themeFillTint="33"/>
          </w:tcPr>
          <w:p w14:paraId="1AD8AD5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0</w:t>
            </w:r>
          </w:p>
        </w:tc>
        <w:tc>
          <w:tcPr>
            <w:tcW w:w="881" w:type="dxa"/>
            <w:shd w:val="clear" w:color="auto" w:fill="DEEAF6" w:themeFill="accent5" w:themeFillTint="33"/>
          </w:tcPr>
          <w:p w14:paraId="057E96D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0</w:t>
            </w:r>
          </w:p>
        </w:tc>
        <w:tc>
          <w:tcPr>
            <w:tcW w:w="881" w:type="dxa"/>
            <w:shd w:val="clear" w:color="auto" w:fill="DEEAF6" w:themeFill="accent5" w:themeFillTint="33"/>
          </w:tcPr>
          <w:p w14:paraId="646D340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0</w:t>
            </w:r>
          </w:p>
        </w:tc>
        <w:tc>
          <w:tcPr>
            <w:tcW w:w="881" w:type="dxa"/>
            <w:shd w:val="clear" w:color="auto" w:fill="DEEAF6" w:themeFill="accent5" w:themeFillTint="33"/>
          </w:tcPr>
          <w:p w14:paraId="4C71074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0</w:t>
            </w:r>
          </w:p>
        </w:tc>
        <w:tc>
          <w:tcPr>
            <w:tcW w:w="881" w:type="dxa"/>
            <w:shd w:val="clear" w:color="auto" w:fill="DEEAF6" w:themeFill="accent5" w:themeFillTint="33"/>
          </w:tcPr>
          <w:p w14:paraId="2730B40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0</w:t>
            </w:r>
          </w:p>
        </w:tc>
        <w:tc>
          <w:tcPr>
            <w:tcW w:w="793" w:type="dxa"/>
            <w:shd w:val="clear" w:color="auto" w:fill="DEEAF6" w:themeFill="accent5" w:themeFillTint="33"/>
          </w:tcPr>
          <w:p w14:paraId="1277B28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0</w:t>
            </w:r>
          </w:p>
        </w:tc>
        <w:tc>
          <w:tcPr>
            <w:tcW w:w="911" w:type="dxa"/>
            <w:shd w:val="clear" w:color="auto" w:fill="DEEAF6" w:themeFill="accent5" w:themeFillTint="33"/>
          </w:tcPr>
          <w:p w14:paraId="1508EF8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0</w:t>
            </w:r>
          </w:p>
        </w:tc>
        <w:tc>
          <w:tcPr>
            <w:tcW w:w="850" w:type="dxa"/>
            <w:shd w:val="clear" w:color="auto" w:fill="DEEAF6" w:themeFill="accent5" w:themeFillTint="33"/>
          </w:tcPr>
          <w:p w14:paraId="12D941D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0</w:t>
            </w:r>
          </w:p>
        </w:tc>
      </w:tr>
      <w:tr w:rsidR="00E6313A" w:rsidRPr="006F3533" w14:paraId="2BF759BD"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tcPr>
          <w:p w14:paraId="5D36D99C"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Сграда за колективно домакинство</w:t>
            </w:r>
          </w:p>
        </w:tc>
        <w:tc>
          <w:tcPr>
            <w:tcW w:w="1187" w:type="dxa"/>
          </w:tcPr>
          <w:p w14:paraId="1C4711B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595</w:t>
            </w:r>
          </w:p>
        </w:tc>
        <w:tc>
          <w:tcPr>
            <w:tcW w:w="881" w:type="dxa"/>
          </w:tcPr>
          <w:p w14:paraId="6D7E428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72</w:t>
            </w:r>
          </w:p>
        </w:tc>
        <w:tc>
          <w:tcPr>
            <w:tcW w:w="881" w:type="dxa"/>
          </w:tcPr>
          <w:p w14:paraId="1FCA709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43</w:t>
            </w:r>
          </w:p>
        </w:tc>
        <w:tc>
          <w:tcPr>
            <w:tcW w:w="881" w:type="dxa"/>
          </w:tcPr>
          <w:p w14:paraId="344CF73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82</w:t>
            </w:r>
          </w:p>
        </w:tc>
        <w:tc>
          <w:tcPr>
            <w:tcW w:w="881" w:type="dxa"/>
          </w:tcPr>
          <w:p w14:paraId="07B3D31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101</w:t>
            </w:r>
          </w:p>
        </w:tc>
        <w:tc>
          <w:tcPr>
            <w:tcW w:w="881" w:type="dxa"/>
          </w:tcPr>
          <w:p w14:paraId="18B5ED5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81</w:t>
            </w:r>
          </w:p>
        </w:tc>
        <w:tc>
          <w:tcPr>
            <w:tcW w:w="793" w:type="dxa"/>
          </w:tcPr>
          <w:p w14:paraId="165F60E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31</w:t>
            </w:r>
          </w:p>
        </w:tc>
        <w:tc>
          <w:tcPr>
            <w:tcW w:w="911" w:type="dxa"/>
          </w:tcPr>
          <w:p w14:paraId="641625A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60</w:t>
            </w:r>
          </w:p>
        </w:tc>
        <w:tc>
          <w:tcPr>
            <w:tcW w:w="850" w:type="dxa"/>
          </w:tcPr>
          <w:p w14:paraId="40AF9BC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125</w:t>
            </w:r>
          </w:p>
        </w:tc>
      </w:tr>
      <w:tr w:rsidR="00E6313A" w:rsidRPr="006F3533" w14:paraId="79E539C2"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shd w:val="clear" w:color="auto" w:fill="DEEAF6" w:themeFill="accent5" w:themeFillTint="33"/>
          </w:tcPr>
          <w:p w14:paraId="4B3A6F97"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Общо, бр.</w:t>
            </w:r>
          </w:p>
        </w:tc>
        <w:tc>
          <w:tcPr>
            <w:tcW w:w="1187" w:type="dxa"/>
            <w:shd w:val="clear" w:color="auto" w:fill="DEEAF6" w:themeFill="accent5" w:themeFillTint="33"/>
          </w:tcPr>
          <w:p w14:paraId="1BD7DC1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1152978</w:t>
            </w:r>
          </w:p>
        </w:tc>
        <w:tc>
          <w:tcPr>
            <w:tcW w:w="881" w:type="dxa"/>
            <w:shd w:val="clear" w:color="auto" w:fill="DEEAF6" w:themeFill="accent5" w:themeFillTint="33"/>
            <w:noWrap/>
          </w:tcPr>
          <w:p w14:paraId="4322DE8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161371</w:t>
            </w:r>
          </w:p>
        </w:tc>
        <w:tc>
          <w:tcPr>
            <w:tcW w:w="881" w:type="dxa"/>
            <w:shd w:val="clear" w:color="auto" w:fill="DEEAF6" w:themeFill="accent5" w:themeFillTint="33"/>
            <w:noWrap/>
          </w:tcPr>
          <w:p w14:paraId="2BBEE2A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186766</w:t>
            </w:r>
          </w:p>
        </w:tc>
        <w:tc>
          <w:tcPr>
            <w:tcW w:w="881" w:type="dxa"/>
            <w:shd w:val="clear" w:color="auto" w:fill="DEEAF6" w:themeFill="accent5" w:themeFillTint="33"/>
            <w:noWrap/>
          </w:tcPr>
          <w:p w14:paraId="5509770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268686</w:t>
            </w:r>
          </w:p>
        </w:tc>
        <w:tc>
          <w:tcPr>
            <w:tcW w:w="881" w:type="dxa"/>
            <w:shd w:val="clear" w:color="auto" w:fill="DEEAF6" w:themeFill="accent5" w:themeFillTint="33"/>
            <w:noWrap/>
          </w:tcPr>
          <w:p w14:paraId="672761D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202838</w:t>
            </w:r>
          </w:p>
        </w:tc>
        <w:tc>
          <w:tcPr>
            <w:tcW w:w="881" w:type="dxa"/>
            <w:shd w:val="clear" w:color="auto" w:fill="DEEAF6" w:themeFill="accent5" w:themeFillTint="33"/>
            <w:noWrap/>
          </w:tcPr>
          <w:p w14:paraId="6CE248D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159956</w:t>
            </w:r>
          </w:p>
        </w:tc>
        <w:tc>
          <w:tcPr>
            <w:tcW w:w="793" w:type="dxa"/>
            <w:shd w:val="clear" w:color="auto" w:fill="DEEAF6" w:themeFill="accent5" w:themeFillTint="33"/>
            <w:noWrap/>
          </w:tcPr>
          <w:p w14:paraId="4010DC4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77083</w:t>
            </w:r>
          </w:p>
        </w:tc>
        <w:tc>
          <w:tcPr>
            <w:tcW w:w="911" w:type="dxa"/>
            <w:shd w:val="clear" w:color="auto" w:fill="DEEAF6" w:themeFill="accent5" w:themeFillTint="33"/>
            <w:noWrap/>
          </w:tcPr>
          <w:p w14:paraId="61DFAC5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53060</w:t>
            </w:r>
          </w:p>
        </w:tc>
        <w:tc>
          <w:tcPr>
            <w:tcW w:w="850" w:type="dxa"/>
            <w:shd w:val="clear" w:color="auto" w:fill="DEEAF6" w:themeFill="accent5" w:themeFillTint="33"/>
            <w:noWrap/>
          </w:tcPr>
          <w:p w14:paraId="5CE28A6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43218</w:t>
            </w:r>
          </w:p>
        </w:tc>
      </w:tr>
      <w:tr w:rsidR="00E6313A" w:rsidRPr="006F3533" w14:paraId="33AC213C"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noWrap/>
          </w:tcPr>
          <w:p w14:paraId="69E5B039"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Общо, %</w:t>
            </w:r>
          </w:p>
        </w:tc>
        <w:tc>
          <w:tcPr>
            <w:tcW w:w="1187" w:type="dxa"/>
            <w:noWrap/>
          </w:tcPr>
          <w:p w14:paraId="2BA6788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100,0%</w:t>
            </w:r>
          </w:p>
        </w:tc>
        <w:tc>
          <w:tcPr>
            <w:tcW w:w="881" w:type="dxa"/>
            <w:noWrap/>
          </w:tcPr>
          <w:p w14:paraId="2C6A127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14,0%</w:t>
            </w:r>
          </w:p>
        </w:tc>
        <w:tc>
          <w:tcPr>
            <w:tcW w:w="881" w:type="dxa"/>
            <w:noWrap/>
          </w:tcPr>
          <w:p w14:paraId="7C52D65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16,2%</w:t>
            </w:r>
          </w:p>
        </w:tc>
        <w:tc>
          <w:tcPr>
            <w:tcW w:w="881" w:type="dxa"/>
            <w:noWrap/>
          </w:tcPr>
          <w:p w14:paraId="10F4A3A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23,3%</w:t>
            </w:r>
          </w:p>
        </w:tc>
        <w:tc>
          <w:tcPr>
            <w:tcW w:w="881" w:type="dxa"/>
            <w:noWrap/>
          </w:tcPr>
          <w:p w14:paraId="14377A1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17,6%</w:t>
            </w:r>
          </w:p>
        </w:tc>
        <w:tc>
          <w:tcPr>
            <w:tcW w:w="881" w:type="dxa"/>
            <w:noWrap/>
          </w:tcPr>
          <w:p w14:paraId="2F547DB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13,9%</w:t>
            </w:r>
          </w:p>
        </w:tc>
        <w:tc>
          <w:tcPr>
            <w:tcW w:w="793" w:type="dxa"/>
            <w:noWrap/>
          </w:tcPr>
          <w:p w14:paraId="5767540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6,7%</w:t>
            </w:r>
          </w:p>
        </w:tc>
        <w:tc>
          <w:tcPr>
            <w:tcW w:w="911" w:type="dxa"/>
            <w:noWrap/>
          </w:tcPr>
          <w:p w14:paraId="32108BF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4,6%</w:t>
            </w:r>
          </w:p>
        </w:tc>
        <w:tc>
          <w:tcPr>
            <w:tcW w:w="850" w:type="dxa"/>
            <w:noWrap/>
          </w:tcPr>
          <w:p w14:paraId="3FD6EF6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3,7%</w:t>
            </w:r>
          </w:p>
        </w:tc>
      </w:tr>
    </w:tbl>
    <w:p w14:paraId="6D83BF34"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724B27D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българския жилищен фонд ясно се открояват три основни периода, които определят техническия профил на сградите и тяхната уязвимост спрямо съвременните изисквания. </w:t>
      </w:r>
    </w:p>
    <w:tbl>
      <w:tblPr>
        <w:tblStyle w:val="TableGrid"/>
        <w:tblW w:w="97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662"/>
        <w:gridCol w:w="5120"/>
      </w:tblGrid>
      <w:tr w:rsidR="00E6313A" w:rsidRPr="006F3533" w14:paraId="5943E031" w14:textId="77777777" w:rsidTr="00541E06">
        <w:trPr>
          <w:jc w:val="center"/>
        </w:trPr>
        <w:tc>
          <w:tcPr>
            <w:tcW w:w="4662" w:type="dxa"/>
          </w:tcPr>
          <w:p w14:paraId="48458B20" w14:textId="77777777" w:rsidR="00E6313A" w:rsidRPr="006F3533" w:rsidRDefault="00E6313A" w:rsidP="00541E06">
            <w:pPr>
              <w:jc w:val="both"/>
              <w:rPr>
                <w:rFonts w:cs="Times New Roman"/>
                <w:i/>
                <w:iCs/>
                <w:color w:val="0070C0"/>
                <w:szCs w:val="24"/>
                <w:lang w:val="bg-BG"/>
              </w:rPr>
            </w:pPr>
            <w:bookmarkStart w:id="45" w:name="_Toc216636000"/>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6</w:t>
            </w:r>
            <w:r w:rsidRPr="006F3533">
              <w:rPr>
                <w:rFonts w:cs="Times New Roman"/>
                <w:i/>
                <w:iCs/>
                <w:color w:val="0070C0"/>
                <w:szCs w:val="24"/>
                <w:lang w:val="bg-BG"/>
              </w:rPr>
              <w:fldChar w:fldCharType="end"/>
            </w:r>
            <w:r w:rsidRPr="006F3533">
              <w:rPr>
                <w:rFonts w:cs="Times New Roman"/>
                <w:i/>
                <w:iCs/>
                <w:color w:val="0070C0"/>
                <w:szCs w:val="24"/>
                <w:lang w:val="bg-BG"/>
              </w:rPr>
              <w:t>: Дялово разпределение на обитаваните жилищни сгради по година на построяване към 07.09.2021 г.</w:t>
            </w:r>
            <w:bookmarkEnd w:id="45"/>
          </w:p>
          <w:p w14:paraId="2EF720DE" w14:textId="77777777" w:rsidR="00E6313A" w:rsidRPr="006F3533" w:rsidRDefault="00E6313A" w:rsidP="00541E06">
            <w:pPr>
              <w:spacing w:before="100" w:beforeAutospacing="1" w:after="100" w:afterAutospacing="1"/>
              <w:jc w:val="center"/>
              <w:rPr>
                <w:rFonts w:eastAsia="Times New Roman" w:cs="Times New Roman"/>
                <w:szCs w:val="24"/>
                <w:lang w:val="bg-BG" w:eastAsia="bg-BG"/>
              </w:rPr>
            </w:pPr>
            <w:r w:rsidRPr="006F3533">
              <w:rPr>
                <w:rFonts w:eastAsia="Calibri" w:cs="Times New Roman"/>
                <w:noProof/>
                <w:szCs w:val="24"/>
                <w:lang w:val="bg-BG"/>
              </w:rPr>
              <w:lastRenderedPageBreak/>
              <w:drawing>
                <wp:inline distT="0" distB="0" distL="0" distR="0" wp14:anchorId="3AD0524D" wp14:editId="64F218C1">
                  <wp:extent cx="2722245" cy="2326005"/>
                  <wp:effectExtent l="0" t="0" r="1905" b="17145"/>
                  <wp:docPr id="83494763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5120" w:type="dxa"/>
          </w:tcPr>
          <w:p w14:paraId="59B4C11C" w14:textId="77777777" w:rsidR="00E6313A" w:rsidRPr="006F3533" w:rsidRDefault="00E6313A" w:rsidP="00541E06">
            <w:pPr>
              <w:jc w:val="both"/>
              <w:rPr>
                <w:rFonts w:cs="Times New Roman"/>
                <w:i/>
                <w:iCs/>
                <w:color w:val="0070C0"/>
                <w:szCs w:val="24"/>
                <w:lang w:val="bg-BG"/>
              </w:rPr>
            </w:pPr>
            <w:bookmarkStart w:id="46" w:name="_Toc216636001"/>
            <w:r w:rsidRPr="006F3533">
              <w:rPr>
                <w:rFonts w:cs="Times New Roman"/>
                <w:i/>
                <w:iCs/>
                <w:color w:val="0070C0"/>
                <w:szCs w:val="24"/>
                <w:lang w:val="bg-BG"/>
              </w:rPr>
              <w:lastRenderedPageBreak/>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7</w:t>
            </w:r>
            <w:r w:rsidRPr="006F3533">
              <w:rPr>
                <w:rFonts w:cs="Times New Roman"/>
                <w:i/>
                <w:iCs/>
                <w:color w:val="0070C0"/>
                <w:szCs w:val="24"/>
                <w:lang w:val="bg-BG"/>
              </w:rPr>
              <w:fldChar w:fldCharType="end"/>
            </w:r>
            <w:r w:rsidRPr="006F3533">
              <w:rPr>
                <w:rFonts w:cs="Times New Roman"/>
                <w:i/>
                <w:iCs/>
                <w:color w:val="0070C0"/>
                <w:szCs w:val="24"/>
                <w:lang w:val="bg-BG"/>
              </w:rPr>
              <w:t>: Дялово разпределение на обитаваните жилищни сгради по година на построяване и по вид към 07.09.2021 г.</w:t>
            </w:r>
            <w:bookmarkEnd w:id="46"/>
          </w:p>
          <w:p w14:paraId="06612E8F" w14:textId="77777777" w:rsidR="00E6313A" w:rsidRPr="006F3533" w:rsidRDefault="00E6313A" w:rsidP="00541E06">
            <w:pPr>
              <w:keepNext/>
              <w:jc w:val="both"/>
              <w:rPr>
                <w:rFonts w:cs="Times New Roman"/>
                <w:i/>
                <w:iCs/>
                <w:color w:val="0070C0"/>
                <w:szCs w:val="24"/>
                <w:lang w:val="bg-BG"/>
              </w:rPr>
            </w:pPr>
            <w:r w:rsidRPr="006F3533">
              <w:rPr>
                <w:rFonts w:cs="Times New Roman"/>
                <w:i/>
                <w:iCs/>
                <w:noProof/>
                <w:color w:val="0070C0"/>
                <w:szCs w:val="24"/>
                <w:lang w:val="bg-BG"/>
              </w:rPr>
              <w:lastRenderedPageBreak/>
              <w:drawing>
                <wp:inline distT="0" distB="0" distL="0" distR="0" wp14:anchorId="36AC9A93" wp14:editId="16B2D9EA">
                  <wp:extent cx="3145790" cy="2319655"/>
                  <wp:effectExtent l="0" t="0" r="16510" b="4445"/>
                  <wp:docPr id="14238642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1BFC9324"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lastRenderedPageBreak/>
        <w:t>Източник: НСИ, Преброяване на населението и жилищния фонд 2021 г.</w:t>
      </w:r>
    </w:p>
    <w:p w14:paraId="43A58FA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До края на 50-те години в страната практически липсват регламентирани норми за топлотехнически характеристики, а масовото строителство от този период разчита на традиционни материали като тухла с гредоред, камък или смесени конструкции. Това се отразява в делът на сградите, построени до 1959 г., които представляват 30,2% от всички обитавани сгради. Техният дял е особено висок при еднофамилните къщи — почти една трета от тях са от този най-стар период, докато в многофамилните сгради построените преди 1959 г. са едва 9,6%. Този сегмент се характеризира с ниска енергийна ефективност, значителна амортизация и ограничени технически възможности за дълбоко обновяване без сериозни конструктивни намеси.</w:t>
      </w:r>
    </w:p>
    <w:p w14:paraId="4185407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Най-големият дял от съществуващия жилищен фонд е изграден през периода 1960–1999 г., като в тази група </w:t>
      </w:r>
      <w:r w:rsidRPr="006F3533">
        <w:rPr>
          <w:rFonts w:eastAsia="Times New Roman" w:cs="Times New Roman"/>
          <w:b/>
          <w:bCs/>
          <w:szCs w:val="24"/>
          <w:lang w:val="bg-BG" w:eastAsia="bg-BG"/>
        </w:rPr>
        <w:t>попадат 61,5% от всички обитавани сгради</w:t>
      </w:r>
      <w:r w:rsidRPr="006F3533">
        <w:rPr>
          <w:rFonts w:eastAsia="Times New Roman" w:cs="Times New Roman"/>
          <w:szCs w:val="24"/>
          <w:lang w:val="bg-BG" w:eastAsia="bg-BG"/>
        </w:rPr>
        <w:t>. Този период е съществен поради няколко причини. От началото на 60-те години се въвеждат първите нормативни изисквания към коефициентите на топлопреминаване на ограждащите елементи, макар и в много по-занижен вид спрямо съвременните стандарти. Успоредно с това именно след средата на 60-те години започва масовото индустриално строителство — въвеждане на едропанелни системи и различни разновидности на стоманобетонов кофраж. Днес тези сгради представляват най-значимият сегмент за обновяване, защото, въпреки по-младата си възраст спрямо сградите, построени преди 1959 г., те са изграждани при липса на комплексни изисквания към енергийните характеристики, а конструктивните им решения, особено при панелните системи, са свързани с повишен риск от топлинни мостове и влошени експлоатационни качества. Данните показват, че 61,3% от всички къщи, 64,2% от жилищните блокове, кооперации са построени именно през този период, което го превръща в ключов обект на публичните политики.</w:t>
      </w:r>
    </w:p>
    <w:p w14:paraId="300677D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Сградите, построени след 2000 г., представляват едва 8,4% от обитавания жилищен фонд. Това са сградите, въведени в експлоатация при действието на съвременни и значително по-строги нормативни изисквания към енергийната ефективност. При тях са приложени завишени U-стойности, минимални стандарти за топлоизолации, изисквания към характеристиките на дограмите и строителните продукти, а част от тях вече притежават и енергийни сертификати. Поради това те не са предмет на действащите до момента програми за енергийно обновяване, които са насочени към сгради, </w:t>
      </w:r>
      <w:r w:rsidRPr="006F3533">
        <w:rPr>
          <w:rFonts w:eastAsia="Times New Roman" w:cs="Times New Roman"/>
          <w:szCs w:val="24"/>
          <w:lang w:val="bg-BG" w:eastAsia="bg-BG"/>
        </w:rPr>
        <w:lastRenderedPageBreak/>
        <w:t>проектирани преди 26 април 1999 г. Най-значим е делът на новите жилищни блокове (26,1%) и сградите от смесен тип (41,5%), докато при къщите относителният дял на новите сгради е по-нисък — 6,8%.</w:t>
      </w:r>
    </w:p>
    <w:p w14:paraId="033104F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Обединявайки тези данни, се установява, че </w:t>
      </w:r>
      <w:r w:rsidRPr="006F3533">
        <w:rPr>
          <w:rFonts w:eastAsia="Times New Roman" w:cs="Times New Roman"/>
          <w:b/>
          <w:bCs/>
          <w:szCs w:val="24"/>
          <w:lang w:val="bg-BG" w:eastAsia="bg-BG"/>
        </w:rPr>
        <w:t>91.6% от обитаваните жилищни сгради в България са построени преди въвеждането</w:t>
      </w:r>
      <w:r w:rsidRPr="006F3533">
        <w:rPr>
          <w:rFonts w:eastAsia="Times New Roman" w:cs="Times New Roman"/>
          <w:szCs w:val="24"/>
          <w:lang w:val="bg-BG" w:eastAsia="bg-BG"/>
        </w:rPr>
        <w:t xml:space="preserve"> на съвременните нормативни изисквания за енергийна ефективност. Това означава, че почти целият енергиен актив на страната е формиран в условия на липса или минимално ниво на енергийни стандарти и поради това представлява значителен потенциал за енергийно обновяване. Еднофамилните къщи са най-уязвимият сегмент — над 93% от тях са построени преди 2000 г., като повече от 31% са от периода преди 1959 г. При тях модернизацията често се затруднява от стария конструктивен тип и по-високите разходи за обновяване. При многофамилните сгради структурата е по-благоприятна, но също така над 64% от тях са построени в периода 1960–1999 г. и изискват дълбоко обновяване.</w:t>
      </w:r>
    </w:p>
    <w:p w14:paraId="0A9873F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Тези данни очертават ясно, че мерките за енергийна ефективност следва да се фокусират върху сградите, изградени до 1999 г., с особен акцент върху периода 1960–1989 г., когато е формиран най-големият, най-енергоемкият и технически компрометиран сегмент на жилищния фонд. </w:t>
      </w:r>
    </w:p>
    <w:p w14:paraId="15A5845B"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 xml:space="preserve">Статистически преглед по етажност </w:t>
      </w:r>
    </w:p>
    <w:p w14:paraId="09D3555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Етажността на жилищните сгради представлява ключов структурен показател, който определя както техническите възможности за енергийно обновяване, така и специфичните организационни и финансови предизвикателства, свързани с прилагането на мерките за енергийна ефективност. Данните от преброяването през 2021 г. за обитаваните жилищни сгради ясно очертават, че жилищният фонд в страната е </w:t>
      </w:r>
      <w:r w:rsidRPr="006F3533">
        <w:rPr>
          <w:rFonts w:eastAsia="Times New Roman" w:cs="Times New Roman"/>
          <w:b/>
          <w:bCs/>
          <w:szCs w:val="24"/>
          <w:lang w:val="bg-BG" w:eastAsia="bg-BG"/>
        </w:rPr>
        <w:t>доминиран от нискоетажни сгради</w:t>
      </w:r>
      <w:r w:rsidRPr="006F3533">
        <w:rPr>
          <w:rFonts w:eastAsia="Times New Roman" w:cs="Times New Roman"/>
          <w:szCs w:val="24"/>
          <w:lang w:val="bg-BG" w:eastAsia="bg-BG"/>
        </w:rPr>
        <w:t xml:space="preserve"> – тенденция, характерна както за малките населени места, така и за не малка част от градската среда.</w:t>
      </w:r>
    </w:p>
    <w:p w14:paraId="0B7CCCD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От всички обитавани жилищни сгради 46,5% са едноетажни, а още 41,8% са двуетажни. Това означава, че общо </w:t>
      </w:r>
      <w:r w:rsidRPr="006F3533">
        <w:rPr>
          <w:rFonts w:eastAsia="Times New Roman" w:cs="Times New Roman"/>
          <w:b/>
          <w:bCs/>
          <w:szCs w:val="24"/>
          <w:lang w:val="bg-BG" w:eastAsia="bg-BG"/>
        </w:rPr>
        <w:t>88,3% от жилищния фонд попада в категорията ниско застрояване</w:t>
      </w:r>
      <w:r w:rsidRPr="006F3533">
        <w:rPr>
          <w:rFonts w:eastAsia="Times New Roman" w:cs="Times New Roman"/>
          <w:szCs w:val="24"/>
          <w:lang w:val="bg-BG" w:eastAsia="bg-BG"/>
        </w:rPr>
        <w:t xml:space="preserve">. Към тази категория се отнасят и </w:t>
      </w:r>
      <w:proofErr w:type="spellStart"/>
      <w:r w:rsidRPr="006F3533">
        <w:rPr>
          <w:rFonts w:eastAsia="Times New Roman" w:cs="Times New Roman"/>
          <w:szCs w:val="24"/>
          <w:lang w:val="bg-BG" w:eastAsia="bg-BG"/>
        </w:rPr>
        <w:t>трисетажните</w:t>
      </w:r>
      <w:proofErr w:type="spellEnd"/>
      <w:r w:rsidRPr="006F3533">
        <w:rPr>
          <w:rFonts w:eastAsia="Times New Roman" w:cs="Times New Roman"/>
          <w:szCs w:val="24"/>
          <w:lang w:val="bg-BG" w:eastAsia="bg-BG"/>
        </w:rPr>
        <w:t xml:space="preserve"> сгради, които представляват допълнителни 6,1%. Този дял потвърждава устойчивата доминация на нискоетажното строителство в страната.</w:t>
      </w:r>
    </w:p>
    <w:p w14:paraId="407FDBD3" w14:textId="77777777" w:rsidR="00E6313A" w:rsidRPr="006F3533" w:rsidRDefault="00E6313A" w:rsidP="00E6313A">
      <w:pPr>
        <w:spacing w:line="240" w:lineRule="auto"/>
        <w:jc w:val="both"/>
        <w:rPr>
          <w:rFonts w:cs="Times New Roman"/>
          <w:i/>
          <w:iCs/>
          <w:color w:val="0070C0"/>
          <w:szCs w:val="24"/>
          <w:lang w:val="bg-BG"/>
        </w:rPr>
      </w:pPr>
      <w:bookmarkStart w:id="47" w:name="_Toc216636002"/>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8</w:t>
      </w:r>
      <w:r w:rsidRPr="006F3533">
        <w:rPr>
          <w:rFonts w:cs="Times New Roman"/>
          <w:i/>
          <w:iCs/>
          <w:color w:val="0070C0"/>
          <w:szCs w:val="24"/>
          <w:lang w:val="bg-BG"/>
        </w:rPr>
        <w:fldChar w:fldCharType="end"/>
      </w:r>
      <w:r w:rsidRPr="006F3533">
        <w:rPr>
          <w:rFonts w:cs="Times New Roman"/>
          <w:i/>
          <w:iCs/>
          <w:color w:val="0070C0"/>
          <w:szCs w:val="24"/>
          <w:lang w:val="bg-BG"/>
        </w:rPr>
        <w:t>: Дялово разпределение на обитаваните жилищни сгради по етажност към 07.09.2021 г.</w:t>
      </w:r>
      <w:bookmarkEnd w:id="47"/>
    </w:p>
    <w:p w14:paraId="0420F6DC" w14:textId="77777777" w:rsidR="00E6313A" w:rsidRPr="006F3533" w:rsidRDefault="00E6313A" w:rsidP="00E6313A">
      <w:pPr>
        <w:spacing w:before="100" w:beforeAutospacing="1" w:after="100" w:afterAutospacing="1" w:line="240" w:lineRule="auto"/>
        <w:jc w:val="center"/>
        <w:rPr>
          <w:rFonts w:eastAsia="Times New Roman" w:cs="Times New Roman"/>
          <w:szCs w:val="24"/>
          <w:lang w:val="bg-BG" w:eastAsia="bg-BG"/>
        </w:rPr>
      </w:pPr>
      <w:r w:rsidRPr="006F3533">
        <w:rPr>
          <w:rFonts w:eastAsia="Calibri" w:cs="Times New Roman"/>
          <w:noProof/>
          <w:szCs w:val="24"/>
          <w:lang w:val="bg-BG"/>
        </w:rPr>
        <w:lastRenderedPageBreak/>
        <w:drawing>
          <wp:inline distT="0" distB="0" distL="0" distR="0" wp14:anchorId="665E97AF" wp14:editId="55EDFED2">
            <wp:extent cx="4572000" cy="2743200"/>
            <wp:effectExtent l="0" t="0" r="0" b="0"/>
            <wp:docPr id="87820044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FAB1B27"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623DA113"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Къщите (еднофамилните сгради) са почти изцяло концентрирани в тази група. От 1 065 584 обитавани къщи, 50% са едноетажни, а 44,6% – двуетажни, като едва 5,4% достигат три етажа. Това ясно показва, че еднофамилният жилищен фонд в България е практически изцяло нискоетажен, с характерни </w:t>
      </w:r>
      <w:proofErr w:type="spellStart"/>
      <w:r w:rsidRPr="006F3533">
        <w:rPr>
          <w:rFonts w:eastAsia="Times New Roman" w:cs="Times New Roman"/>
          <w:szCs w:val="24"/>
          <w:lang w:val="bg-BG" w:eastAsia="bg-BG"/>
        </w:rPr>
        <w:t>скатни</w:t>
      </w:r>
      <w:proofErr w:type="spellEnd"/>
      <w:r w:rsidRPr="006F3533">
        <w:rPr>
          <w:rFonts w:eastAsia="Times New Roman" w:cs="Times New Roman"/>
          <w:szCs w:val="24"/>
          <w:lang w:val="bg-BG" w:eastAsia="bg-BG"/>
        </w:rPr>
        <w:t xml:space="preserve"> покриви.</w:t>
      </w:r>
    </w:p>
    <w:p w14:paraId="7159441F" w14:textId="77777777" w:rsidR="00E6313A" w:rsidRPr="006F3533" w:rsidRDefault="00E6313A" w:rsidP="00E6313A">
      <w:pPr>
        <w:spacing w:line="240" w:lineRule="auto"/>
        <w:jc w:val="both"/>
        <w:rPr>
          <w:rFonts w:cs="Times New Roman"/>
          <w:i/>
          <w:iCs/>
          <w:color w:val="0070C0"/>
          <w:szCs w:val="24"/>
          <w:lang w:val="bg-BG"/>
        </w:rPr>
      </w:pPr>
      <w:bookmarkStart w:id="48" w:name="_Toc216777098"/>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6</w:t>
      </w:r>
      <w:r w:rsidRPr="006F3533">
        <w:rPr>
          <w:rFonts w:cs="Times New Roman"/>
          <w:i/>
          <w:iCs/>
          <w:color w:val="0070C0"/>
          <w:szCs w:val="24"/>
          <w:lang w:val="bg-BG"/>
        </w:rPr>
        <w:fldChar w:fldCharType="end"/>
      </w:r>
      <w:r w:rsidRPr="006F3533">
        <w:rPr>
          <w:rFonts w:cs="Times New Roman"/>
          <w:i/>
          <w:iCs/>
          <w:color w:val="0070C0"/>
          <w:szCs w:val="24"/>
          <w:lang w:val="bg-BG"/>
        </w:rPr>
        <w:t>: Обитавани жилищни сгради по вид на сградата и по етажност към 07.09.2021 г.</w:t>
      </w:r>
      <w:bookmarkEnd w:id="48"/>
    </w:p>
    <w:tbl>
      <w:tblPr>
        <w:tblStyle w:val="GridTable4-Accent51"/>
        <w:tblW w:w="9076" w:type="dxa"/>
        <w:tblLayout w:type="fixed"/>
        <w:tblLook w:val="04A0" w:firstRow="1" w:lastRow="0" w:firstColumn="1" w:lastColumn="0" w:noHBand="0" w:noVBand="1"/>
      </w:tblPr>
      <w:tblGrid>
        <w:gridCol w:w="1413"/>
        <w:gridCol w:w="1134"/>
        <w:gridCol w:w="1134"/>
        <w:gridCol w:w="1276"/>
        <w:gridCol w:w="1275"/>
        <w:gridCol w:w="851"/>
        <w:gridCol w:w="993"/>
        <w:gridCol w:w="1000"/>
      </w:tblGrid>
      <w:tr w:rsidR="00E6313A" w:rsidRPr="006F3533" w14:paraId="1A8B62F7" w14:textId="77777777" w:rsidTr="00541E06">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13" w:type="dxa"/>
            <w:vMerge w:val="restart"/>
          </w:tcPr>
          <w:p w14:paraId="08973A86" w14:textId="77777777" w:rsidR="00E6313A" w:rsidRPr="006F3533" w:rsidRDefault="00E6313A" w:rsidP="00541E06">
            <w:pPr>
              <w:spacing w:before="100" w:beforeAutospacing="1" w:after="100" w:afterAutospacing="1"/>
              <w:jc w:val="center"/>
              <w:rPr>
                <w:rFonts w:eastAsia="Times New Roman" w:cs="Calibri"/>
                <w:b w:val="0"/>
                <w:bCs w:val="0"/>
                <w:sz w:val="20"/>
                <w:lang w:val="bg-BG" w:eastAsia="bg-BG"/>
              </w:rPr>
            </w:pPr>
            <w:r w:rsidRPr="006F3533">
              <w:rPr>
                <w:rFonts w:eastAsia="Times New Roman" w:cs="Calibri"/>
                <w:sz w:val="20"/>
                <w:lang w:val="bg-BG" w:eastAsia="bg-BG"/>
              </w:rPr>
              <w:t>Етажност</w:t>
            </w:r>
          </w:p>
        </w:tc>
        <w:tc>
          <w:tcPr>
            <w:tcW w:w="1134" w:type="dxa"/>
          </w:tcPr>
          <w:p w14:paraId="2CACD177"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20"/>
                <w:lang w:val="bg-BG" w:eastAsia="bg-BG"/>
              </w:rPr>
            </w:pPr>
            <w:r w:rsidRPr="006F3533">
              <w:rPr>
                <w:rFonts w:eastAsia="Times New Roman" w:cs="Calibri"/>
                <w:sz w:val="20"/>
                <w:lang w:val="bg-BG" w:eastAsia="bg-BG"/>
              </w:rPr>
              <w:t> </w:t>
            </w:r>
          </w:p>
        </w:tc>
        <w:tc>
          <w:tcPr>
            <w:tcW w:w="6529" w:type="dxa"/>
            <w:gridSpan w:val="6"/>
            <w:noWrap/>
          </w:tcPr>
          <w:p w14:paraId="7CEC9134"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20"/>
                <w:lang w:val="bg-BG" w:eastAsia="bg-BG"/>
              </w:rPr>
            </w:pPr>
            <w:r w:rsidRPr="006F3533">
              <w:rPr>
                <w:rFonts w:eastAsia="Times New Roman" w:cs="Calibri"/>
                <w:sz w:val="20"/>
                <w:lang w:val="bg-BG" w:eastAsia="bg-BG"/>
              </w:rPr>
              <w:t>Обитавани сгради</w:t>
            </w:r>
          </w:p>
        </w:tc>
      </w:tr>
      <w:tr w:rsidR="00E6313A" w:rsidRPr="006F3533" w14:paraId="22183055"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vMerge/>
            <w:shd w:val="clear" w:color="auto" w:fill="DEEAF6" w:themeFill="accent5" w:themeFillTint="33"/>
          </w:tcPr>
          <w:p w14:paraId="706066EF"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p>
        </w:tc>
        <w:tc>
          <w:tcPr>
            <w:tcW w:w="1134" w:type="dxa"/>
            <w:shd w:val="clear" w:color="auto" w:fill="DEEAF6" w:themeFill="accent5" w:themeFillTint="33"/>
          </w:tcPr>
          <w:p w14:paraId="3D59CA6C"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Общо обитавани сгради</w:t>
            </w:r>
          </w:p>
        </w:tc>
        <w:tc>
          <w:tcPr>
            <w:tcW w:w="1134" w:type="dxa"/>
            <w:shd w:val="clear" w:color="auto" w:fill="DEEAF6" w:themeFill="accent5" w:themeFillTint="33"/>
          </w:tcPr>
          <w:p w14:paraId="38B764C8"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Къща</w:t>
            </w:r>
          </w:p>
        </w:tc>
        <w:tc>
          <w:tcPr>
            <w:tcW w:w="1276" w:type="dxa"/>
            <w:shd w:val="clear" w:color="auto" w:fill="DEEAF6" w:themeFill="accent5" w:themeFillTint="33"/>
          </w:tcPr>
          <w:p w14:paraId="6EA2146F"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Жилищен блок, кооперация</w:t>
            </w:r>
          </w:p>
        </w:tc>
        <w:tc>
          <w:tcPr>
            <w:tcW w:w="1275" w:type="dxa"/>
            <w:shd w:val="clear" w:color="auto" w:fill="DEEAF6" w:themeFill="accent5" w:themeFillTint="33"/>
          </w:tcPr>
          <w:p w14:paraId="5AF6E6FA"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Сграда от смесен тип (над 60% жилищна площ)</w:t>
            </w:r>
          </w:p>
        </w:tc>
        <w:tc>
          <w:tcPr>
            <w:tcW w:w="851" w:type="dxa"/>
            <w:shd w:val="clear" w:color="auto" w:fill="DEEAF6" w:themeFill="accent5" w:themeFillTint="33"/>
          </w:tcPr>
          <w:p w14:paraId="4D07DA03"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Общежитие</w:t>
            </w:r>
          </w:p>
        </w:tc>
        <w:tc>
          <w:tcPr>
            <w:tcW w:w="993" w:type="dxa"/>
            <w:shd w:val="clear" w:color="auto" w:fill="DEEAF6" w:themeFill="accent5" w:themeFillTint="33"/>
          </w:tcPr>
          <w:p w14:paraId="41439316"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Вила</w:t>
            </w:r>
          </w:p>
        </w:tc>
        <w:tc>
          <w:tcPr>
            <w:tcW w:w="1000" w:type="dxa"/>
            <w:shd w:val="clear" w:color="auto" w:fill="DEEAF6" w:themeFill="accent5" w:themeFillTint="33"/>
          </w:tcPr>
          <w:p w14:paraId="586E7F58"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20"/>
                <w:lang w:val="bg-BG" w:eastAsia="bg-BG"/>
              </w:rPr>
            </w:pPr>
            <w:r w:rsidRPr="006F3533">
              <w:rPr>
                <w:rFonts w:eastAsia="Times New Roman" w:cs="Calibri"/>
                <w:sz w:val="20"/>
                <w:lang w:val="bg-BG" w:eastAsia="bg-BG"/>
              </w:rPr>
              <w:t>Сграда за колективно домакинство</w:t>
            </w:r>
          </w:p>
        </w:tc>
      </w:tr>
      <w:tr w:rsidR="00E6313A" w:rsidRPr="006F3533" w14:paraId="6309880A"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noWrap/>
          </w:tcPr>
          <w:p w14:paraId="1502ECCC"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1 етаж</w:t>
            </w:r>
          </w:p>
        </w:tc>
        <w:tc>
          <w:tcPr>
            <w:tcW w:w="1134" w:type="dxa"/>
          </w:tcPr>
          <w:p w14:paraId="2C42FF4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535 689</w:t>
            </w:r>
          </w:p>
        </w:tc>
        <w:tc>
          <w:tcPr>
            <w:tcW w:w="1134" w:type="dxa"/>
          </w:tcPr>
          <w:p w14:paraId="21478D2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532 349</w:t>
            </w:r>
          </w:p>
        </w:tc>
        <w:tc>
          <w:tcPr>
            <w:tcW w:w="1276" w:type="dxa"/>
          </w:tcPr>
          <w:p w14:paraId="50FFB70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275" w:type="dxa"/>
          </w:tcPr>
          <w:p w14:paraId="7D1DBD3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851" w:type="dxa"/>
          </w:tcPr>
          <w:p w14:paraId="78F1DFB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63</w:t>
            </w:r>
          </w:p>
        </w:tc>
        <w:tc>
          <w:tcPr>
            <w:tcW w:w="993" w:type="dxa"/>
          </w:tcPr>
          <w:p w14:paraId="72207AC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3 134</w:t>
            </w:r>
          </w:p>
        </w:tc>
        <w:tc>
          <w:tcPr>
            <w:tcW w:w="1000" w:type="dxa"/>
          </w:tcPr>
          <w:p w14:paraId="6312CB2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143</w:t>
            </w:r>
          </w:p>
        </w:tc>
      </w:tr>
      <w:tr w:rsidR="00E6313A" w:rsidRPr="006F3533" w14:paraId="3766CD1B"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shd w:val="clear" w:color="auto" w:fill="DEEAF6" w:themeFill="accent5" w:themeFillTint="33"/>
            <w:noWrap/>
          </w:tcPr>
          <w:p w14:paraId="7FB4C9C9"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2 етажа</w:t>
            </w:r>
          </w:p>
        </w:tc>
        <w:tc>
          <w:tcPr>
            <w:tcW w:w="1134" w:type="dxa"/>
            <w:shd w:val="clear" w:color="auto" w:fill="DEEAF6" w:themeFill="accent5" w:themeFillTint="33"/>
          </w:tcPr>
          <w:p w14:paraId="55AE224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482 004</w:t>
            </w:r>
          </w:p>
        </w:tc>
        <w:tc>
          <w:tcPr>
            <w:tcW w:w="1134" w:type="dxa"/>
            <w:shd w:val="clear" w:color="auto" w:fill="DEEAF6" w:themeFill="accent5" w:themeFillTint="33"/>
          </w:tcPr>
          <w:p w14:paraId="1465B3D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475 542</w:t>
            </w:r>
          </w:p>
        </w:tc>
        <w:tc>
          <w:tcPr>
            <w:tcW w:w="1276" w:type="dxa"/>
            <w:shd w:val="clear" w:color="auto" w:fill="DEEAF6" w:themeFill="accent5" w:themeFillTint="33"/>
          </w:tcPr>
          <w:p w14:paraId="1CB0315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2 511</w:t>
            </w:r>
          </w:p>
        </w:tc>
        <w:tc>
          <w:tcPr>
            <w:tcW w:w="1275" w:type="dxa"/>
            <w:shd w:val="clear" w:color="auto" w:fill="DEEAF6" w:themeFill="accent5" w:themeFillTint="33"/>
          </w:tcPr>
          <w:p w14:paraId="2E61BD5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583</w:t>
            </w:r>
          </w:p>
        </w:tc>
        <w:tc>
          <w:tcPr>
            <w:tcW w:w="851" w:type="dxa"/>
            <w:shd w:val="clear" w:color="auto" w:fill="DEEAF6" w:themeFill="accent5" w:themeFillTint="33"/>
          </w:tcPr>
          <w:p w14:paraId="76A940D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56</w:t>
            </w:r>
          </w:p>
        </w:tc>
        <w:tc>
          <w:tcPr>
            <w:tcW w:w="993" w:type="dxa"/>
            <w:shd w:val="clear" w:color="auto" w:fill="DEEAF6" w:themeFill="accent5" w:themeFillTint="33"/>
          </w:tcPr>
          <w:p w14:paraId="5629659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3 011</w:t>
            </w:r>
          </w:p>
        </w:tc>
        <w:tc>
          <w:tcPr>
            <w:tcW w:w="1000" w:type="dxa"/>
            <w:shd w:val="clear" w:color="auto" w:fill="DEEAF6" w:themeFill="accent5" w:themeFillTint="33"/>
          </w:tcPr>
          <w:p w14:paraId="0D2AA0C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301</w:t>
            </w:r>
          </w:p>
        </w:tc>
      </w:tr>
      <w:tr w:rsidR="00E6313A" w:rsidRPr="006F3533" w14:paraId="7DCD13EA"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noWrap/>
          </w:tcPr>
          <w:p w14:paraId="7DD76457"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3 етажа</w:t>
            </w:r>
          </w:p>
        </w:tc>
        <w:tc>
          <w:tcPr>
            <w:tcW w:w="1134" w:type="dxa"/>
          </w:tcPr>
          <w:p w14:paraId="4B314E2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70 878</w:t>
            </w:r>
          </w:p>
        </w:tc>
        <w:tc>
          <w:tcPr>
            <w:tcW w:w="1134" w:type="dxa"/>
          </w:tcPr>
          <w:p w14:paraId="3D8FDB0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57 693</w:t>
            </w:r>
          </w:p>
        </w:tc>
        <w:tc>
          <w:tcPr>
            <w:tcW w:w="1276" w:type="dxa"/>
          </w:tcPr>
          <w:p w14:paraId="52D353F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12 127</w:t>
            </w:r>
          </w:p>
        </w:tc>
        <w:tc>
          <w:tcPr>
            <w:tcW w:w="1275" w:type="dxa"/>
          </w:tcPr>
          <w:p w14:paraId="104A220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539</w:t>
            </w:r>
          </w:p>
        </w:tc>
        <w:tc>
          <w:tcPr>
            <w:tcW w:w="851" w:type="dxa"/>
          </w:tcPr>
          <w:p w14:paraId="0708F9F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30</w:t>
            </w:r>
          </w:p>
        </w:tc>
        <w:tc>
          <w:tcPr>
            <w:tcW w:w="993" w:type="dxa"/>
          </w:tcPr>
          <w:p w14:paraId="7E6AE0E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395</w:t>
            </w:r>
          </w:p>
        </w:tc>
        <w:tc>
          <w:tcPr>
            <w:tcW w:w="1000" w:type="dxa"/>
          </w:tcPr>
          <w:p w14:paraId="654406F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94</w:t>
            </w:r>
          </w:p>
        </w:tc>
      </w:tr>
      <w:tr w:rsidR="00E6313A" w:rsidRPr="006F3533" w14:paraId="446A77DF"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shd w:val="clear" w:color="auto" w:fill="DEEAF6" w:themeFill="accent5" w:themeFillTint="33"/>
            <w:noWrap/>
          </w:tcPr>
          <w:p w14:paraId="3F81E973"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4 етажа</w:t>
            </w:r>
          </w:p>
        </w:tc>
        <w:tc>
          <w:tcPr>
            <w:tcW w:w="1134" w:type="dxa"/>
            <w:shd w:val="clear" w:color="auto" w:fill="DEEAF6" w:themeFill="accent5" w:themeFillTint="33"/>
          </w:tcPr>
          <w:p w14:paraId="75E5BAE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20 982</w:t>
            </w:r>
          </w:p>
        </w:tc>
        <w:tc>
          <w:tcPr>
            <w:tcW w:w="1134" w:type="dxa"/>
            <w:shd w:val="clear" w:color="auto" w:fill="DEEAF6" w:themeFill="accent5" w:themeFillTint="33"/>
          </w:tcPr>
          <w:p w14:paraId="0940908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276" w:type="dxa"/>
            <w:shd w:val="clear" w:color="auto" w:fill="DEEAF6" w:themeFill="accent5" w:themeFillTint="33"/>
          </w:tcPr>
          <w:p w14:paraId="0CF660A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20 464</w:t>
            </w:r>
          </w:p>
        </w:tc>
        <w:tc>
          <w:tcPr>
            <w:tcW w:w="1275" w:type="dxa"/>
            <w:shd w:val="clear" w:color="auto" w:fill="DEEAF6" w:themeFill="accent5" w:themeFillTint="33"/>
          </w:tcPr>
          <w:p w14:paraId="62E6513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415</w:t>
            </w:r>
          </w:p>
        </w:tc>
        <w:tc>
          <w:tcPr>
            <w:tcW w:w="851" w:type="dxa"/>
            <w:shd w:val="clear" w:color="auto" w:fill="DEEAF6" w:themeFill="accent5" w:themeFillTint="33"/>
          </w:tcPr>
          <w:p w14:paraId="38C76CF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36</w:t>
            </w:r>
          </w:p>
        </w:tc>
        <w:tc>
          <w:tcPr>
            <w:tcW w:w="993" w:type="dxa"/>
            <w:shd w:val="clear" w:color="auto" w:fill="DEEAF6" w:themeFill="accent5" w:themeFillTint="33"/>
          </w:tcPr>
          <w:p w14:paraId="55AB6D4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35</w:t>
            </w:r>
          </w:p>
        </w:tc>
        <w:tc>
          <w:tcPr>
            <w:tcW w:w="1000" w:type="dxa"/>
            <w:shd w:val="clear" w:color="auto" w:fill="DEEAF6" w:themeFill="accent5" w:themeFillTint="33"/>
          </w:tcPr>
          <w:p w14:paraId="2C8D510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32</w:t>
            </w:r>
          </w:p>
        </w:tc>
      </w:tr>
      <w:tr w:rsidR="00E6313A" w:rsidRPr="006F3533" w14:paraId="27C97A09"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noWrap/>
          </w:tcPr>
          <w:p w14:paraId="4385894B"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5 етажа</w:t>
            </w:r>
          </w:p>
        </w:tc>
        <w:tc>
          <w:tcPr>
            <w:tcW w:w="1134" w:type="dxa"/>
          </w:tcPr>
          <w:p w14:paraId="74F0CF9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16 495</w:t>
            </w:r>
          </w:p>
        </w:tc>
        <w:tc>
          <w:tcPr>
            <w:tcW w:w="1134" w:type="dxa"/>
          </w:tcPr>
          <w:p w14:paraId="5557FF4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276" w:type="dxa"/>
          </w:tcPr>
          <w:p w14:paraId="2BE8847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16 084</w:t>
            </w:r>
          </w:p>
        </w:tc>
        <w:tc>
          <w:tcPr>
            <w:tcW w:w="1275" w:type="dxa"/>
          </w:tcPr>
          <w:p w14:paraId="122F460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353</w:t>
            </w:r>
          </w:p>
        </w:tc>
        <w:tc>
          <w:tcPr>
            <w:tcW w:w="851" w:type="dxa"/>
          </w:tcPr>
          <w:p w14:paraId="3A9EC1E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37</w:t>
            </w:r>
          </w:p>
        </w:tc>
        <w:tc>
          <w:tcPr>
            <w:tcW w:w="993" w:type="dxa"/>
          </w:tcPr>
          <w:p w14:paraId="7782883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w:t>
            </w:r>
          </w:p>
        </w:tc>
        <w:tc>
          <w:tcPr>
            <w:tcW w:w="1000" w:type="dxa"/>
          </w:tcPr>
          <w:p w14:paraId="65AFE3F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18</w:t>
            </w:r>
          </w:p>
        </w:tc>
      </w:tr>
      <w:tr w:rsidR="00E6313A" w:rsidRPr="006F3533" w14:paraId="1856419C"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shd w:val="clear" w:color="auto" w:fill="DEEAF6" w:themeFill="accent5" w:themeFillTint="33"/>
            <w:noWrap/>
          </w:tcPr>
          <w:p w14:paraId="775B760B"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6 етажа</w:t>
            </w:r>
          </w:p>
        </w:tc>
        <w:tc>
          <w:tcPr>
            <w:tcW w:w="1134" w:type="dxa"/>
            <w:shd w:val="clear" w:color="auto" w:fill="DEEAF6" w:themeFill="accent5" w:themeFillTint="33"/>
          </w:tcPr>
          <w:p w14:paraId="0ACC8ED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10 452</w:t>
            </w:r>
          </w:p>
        </w:tc>
        <w:tc>
          <w:tcPr>
            <w:tcW w:w="1134" w:type="dxa"/>
            <w:shd w:val="clear" w:color="auto" w:fill="DEEAF6" w:themeFill="accent5" w:themeFillTint="33"/>
          </w:tcPr>
          <w:p w14:paraId="649097E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276" w:type="dxa"/>
            <w:shd w:val="clear" w:color="auto" w:fill="DEEAF6" w:themeFill="accent5" w:themeFillTint="33"/>
          </w:tcPr>
          <w:p w14:paraId="1A209C4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10 178</w:t>
            </w:r>
          </w:p>
        </w:tc>
        <w:tc>
          <w:tcPr>
            <w:tcW w:w="1275" w:type="dxa"/>
            <w:shd w:val="clear" w:color="auto" w:fill="DEEAF6" w:themeFill="accent5" w:themeFillTint="33"/>
          </w:tcPr>
          <w:p w14:paraId="70178F4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248</w:t>
            </w:r>
          </w:p>
        </w:tc>
        <w:tc>
          <w:tcPr>
            <w:tcW w:w="851" w:type="dxa"/>
            <w:shd w:val="clear" w:color="auto" w:fill="DEEAF6" w:themeFill="accent5" w:themeFillTint="33"/>
          </w:tcPr>
          <w:p w14:paraId="52E087E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23</w:t>
            </w:r>
          </w:p>
        </w:tc>
        <w:tc>
          <w:tcPr>
            <w:tcW w:w="993" w:type="dxa"/>
            <w:shd w:val="clear" w:color="auto" w:fill="DEEAF6" w:themeFill="accent5" w:themeFillTint="33"/>
          </w:tcPr>
          <w:p w14:paraId="0ACBC07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000" w:type="dxa"/>
            <w:shd w:val="clear" w:color="auto" w:fill="DEEAF6" w:themeFill="accent5" w:themeFillTint="33"/>
          </w:tcPr>
          <w:p w14:paraId="45A2F9C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w:t>
            </w:r>
          </w:p>
        </w:tc>
      </w:tr>
      <w:tr w:rsidR="00E6313A" w:rsidRPr="006F3533" w14:paraId="3AE2D0AF"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noWrap/>
          </w:tcPr>
          <w:p w14:paraId="401FB51E"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7 етажа</w:t>
            </w:r>
          </w:p>
        </w:tc>
        <w:tc>
          <w:tcPr>
            <w:tcW w:w="1134" w:type="dxa"/>
          </w:tcPr>
          <w:p w14:paraId="1B7429A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5 450</w:t>
            </w:r>
          </w:p>
        </w:tc>
        <w:tc>
          <w:tcPr>
            <w:tcW w:w="1134" w:type="dxa"/>
          </w:tcPr>
          <w:p w14:paraId="526D9DE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276" w:type="dxa"/>
          </w:tcPr>
          <w:p w14:paraId="524FFC1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5 279</w:t>
            </w:r>
          </w:p>
        </w:tc>
        <w:tc>
          <w:tcPr>
            <w:tcW w:w="1275" w:type="dxa"/>
          </w:tcPr>
          <w:p w14:paraId="6186CF4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158</w:t>
            </w:r>
          </w:p>
        </w:tc>
        <w:tc>
          <w:tcPr>
            <w:tcW w:w="851" w:type="dxa"/>
          </w:tcPr>
          <w:p w14:paraId="0BCAB73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11</w:t>
            </w:r>
          </w:p>
        </w:tc>
        <w:tc>
          <w:tcPr>
            <w:tcW w:w="993" w:type="dxa"/>
          </w:tcPr>
          <w:p w14:paraId="7AE3FD2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000" w:type="dxa"/>
          </w:tcPr>
          <w:p w14:paraId="17733C7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w:t>
            </w:r>
          </w:p>
        </w:tc>
      </w:tr>
      <w:tr w:rsidR="00E6313A" w:rsidRPr="006F3533" w14:paraId="131BCB62"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shd w:val="clear" w:color="auto" w:fill="DEEAF6" w:themeFill="accent5" w:themeFillTint="33"/>
            <w:noWrap/>
          </w:tcPr>
          <w:p w14:paraId="2A6C994D"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8 етажа</w:t>
            </w:r>
          </w:p>
        </w:tc>
        <w:tc>
          <w:tcPr>
            <w:tcW w:w="1134" w:type="dxa"/>
            <w:shd w:val="clear" w:color="auto" w:fill="DEEAF6" w:themeFill="accent5" w:themeFillTint="33"/>
          </w:tcPr>
          <w:p w14:paraId="2341DCA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7 132</w:t>
            </w:r>
          </w:p>
        </w:tc>
        <w:tc>
          <w:tcPr>
            <w:tcW w:w="1134" w:type="dxa"/>
            <w:shd w:val="clear" w:color="auto" w:fill="DEEAF6" w:themeFill="accent5" w:themeFillTint="33"/>
          </w:tcPr>
          <w:p w14:paraId="30BA45D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276" w:type="dxa"/>
            <w:shd w:val="clear" w:color="auto" w:fill="DEEAF6" w:themeFill="accent5" w:themeFillTint="33"/>
          </w:tcPr>
          <w:p w14:paraId="7516F14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7 001</w:t>
            </w:r>
          </w:p>
        </w:tc>
        <w:tc>
          <w:tcPr>
            <w:tcW w:w="1275" w:type="dxa"/>
            <w:shd w:val="clear" w:color="auto" w:fill="DEEAF6" w:themeFill="accent5" w:themeFillTint="33"/>
          </w:tcPr>
          <w:p w14:paraId="0C33CB6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79</w:t>
            </w:r>
          </w:p>
        </w:tc>
        <w:tc>
          <w:tcPr>
            <w:tcW w:w="851" w:type="dxa"/>
            <w:shd w:val="clear" w:color="auto" w:fill="DEEAF6" w:themeFill="accent5" w:themeFillTint="33"/>
          </w:tcPr>
          <w:p w14:paraId="3A0FCDC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51</w:t>
            </w:r>
          </w:p>
        </w:tc>
        <w:tc>
          <w:tcPr>
            <w:tcW w:w="993" w:type="dxa"/>
            <w:shd w:val="clear" w:color="auto" w:fill="DEEAF6" w:themeFill="accent5" w:themeFillTint="33"/>
          </w:tcPr>
          <w:p w14:paraId="0B55C8C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000" w:type="dxa"/>
            <w:shd w:val="clear" w:color="auto" w:fill="DEEAF6" w:themeFill="accent5" w:themeFillTint="33"/>
          </w:tcPr>
          <w:p w14:paraId="75031A7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w:t>
            </w:r>
          </w:p>
        </w:tc>
      </w:tr>
      <w:tr w:rsidR="00E6313A" w:rsidRPr="006F3533" w14:paraId="2EBAF55B"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noWrap/>
          </w:tcPr>
          <w:p w14:paraId="2C563B41"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9 етажа</w:t>
            </w:r>
          </w:p>
        </w:tc>
        <w:tc>
          <w:tcPr>
            <w:tcW w:w="1134" w:type="dxa"/>
          </w:tcPr>
          <w:p w14:paraId="032BFF7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1 497</w:t>
            </w:r>
          </w:p>
        </w:tc>
        <w:tc>
          <w:tcPr>
            <w:tcW w:w="1134" w:type="dxa"/>
          </w:tcPr>
          <w:p w14:paraId="49F50DD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276" w:type="dxa"/>
          </w:tcPr>
          <w:p w14:paraId="5920CA1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1 454</w:t>
            </w:r>
          </w:p>
        </w:tc>
        <w:tc>
          <w:tcPr>
            <w:tcW w:w="1275" w:type="dxa"/>
          </w:tcPr>
          <w:p w14:paraId="59F6F00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35</w:t>
            </w:r>
          </w:p>
        </w:tc>
        <w:tc>
          <w:tcPr>
            <w:tcW w:w="851" w:type="dxa"/>
          </w:tcPr>
          <w:p w14:paraId="71627A6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w:t>
            </w:r>
          </w:p>
        </w:tc>
        <w:tc>
          <w:tcPr>
            <w:tcW w:w="993" w:type="dxa"/>
          </w:tcPr>
          <w:p w14:paraId="69FDCC8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000" w:type="dxa"/>
          </w:tcPr>
          <w:p w14:paraId="489C497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w:t>
            </w:r>
          </w:p>
        </w:tc>
      </w:tr>
      <w:tr w:rsidR="00E6313A" w:rsidRPr="006F3533" w14:paraId="42559649"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shd w:val="clear" w:color="auto" w:fill="DEEAF6" w:themeFill="accent5" w:themeFillTint="33"/>
            <w:noWrap/>
          </w:tcPr>
          <w:p w14:paraId="55637475"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10 и повече етажа</w:t>
            </w:r>
          </w:p>
        </w:tc>
        <w:tc>
          <w:tcPr>
            <w:tcW w:w="1134" w:type="dxa"/>
            <w:shd w:val="clear" w:color="auto" w:fill="DEEAF6" w:themeFill="accent5" w:themeFillTint="33"/>
          </w:tcPr>
          <w:p w14:paraId="6377828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2 399</w:t>
            </w:r>
          </w:p>
        </w:tc>
        <w:tc>
          <w:tcPr>
            <w:tcW w:w="1134" w:type="dxa"/>
            <w:shd w:val="clear" w:color="auto" w:fill="DEEAF6" w:themeFill="accent5" w:themeFillTint="33"/>
          </w:tcPr>
          <w:p w14:paraId="7AD7163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276" w:type="dxa"/>
            <w:shd w:val="clear" w:color="auto" w:fill="DEEAF6" w:themeFill="accent5" w:themeFillTint="33"/>
          </w:tcPr>
          <w:p w14:paraId="287CE78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2 330</w:t>
            </w:r>
          </w:p>
        </w:tc>
        <w:tc>
          <w:tcPr>
            <w:tcW w:w="1275" w:type="dxa"/>
            <w:shd w:val="clear" w:color="auto" w:fill="DEEAF6" w:themeFill="accent5" w:themeFillTint="33"/>
          </w:tcPr>
          <w:p w14:paraId="5ACBA12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40</w:t>
            </w:r>
          </w:p>
        </w:tc>
        <w:tc>
          <w:tcPr>
            <w:tcW w:w="851" w:type="dxa"/>
            <w:shd w:val="clear" w:color="auto" w:fill="DEEAF6" w:themeFill="accent5" w:themeFillTint="33"/>
          </w:tcPr>
          <w:p w14:paraId="50F13C7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29</w:t>
            </w:r>
          </w:p>
        </w:tc>
        <w:tc>
          <w:tcPr>
            <w:tcW w:w="993" w:type="dxa"/>
            <w:shd w:val="clear" w:color="auto" w:fill="DEEAF6" w:themeFill="accent5" w:themeFillTint="33"/>
          </w:tcPr>
          <w:p w14:paraId="51A9740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1000" w:type="dxa"/>
            <w:shd w:val="clear" w:color="auto" w:fill="DEEAF6" w:themeFill="accent5" w:themeFillTint="33"/>
          </w:tcPr>
          <w:p w14:paraId="6CD4FF5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r>
      <w:tr w:rsidR="00E6313A" w:rsidRPr="006F3533" w14:paraId="0A3CAD22" w14:textId="77777777" w:rsidTr="00541E06">
        <w:trPr>
          <w:trHeight w:val="20"/>
        </w:trPr>
        <w:tc>
          <w:tcPr>
            <w:cnfStyle w:val="001000000000" w:firstRow="0" w:lastRow="0" w:firstColumn="1" w:lastColumn="0" w:oddVBand="0" w:evenVBand="0" w:oddHBand="0" w:evenHBand="0" w:firstRowFirstColumn="0" w:firstRowLastColumn="0" w:lastRowFirstColumn="0" w:lastRowLastColumn="0"/>
            <w:tcW w:w="1413" w:type="dxa"/>
            <w:noWrap/>
          </w:tcPr>
          <w:p w14:paraId="68733FF7" w14:textId="77777777" w:rsidR="00E6313A" w:rsidRPr="006F3533" w:rsidRDefault="00E6313A" w:rsidP="00541E06">
            <w:pPr>
              <w:spacing w:before="100" w:beforeAutospacing="1" w:after="100" w:afterAutospacing="1"/>
              <w:rPr>
                <w:rFonts w:eastAsia="Times New Roman" w:cs="Calibri"/>
                <w:b w:val="0"/>
                <w:bCs w:val="0"/>
                <w:sz w:val="20"/>
                <w:lang w:val="bg-BG" w:eastAsia="bg-BG"/>
              </w:rPr>
            </w:pPr>
            <w:r w:rsidRPr="006F3533">
              <w:rPr>
                <w:rFonts w:eastAsia="Times New Roman" w:cs="Calibri"/>
                <w:sz w:val="20"/>
                <w:lang w:val="bg-BG" w:eastAsia="bg-BG"/>
              </w:rPr>
              <w:t>Общо</w:t>
            </w:r>
          </w:p>
        </w:tc>
        <w:tc>
          <w:tcPr>
            <w:tcW w:w="1134" w:type="dxa"/>
          </w:tcPr>
          <w:p w14:paraId="2869D19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1 152 978</w:t>
            </w:r>
          </w:p>
        </w:tc>
        <w:tc>
          <w:tcPr>
            <w:tcW w:w="1134" w:type="dxa"/>
          </w:tcPr>
          <w:p w14:paraId="7E99F55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1 065 584</w:t>
            </w:r>
          </w:p>
        </w:tc>
        <w:tc>
          <w:tcPr>
            <w:tcW w:w="1276" w:type="dxa"/>
          </w:tcPr>
          <w:p w14:paraId="73666EA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77 428</w:t>
            </w:r>
          </w:p>
        </w:tc>
        <w:tc>
          <w:tcPr>
            <w:tcW w:w="1275" w:type="dxa"/>
          </w:tcPr>
          <w:p w14:paraId="3BB12C7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2 450</w:t>
            </w:r>
          </w:p>
        </w:tc>
        <w:tc>
          <w:tcPr>
            <w:tcW w:w="851" w:type="dxa"/>
          </w:tcPr>
          <w:p w14:paraId="17043CB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343</w:t>
            </w:r>
          </w:p>
        </w:tc>
        <w:tc>
          <w:tcPr>
            <w:tcW w:w="993" w:type="dxa"/>
          </w:tcPr>
          <w:p w14:paraId="189AA7C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6 578</w:t>
            </w:r>
          </w:p>
        </w:tc>
        <w:tc>
          <w:tcPr>
            <w:tcW w:w="1000" w:type="dxa"/>
          </w:tcPr>
          <w:p w14:paraId="0024437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595</w:t>
            </w:r>
          </w:p>
        </w:tc>
      </w:tr>
    </w:tbl>
    <w:p w14:paraId="54CAABB9"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7E2AAD2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Съвсем различна е картината при многофамилните жилищни сгради (жилищни блокове и кооперации). Тук етажността е основен идентификатор на конструктивния тип. От общо 77 428 обитавани жилищни блока едва 2 511 (3,2%) са на два етажа, което ги прави практически незначителна подгрупа. Огромната част от блоковете – 96,8%, са на три и </w:t>
      </w:r>
      <w:r w:rsidRPr="006F3533">
        <w:rPr>
          <w:rFonts w:eastAsia="Times New Roman" w:cs="Times New Roman"/>
          <w:szCs w:val="24"/>
          <w:lang w:val="bg-BG" w:eastAsia="bg-BG"/>
        </w:rPr>
        <w:lastRenderedPageBreak/>
        <w:t xml:space="preserve">повече етажа, а 54,7% са на пет и повече етажа. Това е напълно логично предвид периода на индустриализация на строителството между 1960–1990 г., когато се въвеждат едропанелните и </w:t>
      </w:r>
      <w:proofErr w:type="spellStart"/>
      <w:r w:rsidRPr="006F3533">
        <w:rPr>
          <w:rFonts w:eastAsia="Times New Roman" w:cs="Times New Roman"/>
          <w:szCs w:val="24"/>
          <w:lang w:val="bg-BG" w:eastAsia="bg-BG"/>
        </w:rPr>
        <w:t>едроплощните</w:t>
      </w:r>
      <w:proofErr w:type="spellEnd"/>
      <w:r w:rsidRPr="006F3533">
        <w:rPr>
          <w:rFonts w:eastAsia="Times New Roman" w:cs="Times New Roman"/>
          <w:szCs w:val="24"/>
          <w:lang w:val="bg-BG" w:eastAsia="bg-BG"/>
        </w:rPr>
        <w:t xml:space="preserve"> кофражни технологии, проектирани именно за средно- и високоетажно строителство:</w:t>
      </w:r>
    </w:p>
    <w:p w14:paraId="4642146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над 10 етажа – 3% от блоковете,</w:t>
      </w:r>
    </w:p>
    <w:p w14:paraId="7016704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между 8 и 9 етажа – 10,9 %,</w:t>
      </w:r>
    </w:p>
    <w:p w14:paraId="27DEA6C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между 6 и 7 етажа – около 20%,</w:t>
      </w:r>
    </w:p>
    <w:p w14:paraId="23B1806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Поради това жилищните блокове с висока етажност (над 6 етажа) са предимно разпространени в големите градове – София, Пловдив, Варна, Бургас, Русе – а в малките населени места практически липсват. Високоетажните сгради са едновременно ключови за енергийното обновяване поради своята концентрация на жилища и полезна площ, и сложни поради големия брой самостоятелни обекти и трудностите при вземане на решения в режим на етажна собственост.</w:t>
      </w:r>
    </w:p>
    <w:p w14:paraId="6B97D445"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Разпределението на сградите по етажност има и важно техническо измерение. Обичайно едноетажните и двуетажните еднофамилни жилищни сгради са изграждани със </w:t>
      </w:r>
      <w:proofErr w:type="spellStart"/>
      <w:r w:rsidRPr="006F3533">
        <w:rPr>
          <w:rFonts w:eastAsia="Times New Roman" w:cs="Times New Roman"/>
          <w:szCs w:val="24"/>
          <w:lang w:val="bg-BG" w:eastAsia="bg-BG"/>
        </w:rPr>
        <w:t>скатни</w:t>
      </w:r>
      <w:proofErr w:type="spellEnd"/>
      <w:r w:rsidRPr="006F3533">
        <w:rPr>
          <w:rFonts w:eastAsia="Times New Roman" w:cs="Times New Roman"/>
          <w:szCs w:val="24"/>
          <w:lang w:val="bg-BG" w:eastAsia="bg-BG"/>
        </w:rPr>
        <w:t xml:space="preserve"> покриви, което отразява средата на традиционното строителство и климатичните особености. В многофамилните сгради обаче типът покрив е функция от етажността и конструктивната система. Експертният анализ позволява следната оценка:</w:t>
      </w:r>
    </w:p>
    <w:p w14:paraId="3AB747A3" w14:textId="77777777" w:rsidR="00E6313A" w:rsidRPr="006F3533" w:rsidRDefault="00E6313A" w:rsidP="00551FED">
      <w:pPr>
        <w:numPr>
          <w:ilvl w:val="0"/>
          <w:numId w:val="110"/>
        </w:numPr>
        <w:spacing w:before="100" w:beforeAutospacing="1" w:after="100" w:afterAutospacing="1" w:line="240" w:lineRule="auto"/>
        <w:ind w:left="0"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при сгради до три етажа, особено кооперации от периода 1950–1980 г., преобладават </w:t>
      </w:r>
      <w:proofErr w:type="spellStart"/>
      <w:r w:rsidRPr="006F3533">
        <w:rPr>
          <w:rFonts w:eastAsia="Times New Roman" w:cs="Times New Roman"/>
          <w:szCs w:val="24"/>
          <w:lang w:val="bg-BG" w:eastAsia="bg-BG"/>
        </w:rPr>
        <w:t>скатните</w:t>
      </w:r>
      <w:proofErr w:type="spellEnd"/>
      <w:r w:rsidRPr="006F3533">
        <w:rPr>
          <w:rFonts w:eastAsia="Times New Roman" w:cs="Times New Roman"/>
          <w:szCs w:val="24"/>
          <w:lang w:val="bg-BG" w:eastAsia="bg-BG"/>
        </w:rPr>
        <w:t xml:space="preserve"> покриви,</w:t>
      </w:r>
    </w:p>
    <w:p w14:paraId="244419B3" w14:textId="77777777" w:rsidR="00E6313A" w:rsidRPr="006F3533" w:rsidRDefault="00E6313A" w:rsidP="00551FED">
      <w:pPr>
        <w:numPr>
          <w:ilvl w:val="0"/>
          <w:numId w:val="110"/>
        </w:numPr>
        <w:spacing w:before="100" w:beforeAutospacing="1" w:after="100" w:afterAutospacing="1" w:line="240" w:lineRule="auto"/>
        <w:ind w:left="0"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при сгради на 4–5 етажа съотношението между </w:t>
      </w:r>
      <w:proofErr w:type="spellStart"/>
      <w:r w:rsidRPr="006F3533">
        <w:rPr>
          <w:rFonts w:eastAsia="Times New Roman" w:cs="Times New Roman"/>
          <w:szCs w:val="24"/>
          <w:lang w:val="bg-BG" w:eastAsia="bg-BG"/>
        </w:rPr>
        <w:t>скатни</w:t>
      </w:r>
      <w:proofErr w:type="spellEnd"/>
      <w:r w:rsidRPr="006F3533">
        <w:rPr>
          <w:rFonts w:eastAsia="Times New Roman" w:cs="Times New Roman"/>
          <w:szCs w:val="24"/>
          <w:lang w:val="bg-BG" w:eastAsia="bg-BG"/>
        </w:rPr>
        <w:t xml:space="preserve"> и плоски покриви е приблизително балансирано,</w:t>
      </w:r>
    </w:p>
    <w:p w14:paraId="639AA791" w14:textId="77777777" w:rsidR="00E6313A" w:rsidRPr="006F3533" w:rsidRDefault="00E6313A" w:rsidP="00551FED">
      <w:pPr>
        <w:numPr>
          <w:ilvl w:val="0"/>
          <w:numId w:val="110"/>
        </w:numPr>
        <w:spacing w:before="100" w:beforeAutospacing="1" w:after="100" w:afterAutospacing="1" w:line="240" w:lineRule="auto"/>
        <w:ind w:left="0"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при 6 и повече етажа доминират плоските покриви (тип „плосък студен“ или „плосък топъл“), характерни за индустриалните системи (ПК, ЕПК, ППП и др.).</w:t>
      </w:r>
    </w:p>
    <w:p w14:paraId="3F1B40B7" w14:textId="77777777" w:rsidR="00E6313A" w:rsidRDefault="00E6313A" w:rsidP="00E6313A">
      <w:pPr>
        <w:spacing w:before="100" w:beforeAutospacing="1" w:after="100" w:afterAutospacing="1" w:line="240" w:lineRule="auto"/>
        <w:contextualSpacing/>
        <w:jc w:val="both"/>
        <w:rPr>
          <w:rFonts w:eastAsia="Times New Roman" w:cs="Times New Roman"/>
          <w:szCs w:val="24"/>
          <w:lang w:val="bg-BG" w:eastAsia="bg-BG"/>
        </w:rPr>
      </w:pPr>
    </w:p>
    <w:p w14:paraId="73EF0D66" w14:textId="77777777" w:rsidR="00372360" w:rsidRDefault="00372360" w:rsidP="00E6313A">
      <w:pPr>
        <w:spacing w:before="100" w:beforeAutospacing="1" w:after="100" w:afterAutospacing="1" w:line="240" w:lineRule="auto"/>
        <w:contextualSpacing/>
        <w:jc w:val="both"/>
        <w:rPr>
          <w:rFonts w:eastAsia="Times New Roman" w:cs="Times New Roman"/>
          <w:szCs w:val="24"/>
          <w:lang w:val="bg-BG" w:eastAsia="bg-BG"/>
        </w:rPr>
      </w:pPr>
    </w:p>
    <w:p w14:paraId="79086790" w14:textId="77777777" w:rsidR="00372360" w:rsidRPr="006F3533" w:rsidRDefault="00372360" w:rsidP="00E6313A">
      <w:pPr>
        <w:spacing w:before="100" w:beforeAutospacing="1" w:after="100" w:afterAutospacing="1" w:line="240" w:lineRule="auto"/>
        <w:contextualSpacing/>
        <w:jc w:val="both"/>
        <w:rPr>
          <w:rFonts w:eastAsia="Times New Roman" w:cs="Times New Roman"/>
          <w:szCs w:val="24"/>
          <w:lang w:val="bg-BG" w:eastAsia="bg-BG"/>
        </w:rPr>
      </w:pPr>
    </w:p>
    <w:p w14:paraId="138E7A8F" w14:textId="77777777" w:rsidR="00E6313A" w:rsidRPr="006F3533" w:rsidRDefault="00E6313A" w:rsidP="00E6313A">
      <w:pPr>
        <w:spacing w:line="240" w:lineRule="auto"/>
        <w:jc w:val="both"/>
        <w:rPr>
          <w:rFonts w:cs="Times New Roman"/>
          <w:i/>
          <w:iCs/>
          <w:color w:val="0070C0"/>
          <w:szCs w:val="24"/>
          <w:lang w:val="bg-BG"/>
        </w:rPr>
      </w:pPr>
      <w:bookmarkStart w:id="49" w:name="_Toc216777099"/>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7</w:t>
      </w:r>
      <w:r w:rsidRPr="006F3533">
        <w:rPr>
          <w:rFonts w:cs="Times New Roman"/>
          <w:i/>
          <w:iCs/>
          <w:color w:val="0070C0"/>
          <w:szCs w:val="24"/>
          <w:lang w:val="bg-BG"/>
        </w:rPr>
        <w:fldChar w:fldCharType="end"/>
      </w:r>
      <w:r w:rsidRPr="006F3533">
        <w:rPr>
          <w:rFonts w:cs="Times New Roman"/>
          <w:i/>
          <w:iCs/>
          <w:color w:val="0070C0"/>
          <w:szCs w:val="24"/>
          <w:lang w:val="bg-BG"/>
        </w:rPr>
        <w:t>: Експертно разпределение на видовете покриви при жилищни блокове и кооперации, според етажността</w:t>
      </w:r>
      <w:bookmarkEnd w:id="49"/>
    </w:p>
    <w:tbl>
      <w:tblPr>
        <w:tblStyle w:val="GridTable4-Accent51"/>
        <w:tblW w:w="0" w:type="auto"/>
        <w:tblLook w:val="04A0" w:firstRow="1" w:lastRow="0" w:firstColumn="1" w:lastColumn="0" w:noHBand="0" w:noVBand="1"/>
      </w:tblPr>
      <w:tblGrid>
        <w:gridCol w:w="1035"/>
        <w:gridCol w:w="1462"/>
        <w:gridCol w:w="1702"/>
        <w:gridCol w:w="1127"/>
        <w:gridCol w:w="1136"/>
        <w:gridCol w:w="2600"/>
      </w:tblGrid>
      <w:tr w:rsidR="00E6313A" w:rsidRPr="006F3533" w14:paraId="32778A36" w14:textId="77777777" w:rsidTr="00541E06">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auto"/>
          </w:tcPr>
          <w:p w14:paraId="5C007DC4" w14:textId="77777777" w:rsidR="00E6313A" w:rsidRPr="006F3533" w:rsidRDefault="00E6313A" w:rsidP="00541E06">
            <w:pPr>
              <w:spacing w:before="100" w:beforeAutospacing="1" w:after="100" w:afterAutospacing="1"/>
              <w:jc w:val="center"/>
              <w:rPr>
                <w:rFonts w:eastAsia="Times New Roman" w:cs="Times New Roman"/>
                <w:b w:val="0"/>
                <w:bCs w:val="0"/>
                <w:sz w:val="20"/>
                <w:lang w:val="bg-BG" w:eastAsia="bg-BG"/>
              </w:rPr>
            </w:pPr>
            <w:r w:rsidRPr="006F3533">
              <w:rPr>
                <w:rFonts w:eastAsia="Times New Roman" w:cs="Times New Roman"/>
                <w:sz w:val="20"/>
                <w:lang w:val="bg-BG" w:eastAsia="bg-BG"/>
              </w:rPr>
              <w:t>Етажност</w:t>
            </w:r>
          </w:p>
        </w:tc>
        <w:tc>
          <w:tcPr>
            <w:tcW w:w="0" w:type="auto"/>
          </w:tcPr>
          <w:p w14:paraId="19E59C6D"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 w:val="20"/>
                <w:lang w:val="bg-BG" w:eastAsia="bg-BG"/>
              </w:rPr>
            </w:pPr>
            <w:r w:rsidRPr="006F3533">
              <w:rPr>
                <w:rFonts w:eastAsia="Times New Roman" w:cs="Times New Roman"/>
                <w:sz w:val="20"/>
                <w:lang w:val="bg-BG" w:eastAsia="bg-BG"/>
              </w:rPr>
              <w:t>Дял от всички блокове</w:t>
            </w:r>
          </w:p>
        </w:tc>
        <w:tc>
          <w:tcPr>
            <w:tcW w:w="0" w:type="auto"/>
          </w:tcPr>
          <w:p w14:paraId="18AEBB5F"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 w:val="20"/>
                <w:lang w:val="bg-BG" w:eastAsia="bg-BG"/>
              </w:rPr>
            </w:pPr>
            <w:r w:rsidRPr="006F3533">
              <w:rPr>
                <w:rFonts w:eastAsia="Times New Roman" w:cs="Times New Roman"/>
                <w:sz w:val="20"/>
                <w:lang w:val="bg-BG" w:eastAsia="bg-BG"/>
              </w:rPr>
              <w:t>Вероятен тип покрив</w:t>
            </w:r>
          </w:p>
        </w:tc>
        <w:tc>
          <w:tcPr>
            <w:tcW w:w="0" w:type="auto"/>
          </w:tcPr>
          <w:p w14:paraId="0256E0B7"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 w:val="20"/>
                <w:lang w:val="bg-BG" w:eastAsia="bg-BG"/>
              </w:rPr>
            </w:pPr>
            <w:proofErr w:type="spellStart"/>
            <w:r w:rsidRPr="006F3533">
              <w:rPr>
                <w:rFonts w:eastAsia="Times New Roman" w:cs="Times New Roman"/>
                <w:sz w:val="20"/>
                <w:lang w:val="bg-BG" w:eastAsia="bg-BG"/>
              </w:rPr>
              <w:t>Скатни</w:t>
            </w:r>
            <w:proofErr w:type="spellEnd"/>
            <w:r w:rsidRPr="006F3533">
              <w:rPr>
                <w:rFonts w:eastAsia="Times New Roman" w:cs="Times New Roman"/>
                <w:sz w:val="20"/>
                <w:lang w:val="bg-BG" w:eastAsia="bg-BG"/>
              </w:rPr>
              <w:t xml:space="preserve"> покриви</w:t>
            </w:r>
          </w:p>
        </w:tc>
        <w:tc>
          <w:tcPr>
            <w:tcW w:w="0" w:type="auto"/>
          </w:tcPr>
          <w:p w14:paraId="59F77E9B"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 w:val="20"/>
                <w:lang w:val="bg-BG" w:eastAsia="bg-BG"/>
              </w:rPr>
            </w:pPr>
            <w:r w:rsidRPr="006F3533">
              <w:rPr>
                <w:rFonts w:eastAsia="Times New Roman" w:cs="Times New Roman"/>
                <w:sz w:val="20"/>
                <w:lang w:val="bg-BG" w:eastAsia="bg-BG"/>
              </w:rPr>
              <w:t>Плоски покриви</w:t>
            </w:r>
          </w:p>
        </w:tc>
        <w:tc>
          <w:tcPr>
            <w:tcW w:w="0" w:type="auto"/>
          </w:tcPr>
          <w:p w14:paraId="06C0EE03"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 w:val="20"/>
                <w:lang w:val="bg-BG" w:eastAsia="bg-BG"/>
              </w:rPr>
            </w:pPr>
            <w:r w:rsidRPr="006F3533">
              <w:rPr>
                <w:rFonts w:eastAsia="Times New Roman" w:cs="Times New Roman"/>
                <w:sz w:val="20"/>
                <w:lang w:val="bg-BG" w:eastAsia="bg-BG"/>
              </w:rPr>
              <w:t>Аргументация</w:t>
            </w:r>
          </w:p>
        </w:tc>
      </w:tr>
      <w:tr w:rsidR="00E6313A" w:rsidRPr="006F3533" w14:paraId="6F1D19EB" w14:textId="77777777" w:rsidTr="00541E06">
        <w:trPr>
          <w:trHeight w:val="567"/>
        </w:trPr>
        <w:tc>
          <w:tcPr>
            <w:cnfStyle w:val="001000000000" w:firstRow="0" w:lastRow="0" w:firstColumn="1" w:lastColumn="0" w:oddVBand="0" w:evenVBand="0" w:oddHBand="0" w:evenHBand="0" w:firstRowFirstColumn="0" w:firstRowLastColumn="0" w:lastRowFirstColumn="0" w:lastRowLastColumn="0"/>
            <w:tcW w:w="0" w:type="auto"/>
            <w:shd w:val="clear" w:color="auto" w:fill="DEEAF6" w:themeFill="accent5" w:themeFillTint="33"/>
          </w:tcPr>
          <w:p w14:paraId="2EFDF809"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1–2 етажа</w:t>
            </w:r>
          </w:p>
        </w:tc>
        <w:tc>
          <w:tcPr>
            <w:tcW w:w="0" w:type="auto"/>
            <w:shd w:val="clear" w:color="auto" w:fill="DEEAF6" w:themeFill="accent5" w:themeFillTint="33"/>
          </w:tcPr>
          <w:p w14:paraId="6021308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0%–3% (единични случаи)</w:t>
            </w:r>
          </w:p>
        </w:tc>
        <w:tc>
          <w:tcPr>
            <w:tcW w:w="0" w:type="auto"/>
            <w:shd w:val="clear" w:color="auto" w:fill="DEEAF6" w:themeFill="accent5" w:themeFillTint="33"/>
          </w:tcPr>
          <w:p w14:paraId="744ED0C0"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proofErr w:type="spellStart"/>
            <w:r w:rsidRPr="006F3533">
              <w:rPr>
                <w:rFonts w:eastAsia="Times New Roman" w:cs="Times New Roman"/>
                <w:sz w:val="20"/>
                <w:lang w:val="bg-BG" w:eastAsia="bg-BG"/>
              </w:rPr>
              <w:t>скатен</w:t>
            </w:r>
            <w:proofErr w:type="spellEnd"/>
          </w:p>
        </w:tc>
        <w:tc>
          <w:tcPr>
            <w:tcW w:w="0" w:type="auto"/>
            <w:shd w:val="clear" w:color="auto" w:fill="DEEAF6" w:themeFill="accent5" w:themeFillTint="33"/>
          </w:tcPr>
          <w:p w14:paraId="0EAB5AAD"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90%</w:t>
            </w:r>
          </w:p>
        </w:tc>
        <w:tc>
          <w:tcPr>
            <w:tcW w:w="0" w:type="auto"/>
            <w:shd w:val="clear" w:color="auto" w:fill="DEEAF6" w:themeFill="accent5" w:themeFillTint="33"/>
          </w:tcPr>
          <w:p w14:paraId="5EC25B50"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10%</w:t>
            </w:r>
          </w:p>
        </w:tc>
        <w:tc>
          <w:tcPr>
            <w:tcW w:w="0" w:type="auto"/>
            <w:shd w:val="clear" w:color="auto" w:fill="DEEAF6" w:themeFill="accent5" w:themeFillTint="33"/>
          </w:tcPr>
          <w:p w14:paraId="6135FC4E"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Рядко срещани блокове; предимно кооперации в малки градове.</w:t>
            </w:r>
          </w:p>
        </w:tc>
      </w:tr>
      <w:tr w:rsidR="00E6313A" w:rsidRPr="006F3533" w14:paraId="65BAA840" w14:textId="77777777" w:rsidTr="00541E06">
        <w:trPr>
          <w:trHeight w:val="567"/>
        </w:trPr>
        <w:tc>
          <w:tcPr>
            <w:cnfStyle w:val="001000000000" w:firstRow="0" w:lastRow="0" w:firstColumn="1" w:lastColumn="0" w:oddVBand="0" w:evenVBand="0" w:oddHBand="0" w:evenHBand="0" w:firstRowFirstColumn="0" w:firstRowLastColumn="0" w:lastRowFirstColumn="0" w:lastRowLastColumn="0"/>
            <w:tcW w:w="0" w:type="auto"/>
          </w:tcPr>
          <w:p w14:paraId="4A78478E"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3 етажа</w:t>
            </w:r>
          </w:p>
        </w:tc>
        <w:tc>
          <w:tcPr>
            <w:tcW w:w="0" w:type="auto"/>
          </w:tcPr>
          <w:p w14:paraId="035DDDBE"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16%</w:t>
            </w:r>
          </w:p>
        </w:tc>
        <w:tc>
          <w:tcPr>
            <w:tcW w:w="0" w:type="auto"/>
          </w:tcPr>
          <w:p w14:paraId="43107C9E"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 xml:space="preserve">смесено, преобладава </w:t>
            </w:r>
            <w:proofErr w:type="spellStart"/>
            <w:r w:rsidRPr="006F3533">
              <w:rPr>
                <w:rFonts w:eastAsia="Times New Roman" w:cs="Times New Roman"/>
                <w:sz w:val="20"/>
                <w:lang w:val="bg-BG" w:eastAsia="bg-BG"/>
              </w:rPr>
              <w:t>скатен</w:t>
            </w:r>
            <w:proofErr w:type="spellEnd"/>
          </w:p>
        </w:tc>
        <w:tc>
          <w:tcPr>
            <w:tcW w:w="0" w:type="auto"/>
          </w:tcPr>
          <w:p w14:paraId="6A8994E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80%</w:t>
            </w:r>
          </w:p>
        </w:tc>
        <w:tc>
          <w:tcPr>
            <w:tcW w:w="0" w:type="auto"/>
          </w:tcPr>
          <w:p w14:paraId="3B2199FD"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20%</w:t>
            </w:r>
          </w:p>
        </w:tc>
        <w:tc>
          <w:tcPr>
            <w:tcW w:w="0" w:type="auto"/>
          </w:tcPr>
          <w:p w14:paraId="131D4A5E"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Кооперации от 1950–1980 г., традиционно строителство.</w:t>
            </w:r>
          </w:p>
        </w:tc>
      </w:tr>
      <w:tr w:rsidR="00E6313A" w:rsidRPr="006F3533" w14:paraId="0B753BFF" w14:textId="77777777" w:rsidTr="00541E06">
        <w:trPr>
          <w:trHeight w:val="567"/>
        </w:trPr>
        <w:tc>
          <w:tcPr>
            <w:cnfStyle w:val="001000000000" w:firstRow="0" w:lastRow="0" w:firstColumn="1" w:lastColumn="0" w:oddVBand="0" w:evenVBand="0" w:oddHBand="0" w:evenHBand="0" w:firstRowFirstColumn="0" w:firstRowLastColumn="0" w:lastRowFirstColumn="0" w:lastRowLastColumn="0"/>
            <w:tcW w:w="0" w:type="auto"/>
            <w:shd w:val="clear" w:color="auto" w:fill="DEEAF6" w:themeFill="accent5" w:themeFillTint="33"/>
          </w:tcPr>
          <w:p w14:paraId="44D5909E"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4 етажа</w:t>
            </w:r>
          </w:p>
        </w:tc>
        <w:tc>
          <w:tcPr>
            <w:tcW w:w="0" w:type="auto"/>
            <w:shd w:val="clear" w:color="auto" w:fill="DEEAF6" w:themeFill="accent5" w:themeFillTint="33"/>
          </w:tcPr>
          <w:p w14:paraId="5019D06B"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26%</w:t>
            </w:r>
          </w:p>
        </w:tc>
        <w:tc>
          <w:tcPr>
            <w:tcW w:w="0" w:type="auto"/>
            <w:shd w:val="clear" w:color="auto" w:fill="DEEAF6" w:themeFill="accent5" w:themeFillTint="33"/>
          </w:tcPr>
          <w:p w14:paraId="095D7C9B"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 xml:space="preserve">смесено, преобладава </w:t>
            </w:r>
            <w:proofErr w:type="spellStart"/>
            <w:r w:rsidRPr="006F3533">
              <w:rPr>
                <w:rFonts w:eastAsia="Times New Roman" w:cs="Times New Roman"/>
                <w:sz w:val="20"/>
                <w:lang w:val="bg-BG" w:eastAsia="bg-BG"/>
              </w:rPr>
              <w:t>скатен</w:t>
            </w:r>
            <w:proofErr w:type="spellEnd"/>
          </w:p>
        </w:tc>
        <w:tc>
          <w:tcPr>
            <w:tcW w:w="0" w:type="auto"/>
            <w:shd w:val="clear" w:color="auto" w:fill="DEEAF6" w:themeFill="accent5" w:themeFillTint="33"/>
          </w:tcPr>
          <w:p w14:paraId="6281F0B7"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70%</w:t>
            </w:r>
          </w:p>
        </w:tc>
        <w:tc>
          <w:tcPr>
            <w:tcW w:w="0" w:type="auto"/>
            <w:shd w:val="clear" w:color="auto" w:fill="DEEAF6" w:themeFill="accent5" w:themeFillTint="33"/>
          </w:tcPr>
          <w:p w14:paraId="2DFC9557"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30%</w:t>
            </w:r>
          </w:p>
        </w:tc>
        <w:tc>
          <w:tcPr>
            <w:tcW w:w="0" w:type="auto"/>
            <w:shd w:val="clear" w:color="auto" w:fill="DEEAF6" w:themeFill="accent5" w:themeFillTint="33"/>
          </w:tcPr>
          <w:p w14:paraId="4DFA03EB"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Кооперации от 1950–1980 г., традиционно строителство.</w:t>
            </w:r>
          </w:p>
        </w:tc>
      </w:tr>
      <w:tr w:rsidR="00E6313A" w:rsidRPr="006F3533" w14:paraId="1B1F778A" w14:textId="77777777" w:rsidTr="00541E06">
        <w:trPr>
          <w:trHeight w:val="567"/>
        </w:trPr>
        <w:tc>
          <w:tcPr>
            <w:cnfStyle w:val="001000000000" w:firstRow="0" w:lastRow="0" w:firstColumn="1" w:lastColumn="0" w:oddVBand="0" w:evenVBand="0" w:oddHBand="0" w:evenHBand="0" w:firstRowFirstColumn="0" w:firstRowLastColumn="0" w:lastRowFirstColumn="0" w:lastRowLastColumn="0"/>
            <w:tcW w:w="0" w:type="auto"/>
          </w:tcPr>
          <w:p w14:paraId="2B8B4F26"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5 етажа</w:t>
            </w:r>
          </w:p>
        </w:tc>
        <w:tc>
          <w:tcPr>
            <w:tcW w:w="0" w:type="auto"/>
          </w:tcPr>
          <w:p w14:paraId="1A683069"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21%</w:t>
            </w:r>
          </w:p>
        </w:tc>
        <w:tc>
          <w:tcPr>
            <w:tcW w:w="0" w:type="auto"/>
          </w:tcPr>
          <w:p w14:paraId="2A15EA30"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преобладава плосък</w:t>
            </w:r>
          </w:p>
        </w:tc>
        <w:tc>
          <w:tcPr>
            <w:tcW w:w="0" w:type="auto"/>
          </w:tcPr>
          <w:p w14:paraId="25C5F633"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40%</w:t>
            </w:r>
          </w:p>
        </w:tc>
        <w:tc>
          <w:tcPr>
            <w:tcW w:w="0" w:type="auto"/>
          </w:tcPr>
          <w:p w14:paraId="3682D64C"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60%</w:t>
            </w:r>
          </w:p>
        </w:tc>
        <w:tc>
          <w:tcPr>
            <w:tcW w:w="0" w:type="auto"/>
          </w:tcPr>
          <w:p w14:paraId="5463FE4B"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Блокове тип БС-69, ТЦ-67, ПК и др.</w:t>
            </w:r>
          </w:p>
        </w:tc>
      </w:tr>
      <w:tr w:rsidR="00E6313A" w:rsidRPr="006F3533" w14:paraId="52DA0C11" w14:textId="77777777" w:rsidTr="00541E06">
        <w:trPr>
          <w:trHeight w:val="567"/>
        </w:trPr>
        <w:tc>
          <w:tcPr>
            <w:cnfStyle w:val="001000000000" w:firstRow="0" w:lastRow="0" w:firstColumn="1" w:lastColumn="0" w:oddVBand="0" w:evenVBand="0" w:oddHBand="0" w:evenHBand="0" w:firstRowFirstColumn="0" w:firstRowLastColumn="0" w:lastRowFirstColumn="0" w:lastRowLastColumn="0"/>
            <w:tcW w:w="0" w:type="auto"/>
            <w:shd w:val="clear" w:color="auto" w:fill="DEEAF6" w:themeFill="accent5" w:themeFillTint="33"/>
          </w:tcPr>
          <w:p w14:paraId="21399904"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lastRenderedPageBreak/>
              <w:t>6 етажа</w:t>
            </w:r>
          </w:p>
        </w:tc>
        <w:tc>
          <w:tcPr>
            <w:tcW w:w="0" w:type="auto"/>
            <w:shd w:val="clear" w:color="auto" w:fill="DEEAF6" w:themeFill="accent5" w:themeFillTint="33"/>
          </w:tcPr>
          <w:p w14:paraId="39AFE48D"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13%</w:t>
            </w:r>
          </w:p>
        </w:tc>
        <w:tc>
          <w:tcPr>
            <w:tcW w:w="0" w:type="auto"/>
            <w:shd w:val="clear" w:color="auto" w:fill="DEEAF6" w:themeFill="accent5" w:themeFillTint="33"/>
          </w:tcPr>
          <w:p w14:paraId="2BDFD49C"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почти изцяло плосък</w:t>
            </w:r>
          </w:p>
        </w:tc>
        <w:tc>
          <w:tcPr>
            <w:tcW w:w="0" w:type="auto"/>
            <w:shd w:val="clear" w:color="auto" w:fill="DEEAF6" w:themeFill="accent5" w:themeFillTint="33"/>
          </w:tcPr>
          <w:p w14:paraId="44EC20EA"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w:t>
            </w:r>
          </w:p>
        </w:tc>
        <w:tc>
          <w:tcPr>
            <w:tcW w:w="0" w:type="auto"/>
            <w:shd w:val="clear" w:color="auto" w:fill="DEEAF6" w:themeFill="accent5" w:themeFillTint="33"/>
          </w:tcPr>
          <w:p w14:paraId="31B78C59"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95%</w:t>
            </w:r>
          </w:p>
        </w:tc>
        <w:tc>
          <w:tcPr>
            <w:tcW w:w="0" w:type="auto"/>
            <w:shd w:val="clear" w:color="auto" w:fill="DEEAF6" w:themeFill="accent5" w:themeFillTint="33"/>
          </w:tcPr>
          <w:p w14:paraId="698FF5EA"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Индустриални системи, типични за големите градове.</w:t>
            </w:r>
          </w:p>
        </w:tc>
      </w:tr>
      <w:tr w:rsidR="00E6313A" w:rsidRPr="006F3533" w14:paraId="276CF225" w14:textId="77777777" w:rsidTr="00541E06">
        <w:trPr>
          <w:trHeight w:val="567"/>
        </w:trPr>
        <w:tc>
          <w:tcPr>
            <w:cnfStyle w:val="001000000000" w:firstRow="0" w:lastRow="0" w:firstColumn="1" w:lastColumn="0" w:oddVBand="0" w:evenVBand="0" w:oddHBand="0" w:evenHBand="0" w:firstRowFirstColumn="0" w:firstRowLastColumn="0" w:lastRowFirstColumn="0" w:lastRowLastColumn="0"/>
            <w:tcW w:w="0" w:type="auto"/>
          </w:tcPr>
          <w:p w14:paraId="120DBDE6"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7 етажа</w:t>
            </w:r>
          </w:p>
        </w:tc>
        <w:tc>
          <w:tcPr>
            <w:tcW w:w="0" w:type="auto"/>
          </w:tcPr>
          <w:p w14:paraId="343ACC3D"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w:t>
            </w:r>
          </w:p>
        </w:tc>
        <w:tc>
          <w:tcPr>
            <w:tcW w:w="0" w:type="auto"/>
          </w:tcPr>
          <w:p w14:paraId="4EBA1607"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почти изцяло плосък</w:t>
            </w:r>
          </w:p>
        </w:tc>
        <w:tc>
          <w:tcPr>
            <w:tcW w:w="0" w:type="auto"/>
          </w:tcPr>
          <w:p w14:paraId="53EBEA86"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w:t>
            </w:r>
          </w:p>
        </w:tc>
        <w:tc>
          <w:tcPr>
            <w:tcW w:w="0" w:type="auto"/>
          </w:tcPr>
          <w:p w14:paraId="1C910AAC"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95%</w:t>
            </w:r>
          </w:p>
        </w:tc>
        <w:tc>
          <w:tcPr>
            <w:tcW w:w="0" w:type="auto"/>
          </w:tcPr>
          <w:p w14:paraId="035322DC"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Високо строителство, изискващо плоски покриви.</w:t>
            </w:r>
          </w:p>
        </w:tc>
      </w:tr>
      <w:tr w:rsidR="00E6313A" w:rsidRPr="006F3533" w14:paraId="3B71BBD0" w14:textId="77777777" w:rsidTr="00541E06">
        <w:trPr>
          <w:trHeight w:val="567"/>
        </w:trPr>
        <w:tc>
          <w:tcPr>
            <w:cnfStyle w:val="001000000000" w:firstRow="0" w:lastRow="0" w:firstColumn="1" w:lastColumn="0" w:oddVBand="0" w:evenVBand="0" w:oddHBand="0" w:evenHBand="0" w:firstRowFirstColumn="0" w:firstRowLastColumn="0" w:lastRowFirstColumn="0" w:lastRowLastColumn="0"/>
            <w:tcW w:w="0" w:type="auto"/>
            <w:shd w:val="clear" w:color="auto" w:fill="DEEAF6" w:themeFill="accent5" w:themeFillTint="33"/>
          </w:tcPr>
          <w:p w14:paraId="19922CF8"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8 етажа</w:t>
            </w:r>
          </w:p>
        </w:tc>
        <w:tc>
          <w:tcPr>
            <w:tcW w:w="0" w:type="auto"/>
            <w:shd w:val="clear" w:color="auto" w:fill="DEEAF6" w:themeFill="accent5" w:themeFillTint="33"/>
          </w:tcPr>
          <w:p w14:paraId="17D3E111"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9%</w:t>
            </w:r>
          </w:p>
        </w:tc>
        <w:tc>
          <w:tcPr>
            <w:tcW w:w="0" w:type="auto"/>
            <w:shd w:val="clear" w:color="auto" w:fill="DEEAF6" w:themeFill="accent5" w:themeFillTint="33"/>
          </w:tcPr>
          <w:p w14:paraId="366DFAC7"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плосък</w:t>
            </w:r>
          </w:p>
        </w:tc>
        <w:tc>
          <w:tcPr>
            <w:tcW w:w="0" w:type="auto"/>
            <w:shd w:val="clear" w:color="auto" w:fill="DEEAF6" w:themeFill="accent5" w:themeFillTint="33"/>
          </w:tcPr>
          <w:p w14:paraId="343A8793"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w:t>
            </w:r>
          </w:p>
        </w:tc>
        <w:tc>
          <w:tcPr>
            <w:tcW w:w="0" w:type="auto"/>
            <w:shd w:val="clear" w:color="auto" w:fill="DEEAF6" w:themeFill="accent5" w:themeFillTint="33"/>
          </w:tcPr>
          <w:p w14:paraId="446FDFBA"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98%</w:t>
            </w:r>
          </w:p>
        </w:tc>
        <w:tc>
          <w:tcPr>
            <w:tcW w:w="0" w:type="auto"/>
            <w:shd w:val="clear" w:color="auto" w:fill="DEEAF6" w:themeFill="accent5" w:themeFillTint="33"/>
          </w:tcPr>
          <w:p w14:paraId="12E6CDCC"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Типови проекти от 70–80-те години.</w:t>
            </w:r>
          </w:p>
        </w:tc>
      </w:tr>
      <w:tr w:rsidR="00E6313A" w:rsidRPr="006F3533" w14:paraId="285DEF57" w14:textId="77777777" w:rsidTr="00541E06">
        <w:trPr>
          <w:trHeight w:val="567"/>
        </w:trPr>
        <w:tc>
          <w:tcPr>
            <w:cnfStyle w:val="001000000000" w:firstRow="0" w:lastRow="0" w:firstColumn="1" w:lastColumn="0" w:oddVBand="0" w:evenVBand="0" w:oddHBand="0" w:evenHBand="0" w:firstRowFirstColumn="0" w:firstRowLastColumn="0" w:lastRowFirstColumn="0" w:lastRowLastColumn="0"/>
            <w:tcW w:w="0" w:type="auto"/>
          </w:tcPr>
          <w:p w14:paraId="153EF6F4"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9 етажа</w:t>
            </w:r>
          </w:p>
        </w:tc>
        <w:tc>
          <w:tcPr>
            <w:tcW w:w="0" w:type="auto"/>
          </w:tcPr>
          <w:p w14:paraId="2B94A0B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w:t>
            </w:r>
          </w:p>
        </w:tc>
        <w:tc>
          <w:tcPr>
            <w:tcW w:w="0" w:type="auto"/>
          </w:tcPr>
          <w:p w14:paraId="7FE58D06"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плосък</w:t>
            </w:r>
          </w:p>
        </w:tc>
        <w:tc>
          <w:tcPr>
            <w:tcW w:w="0" w:type="auto"/>
          </w:tcPr>
          <w:p w14:paraId="2460208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w:t>
            </w:r>
          </w:p>
        </w:tc>
        <w:tc>
          <w:tcPr>
            <w:tcW w:w="0" w:type="auto"/>
          </w:tcPr>
          <w:p w14:paraId="16CBE27C"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99%</w:t>
            </w:r>
          </w:p>
        </w:tc>
        <w:tc>
          <w:tcPr>
            <w:tcW w:w="0" w:type="auto"/>
          </w:tcPr>
          <w:p w14:paraId="26BC7EEC"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ЕПК и масови индустриални системи.</w:t>
            </w:r>
          </w:p>
        </w:tc>
      </w:tr>
      <w:tr w:rsidR="00E6313A" w:rsidRPr="006F3533" w14:paraId="380A69F7" w14:textId="77777777" w:rsidTr="00541E06">
        <w:trPr>
          <w:trHeight w:val="567"/>
        </w:trPr>
        <w:tc>
          <w:tcPr>
            <w:cnfStyle w:val="001000000000" w:firstRow="0" w:lastRow="0" w:firstColumn="1" w:lastColumn="0" w:oddVBand="0" w:evenVBand="0" w:oddHBand="0" w:evenHBand="0" w:firstRowFirstColumn="0" w:firstRowLastColumn="0" w:lastRowFirstColumn="0" w:lastRowLastColumn="0"/>
            <w:tcW w:w="0" w:type="auto"/>
            <w:shd w:val="clear" w:color="auto" w:fill="DEEAF6" w:themeFill="accent5" w:themeFillTint="33"/>
          </w:tcPr>
          <w:p w14:paraId="36B39AA6"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10+ етажа</w:t>
            </w:r>
          </w:p>
        </w:tc>
        <w:tc>
          <w:tcPr>
            <w:tcW w:w="0" w:type="auto"/>
            <w:shd w:val="clear" w:color="auto" w:fill="DEEAF6" w:themeFill="accent5" w:themeFillTint="33"/>
          </w:tcPr>
          <w:p w14:paraId="23409511"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w:t>
            </w:r>
          </w:p>
        </w:tc>
        <w:tc>
          <w:tcPr>
            <w:tcW w:w="0" w:type="auto"/>
            <w:shd w:val="clear" w:color="auto" w:fill="DEEAF6" w:themeFill="accent5" w:themeFillTint="33"/>
          </w:tcPr>
          <w:p w14:paraId="7FA380F1"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плосък</w:t>
            </w:r>
          </w:p>
        </w:tc>
        <w:tc>
          <w:tcPr>
            <w:tcW w:w="0" w:type="auto"/>
            <w:shd w:val="clear" w:color="auto" w:fill="DEEAF6" w:themeFill="accent5" w:themeFillTint="33"/>
          </w:tcPr>
          <w:p w14:paraId="3E96A09A"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0" w:type="auto"/>
            <w:shd w:val="clear" w:color="auto" w:fill="DEEAF6" w:themeFill="accent5" w:themeFillTint="33"/>
          </w:tcPr>
          <w:p w14:paraId="339C01F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100%</w:t>
            </w:r>
          </w:p>
        </w:tc>
        <w:tc>
          <w:tcPr>
            <w:tcW w:w="0" w:type="auto"/>
            <w:shd w:val="clear" w:color="auto" w:fill="DEEAF6" w:themeFill="accent5" w:themeFillTint="33"/>
          </w:tcPr>
          <w:p w14:paraId="03037E21" w14:textId="77777777" w:rsidR="00E6313A" w:rsidRPr="006F3533" w:rsidRDefault="00E6313A" w:rsidP="00541E06">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Високо строителство – нормативно и конструктивно определено.</w:t>
            </w:r>
          </w:p>
        </w:tc>
      </w:tr>
    </w:tbl>
    <w:p w14:paraId="0290087F"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Експертна оценка по данни на НСИ, Преброяване на населението и жилищния фонд 2021 г.</w:t>
      </w:r>
    </w:p>
    <w:p w14:paraId="6AA2997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Въз основа на разпределението по етажност в таблицата може да се направи експертна оценка, че около 65% от жилищните блокове и кооперации в страната са с плосък покрив, докато останалите 35% са с различни разновидности на </w:t>
      </w:r>
      <w:proofErr w:type="spellStart"/>
      <w:r w:rsidRPr="006F3533">
        <w:rPr>
          <w:rFonts w:eastAsia="Times New Roman" w:cs="Times New Roman"/>
          <w:szCs w:val="24"/>
          <w:lang w:val="bg-BG" w:eastAsia="bg-BG"/>
        </w:rPr>
        <w:t>скатен</w:t>
      </w:r>
      <w:proofErr w:type="spellEnd"/>
      <w:r w:rsidRPr="006F3533">
        <w:rPr>
          <w:rFonts w:eastAsia="Times New Roman" w:cs="Times New Roman"/>
          <w:szCs w:val="24"/>
          <w:lang w:val="bg-BG" w:eastAsia="bg-BG"/>
        </w:rPr>
        <w:t xml:space="preserve"> покрив. Тази структурна пропорция е от съществено значение при планиране на мерките за енергийно обновяване, тъй като ремонтът на </w:t>
      </w:r>
      <w:proofErr w:type="spellStart"/>
      <w:r w:rsidRPr="006F3533">
        <w:rPr>
          <w:rFonts w:eastAsia="Times New Roman" w:cs="Times New Roman"/>
          <w:szCs w:val="24"/>
          <w:lang w:val="bg-BG" w:eastAsia="bg-BG"/>
        </w:rPr>
        <w:t>скатните</w:t>
      </w:r>
      <w:proofErr w:type="spellEnd"/>
      <w:r w:rsidRPr="006F3533">
        <w:rPr>
          <w:rFonts w:eastAsia="Times New Roman" w:cs="Times New Roman"/>
          <w:szCs w:val="24"/>
          <w:lang w:val="bg-BG" w:eastAsia="bg-BG"/>
        </w:rPr>
        <w:t xml:space="preserve"> покриви представлява един от най-съществените разходни елементи в обновяването, както на еднофамилните, така и на многофамилните жилищни сгради. </w:t>
      </w:r>
    </w:p>
    <w:p w14:paraId="7AE7812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Етажността на сградите от смесен тип, общежитията, вилите и сградите за колективно домакинство показва различни функционални и териториални особености, които ги разграничават както от еднофамилните жилищни сгради, така и от жилищните блокове.</w:t>
      </w:r>
    </w:p>
    <w:p w14:paraId="1E532BE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Сградите от смесен тип (над 60% жилищна площ) са сравнително малобройни, но се отличават със значително по-висока етажност в сравнение с къщите. Повече от половината от тях (54%) са четири и повече етажа, което отразява тяхната градска локализация и комбинираните им функции — жилищни обекти, разположени над търговски, офисни или обслужващи помещения. Наличието на такъв тип структури е характерно за централните части на градовете, където етажността се определя от икономията на пространство и по-висока интензивност на застрояване. </w:t>
      </w:r>
    </w:p>
    <w:p w14:paraId="77C842A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Етажността на общежитията в страната показва структура, която ги доближава до многофамилните жилищни сгради, но с по-равномерно разпределение между ниско- и средноетажното застрояване. Данните показват, че 43% от общежитията са с височина до три етажа, докато 57% са на четири и повече етажа. Това означава, че повече от половината общежития са конструкции със средна и висока етажност, характерни за сградите, изграждани в периода 1960–1990 г. за нуждите на предприятия, университети и професионални училища.</w:t>
      </w:r>
    </w:p>
    <w:p w14:paraId="58B2565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Съвсем различна е структурата на сградите за колективно домакинство, където етажността е ясно доминирана от ниските категории. Около 90% от тези сгради са до три етажа, като преобладават двуетажни и триетажни структури, изграждани в различни периоди за нуждите на социални институции (домове за деца, домове за възрастни хора) или други колективни форми на обитаване. Техният нискоетажен профил отразява </w:t>
      </w:r>
      <w:r w:rsidRPr="006F3533">
        <w:rPr>
          <w:rFonts w:eastAsia="Times New Roman" w:cs="Times New Roman"/>
          <w:szCs w:val="24"/>
          <w:lang w:val="bg-BG" w:eastAsia="bg-BG"/>
        </w:rPr>
        <w:lastRenderedPageBreak/>
        <w:t>предназначението им: необходимост от по-големи застроени площи в хоризонтална посока, осигуряване на достъпност, пожарна безопасност и възможност за организация на обитаване в по-малки групи. Вилите съща са почти изцяло нискоетажни. Над 93% от тях са едноетажни или двуетажни.</w:t>
      </w:r>
    </w:p>
    <w:p w14:paraId="4CA8091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proofErr w:type="spellStart"/>
      <w:r w:rsidRPr="006F3533">
        <w:rPr>
          <w:rFonts w:eastAsia="Times New Roman" w:cs="Times New Roman"/>
          <w:szCs w:val="24"/>
          <w:lang w:val="bg-BG" w:eastAsia="bg-BG"/>
        </w:rPr>
        <w:t>Етажностният</w:t>
      </w:r>
      <w:proofErr w:type="spellEnd"/>
      <w:r w:rsidRPr="006F3533">
        <w:rPr>
          <w:rFonts w:eastAsia="Times New Roman" w:cs="Times New Roman"/>
          <w:szCs w:val="24"/>
          <w:lang w:val="bg-BG" w:eastAsia="bg-BG"/>
        </w:rPr>
        <w:t xml:space="preserve"> профил доказва, че политиките за енергийна ефективност трябва да бъдат диференцирани: многофамилните сгради с висока и средна етажност трябва да бъдат водещ приоритет за дълбоко обновяване, докато при еднофамилните сгради са необходими гъвкави механизми, насочени към постигане на поетапни енергийни подобрения при приемлива инвестиционна тежест. </w:t>
      </w:r>
    </w:p>
    <w:p w14:paraId="6572D435"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обобщение, </w:t>
      </w:r>
      <w:proofErr w:type="spellStart"/>
      <w:r w:rsidRPr="006F3533">
        <w:rPr>
          <w:rFonts w:eastAsia="Times New Roman" w:cs="Times New Roman"/>
          <w:szCs w:val="24"/>
          <w:lang w:val="bg-BG" w:eastAsia="bg-BG"/>
        </w:rPr>
        <w:t>етажностният</w:t>
      </w:r>
      <w:proofErr w:type="spellEnd"/>
      <w:r w:rsidRPr="006F3533">
        <w:rPr>
          <w:rFonts w:eastAsia="Times New Roman" w:cs="Times New Roman"/>
          <w:szCs w:val="24"/>
          <w:lang w:val="bg-BG" w:eastAsia="bg-BG"/>
        </w:rPr>
        <w:t xml:space="preserve"> профил на жилищния фонд ясно показва необходимостта политиките за енергийна ефективност да бъдат </w:t>
      </w:r>
      <w:r w:rsidRPr="006F3533">
        <w:rPr>
          <w:rFonts w:eastAsia="Times New Roman" w:cs="Times New Roman"/>
          <w:b/>
          <w:bCs/>
          <w:szCs w:val="24"/>
          <w:lang w:val="bg-BG" w:eastAsia="bg-BG"/>
        </w:rPr>
        <w:t>диференцирани според конструктивните и експлоатационните особености на различните видове сгради.</w:t>
      </w:r>
      <w:r w:rsidRPr="006F3533">
        <w:rPr>
          <w:rFonts w:eastAsia="Times New Roman" w:cs="Times New Roman"/>
          <w:szCs w:val="24"/>
          <w:lang w:val="bg-BG" w:eastAsia="bg-BG"/>
        </w:rPr>
        <w:t xml:space="preserve"> Многофамилните жилищни сгради със средна и висока етажност следва да бъдат водещ приоритет за дълбоко енергийно обновяване, тъй като концентрират най-големия потенциал за спестяване на енергия и позволяват реализиране на значителни икономии от мащаба. Тяхната конструктивна специфика допълнително подкрепя този приоритет: въз основа на разпределението по етажност може да се направи експертна оценка, че около 65% от жилищните блокове и кооперации в страната са изградени с плосък покрив, характерен за индустриалните строителни системи, а останалите 35% — със </w:t>
      </w:r>
      <w:proofErr w:type="spellStart"/>
      <w:r w:rsidRPr="006F3533">
        <w:rPr>
          <w:rFonts w:eastAsia="Times New Roman" w:cs="Times New Roman"/>
          <w:szCs w:val="24"/>
          <w:lang w:val="bg-BG" w:eastAsia="bg-BG"/>
        </w:rPr>
        <w:t>скатен</w:t>
      </w:r>
      <w:proofErr w:type="spellEnd"/>
      <w:r w:rsidRPr="006F3533">
        <w:rPr>
          <w:rFonts w:eastAsia="Times New Roman" w:cs="Times New Roman"/>
          <w:szCs w:val="24"/>
          <w:lang w:val="bg-BG" w:eastAsia="bg-BG"/>
        </w:rPr>
        <w:t xml:space="preserve"> покрив, типичен за нискоетажните кооперации от 50-те и 60-те години. Тази покривна морфология има съществено значение при планирането на мерките за енергийно обновяване. Ремонтът или подмяната на покривната конструкция е един от най-големите разходни компоненти при цялостното обновяване на многофамилните сгради със </w:t>
      </w:r>
      <w:proofErr w:type="spellStart"/>
      <w:r w:rsidRPr="006F3533">
        <w:rPr>
          <w:rFonts w:eastAsia="Times New Roman" w:cs="Times New Roman"/>
          <w:szCs w:val="24"/>
          <w:lang w:val="bg-BG" w:eastAsia="bg-BG"/>
        </w:rPr>
        <w:t>скатни</w:t>
      </w:r>
      <w:proofErr w:type="spellEnd"/>
      <w:r w:rsidRPr="006F3533">
        <w:rPr>
          <w:rFonts w:eastAsia="Times New Roman" w:cs="Times New Roman"/>
          <w:szCs w:val="24"/>
          <w:lang w:val="bg-BG" w:eastAsia="bg-BG"/>
        </w:rPr>
        <w:t xml:space="preserve"> покриви, чиито конструктивни особености изискват по-големи инвестиции за възстановяване и последващо топлоизолиране.</w:t>
      </w:r>
    </w:p>
    <w:p w14:paraId="0143EF5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Този проблем е още по-остър при еднофамилните жилищни сгради, които са почти изцяло нискоетажни и масово са изпълнени със </w:t>
      </w:r>
      <w:proofErr w:type="spellStart"/>
      <w:r w:rsidRPr="006F3533">
        <w:rPr>
          <w:rFonts w:eastAsia="Times New Roman" w:cs="Times New Roman"/>
          <w:szCs w:val="24"/>
          <w:lang w:val="bg-BG" w:eastAsia="bg-BG"/>
        </w:rPr>
        <w:t>скатни</w:t>
      </w:r>
      <w:proofErr w:type="spellEnd"/>
      <w:r w:rsidRPr="006F3533">
        <w:rPr>
          <w:rFonts w:eastAsia="Times New Roman" w:cs="Times New Roman"/>
          <w:szCs w:val="24"/>
          <w:lang w:val="bg-BG" w:eastAsia="bg-BG"/>
        </w:rPr>
        <w:t xml:space="preserve"> покриви. При тях разходите за ремонт и топлоизолация на покрива представляват значителна част от общата инвестиция за обновяване. Затова обновяването на еднофамилните сгради следва да стъпва върху гъвкави механизми, насочени към поетапни енергийни подобрения. В този контекст преодоляването на най-големите топлотехнически слабости - външни стени, покрив, дограма, чрез приоритизиране на единични мерки може да бъде значително по-ефективно и реалистично за тази категория сгради.</w:t>
      </w:r>
    </w:p>
    <w:p w14:paraId="3141C9C3" w14:textId="77777777" w:rsidR="00E6313A" w:rsidRPr="006F3533" w:rsidRDefault="00E6313A" w:rsidP="00E6313A">
      <w:pPr>
        <w:pStyle w:val="Heading2"/>
        <w:rPr>
          <w:lang w:val="bg-BG"/>
        </w:rPr>
      </w:pPr>
      <w:bookmarkStart w:id="50" w:name="_Toc217837099"/>
      <w:bookmarkStart w:id="51" w:name="_Toc217888757"/>
      <w:r w:rsidRPr="006F3533">
        <w:rPr>
          <w:lang w:val="bg-BG"/>
        </w:rPr>
        <w:t>Статистически преглед и характеристики на жилищата</w:t>
      </w:r>
      <w:bookmarkEnd w:id="50"/>
      <w:bookmarkEnd w:id="51"/>
    </w:p>
    <w:p w14:paraId="43E6061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Към 7 септември 2021 г. в страната са преброени 4 261 454 жилища. В градовете се намират 2 907 616 жилища, което представлява 68,2% от жилищния фонд, а в селата – 1 353 838 жилища или 31,8%. Обитаваните жилища са 2 603 713, т.е. 61,1% от всички жилища в страната, докато необитаваните са 1 657 741 или 38,9%. </w:t>
      </w:r>
    </w:p>
    <w:p w14:paraId="6A852E35"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Обитаването е силно концентрирано в градовете: от всички обитавани жилища 1 937 126 са в градовете, което е 74,4% от обитаваните, а 666 587 (или 25,6%) са в селата. При </w:t>
      </w:r>
      <w:r w:rsidRPr="006F3533">
        <w:rPr>
          <w:rFonts w:eastAsia="Times New Roman" w:cs="Times New Roman"/>
          <w:szCs w:val="24"/>
          <w:lang w:val="bg-BG" w:eastAsia="bg-BG"/>
        </w:rPr>
        <w:lastRenderedPageBreak/>
        <w:t>необитаваните жилища картината е по-балансирана – 970 490 са в градовете (58,6% от необитаваните), а 687 251 са в селата (41,4%).</w:t>
      </w:r>
    </w:p>
    <w:p w14:paraId="124A9B1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bookmarkStart w:id="52" w:name="_Hlk216787843"/>
      <w:r w:rsidRPr="006F3533">
        <w:rPr>
          <w:rFonts w:eastAsia="Times New Roman" w:cs="Times New Roman"/>
          <w:szCs w:val="24"/>
          <w:lang w:val="bg-BG" w:eastAsia="bg-BG"/>
        </w:rPr>
        <w:t>В регионален аспект данните потвърждават значителни различия в дела на необитаваните жилища. Най-висок е делът им в областите Видин (55,4%), Бургас (53,7%) и Перник (53,6%), докато най-нисък – в София (столица) (30,3%) и Пловдив (31,1%). Това разслояване подсказва, че „</w:t>
      </w:r>
      <w:proofErr w:type="spellStart"/>
      <w:r w:rsidRPr="006F3533">
        <w:rPr>
          <w:rFonts w:eastAsia="Times New Roman" w:cs="Times New Roman"/>
          <w:szCs w:val="24"/>
          <w:lang w:val="bg-BG" w:eastAsia="bg-BG"/>
        </w:rPr>
        <w:t>необитаването</w:t>
      </w:r>
      <w:proofErr w:type="spellEnd"/>
      <w:r w:rsidRPr="006F3533">
        <w:rPr>
          <w:rFonts w:eastAsia="Times New Roman" w:cs="Times New Roman"/>
          <w:szCs w:val="24"/>
          <w:lang w:val="bg-BG" w:eastAsia="bg-BG"/>
        </w:rPr>
        <w:t>“ не е равномерно разпределено явление, а е резултат от различни комбинации на демографска динамика, вътрешна и външна миграция, втори жилища, наследствени имоти и локални пазарни процеси</w:t>
      </w:r>
      <w:bookmarkEnd w:id="52"/>
      <w:r w:rsidRPr="006F3533">
        <w:rPr>
          <w:rFonts w:eastAsia="Times New Roman" w:cs="Times New Roman"/>
          <w:szCs w:val="24"/>
          <w:lang w:val="bg-BG" w:eastAsia="bg-BG"/>
        </w:rPr>
        <w:t>. На национално ниво общият извод, който следва от преброяването, е, че няма количествен жилищен дефицит; напротив – значителният обем необитаван фонд показва резерв от жилищни единици, като дефицити се появяват по-скоро локално (например в големи градове и туристически зони) и пазарът обичайно реагира с ново строителство.</w:t>
      </w:r>
    </w:p>
    <w:p w14:paraId="532CBA83" w14:textId="77777777" w:rsidR="00E6313A" w:rsidRPr="006F3533" w:rsidRDefault="00E6313A" w:rsidP="00E6313A">
      <w:pPr>
        <w:spacing w:line="240" w:lineRule="auto"/>
        <w:jc w:val="both"/>
        <w:rPr>
          <w:rFonts w:cs="Times New Roman"/>
          <w:i/>
          <w:iCs/>
          <w:color w:val="0070C0"/>
          <w:szCs w:val="24"/>
          <w:lang w:val="bg-BG"/>
        </w:rPr>
      </w:pPr>
      <w:bookmarkStart w:id="53" w:name="_Toc216636003"/>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9</w:t>
      </w:r>
      <w:r w:rsidRPr="006F3533">
        <w:rPr>
          <w:rFonts w:cs="Times New Roman"/>
          <w:i/>
          <w:iCs/>
          <w:color w:val="0070C0"/>
          <w:szCs w:val="24"/>
          <w:lang w:val="bg-BG"/>
        </w:rPr>
        <w:fldChar w:fldCharType="end"/>
      </w:r>
      <w:r w:rsidRPr="006F3533">
        <w:rPr>
          <w:rFonts w:cs="Times New Roman"/>
          <w:i/>
          <w:iCs/>
          <w:color w:val="0070C0"/>
          <w:szCs w:val="24"/>
          <w:lang w:val="bg-BG"/>
        </w:rPr>
        <w:t>: Дял на обитаваните жилища в страната към 7 септември 2021 г.</w:t>
      </w:r>
      <w:bookmarkEnd w:id="5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520"/>
        <w:gridCol w:w="4552"/>
      </w:tblGrid>
      <w:tr w:rsidR="00E6313A" w:rsidRPr="006F3533" w14:paraId="741C4868" w14:textId="77777777" w:rsidTr="00541E06">
        <w:tc>
          <w:tcPr>
            <w:tcW w:w="4520" w:type="dxa"/>
          </w:tcPr>
          <w:p w14:paraId="75FC28C6" w14:textId="77777777" w:rsidR="00E6313A" w:rsidRPr="006F3533" w:rsidRDefault="00E6313A" w:rsidP="00541E06">
            <w:pPr>
              <w:spacing w:before="100" w:beforeAutospacing="1" w:after="100" w:afterAutospacing="1"/>
              <w:rPr>
                <w:rFonts w:eastAsia="Calibri" w:cs="Times New Roman"/>
                <w:szCs w:val="24"/>
                <w:lang w:val="bg-BG" w:eastAsia="bg-BG"/>
              </w:rPr>
            </w:pPr>
            <w:r w:rsidRPr="006F3533">
              <w:rPr>
                <w:rFonts w:eastAsia="Calibri" w:cs="Times New Roman"/>
                <w:noProof/>
                <w:szCs w:val="24"/>
                <w:lang w:val="bg-BG"/>
              </w:rPr>
              <w:drawing>
                <wp:inline distT="0" distB="0" distL="0" distR="0" wp14:anchorId="2655ADDC" wp14:editId="3FFB9628">
                  <wp:extent cx="2727960" cy="2077085"/>
                  <wp:effectExtent l="0" t="0" r="15240" b="18415"/>
                  <wp:docPr id="3665586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4552" w:type="dxa"/>
          </w:tcPr>
          <w:p w14:paraId="65B5376D" w14:textId="77777777" w:rsidR="00E6313A" w:rsidRPr="006F3533" w:rsidRDefault="00E6313A" w:rsidP="00541E06">
            <w:pPr>
              <w:spacing w:before="100" w:beforeAutospacing="1" w:after="100" w:afterAutospacing="1"/>
              <w:rPr>
                <w:rFonts w:eastAsia="Calibri" w:cs="Times New Roman"/>
                <w:szCs w:val="24"/>
                <w:lang w:val="bg-BG" w:eastAsia="bg-BG"/>
              </w:rPr>
            </w:pPr>
            <w:r w:rsidRPr="006F3533">
              <w:rPr>
                <w:rFonts w:eastAsia="Calibri" w:cs="Times New Roman"/>
                <w:noProof/>
                <w:szCs w:val="24"/>
                <w:lang w:val="bg-BG"/>
              </w:rPr>
              <w:drawing>
                <wp:inline distT="0" distB="0" distL="0" distR="0" wp14:anchorId="31BC5014" wp14:editId="2058D70D">
                  <wp:extent cx="2801620" cy="2077085"/>
                  <wp:effectExtent l="0" t="0" r="0" b="0"/>
                  <wp:docPr id="1003275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75972" name="Picture 1"/>
                          <pic:cNvPicPr>
                            <a:picLocks noChangeAspect="1" noChangeArrowheads="1"/>
                          </pic:cNvPicPr>
                        </pic:nvPicPr>
                        <pic:blipFill>
                          <a:blip r:embed="rId22" cstate="print"/>
                          <a:srcRect/>
                          <a:stretch>
                            <a:fillRect/>
                          </a:stretch>
                        </pic:blipFill>
                        <pic:spPr>
                          <a:xfrm>
                            <a:off x="0" y="0"/>
                            <a:ext cx="2817061" cy="2088533"/>
                          </a:xfrm>
                          <a:prstGeom prst="rect">
                            <a:avLst/>
                          </a:prstGeom>
                          <a:noFill/>
                          <a:ln w="9525">
                            <a:noFill/>
                            <a:miter lim="800000"/>
                            <a:headEnd/>
                            <a:tailEnd/>
                          </a:ln>
                        </pic:spPr>
                      </pic:pic>
                    </a:graphicData>
                  </a:graphic>
                </wp:inline>
              </w:drawing>
            </w:r>
          </w:p>
        </w:tc>
      </w:tr>
    </w:tbl>
    <w:p w14:paraId="7C12A8A0"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72DC033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Данните от преброяването през 2021 г. позволяват да се очертае ясен структурен профил на жилищния фонд по вид сграда и по режим на обитаване, който е от ключово значение за дефинирането на приоритетите и обхвата на Националния план за саниране на сгради. От всички обитавани жилища в страната над половината – 51,2% (1 333 674 жилища) – се намират в „жилищни блокове и кооперации“, докато 47,0% (1 225 170 жилища) са разположени в „къщи“. Това разпределение ясно показва, че реалният енергиен актив на страната е концентриран основно в две типологии – многофамилните и еднофамилните жилищни сгради, като многофамилните имат лек превес по брой обитавани жилища.</w:t>
      </w:r>
    </w:p>
    <w:p w14:paraId="7D74A0B5" w14:textId="77777777" w:rsidR="00E6313A" w:rsidRPr="006F3533" w:rsidRDefault="00E6313A" w:rsidP="00E6313A">
      <w:pPr>
        <w:spacing w:line="240" w:lineRule="auto"/>
        <w:jc w:val="both"/>
        <w:rPr>
          <w:rFonts w:cs="Times New Roman"/>
          <w:i/>
          <w:iCs/>
          <w:color w:val="0070C0"/>
          <w:szCs w:val="24"/>
          <w:lang w:val="bg-BG"/>
        </w:rPr>
      </w:pPr>
      <w:bookmarkStart w:id="54" w:name="_Toc216777101"/>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8</w:t>
      </w:r>
      <w:r w:rsidRPr="006F3533">
        <w:rPr>
          <w:rFonts w:cs="Times New Roman"/>
          <w:i/>
          <w:iCs/>
          <w:color w:val="0070C0"/>
          <w:szCs w:val="24"/>
          <w:lang w:val="bg-BG"/>
        </w:rPr>
        <w:fldChar w:fldCharType="end"/>
      </w:r>
      <w:r w:rsidRPr="006F3533">
        <w:rPr>
          <w:rFonts w:cs="Times New Roman"/>
          <w:i/>
          <w:iCs/>
          <w:color w:val="0070C0"/>
          <w:szCs w:val="24"/>
          <w:lang w:val="bg-BG"/>
        </w:rPr>
        <w:t xml:space="preserve">: Разпределение на жилищата по вид на сградата и степен на </w:t>
      </w:r>
      <w:proofErr w:type="spellStart"/>
      <w:r w:rsidRPr="006F3533">
        <w:rPr>
          <w:rFonts w:cs="Times New Roman"/>
          <w:i/>
          <w:iCs/>
          <w:color w:val="0070C0"/>
          <w:szCs w:val="24"/>
          <w:lang w:val="bg-BG"/>
        </w:rPr>
        <w:t>обитаваност</w:t>
      </w:r>
      <w:proofErr w:type="spellEnd"/>
      <w:r w:rsidRPr="006F3533">
        <w:rPr>
          <w:rFonts w:cs="Times New Roman"/>
          <w:i/>
          <w:iCs/>
          <w:color w:val="0070C0"/>
          <w:szCs w:val="24"/>
          <w:lang w:val="bg-BG"/>
        </w:rPr>
        <w:t xml:space="preserve"> (%) към 7 септември 2021 г.</w:t>
      </w:r>
      <w:bookmarkEnd w:id="54"/>
    </w:p>
    <w:tbl>
      <w:tblPr>
        <w:tblStyle w:val="GridTable4-Accent51"/>
        <w:tblW w:w="9952" w:type="dxa"/>
        <w:jc w:val="center"/>
        <w:tblLayout w:type="fixed"/>
        <w:tblLook w:val="04A0" w:firstRow="1" w:lastRow="0" w:firstColumn="1" w:lastColumn="0" w:noHBand="0" w:noVBand="1"/>
      </w:tblPr>
      <w:tblGrid>
        <w:gridCol w:w="1489"/>
        <w:gridCol w:w="1275"/>
        <w:gridCol w:w="1460"/>
        <w:gridCol w:w="1500"/>
        <w:gridCol w:w="1690"/>
        <w:gridCol w:w="1234"/>
        <w:gridCol w:w="1304"/>
      </w:tblGrid>
      <w:tr w:rsidR="00E6313A" w:rsidRPr="006F3533" w14:paraId="65F59175" w14:textId="77777777" w:rsidTr="00541E0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89" w:type="dxa"/>
          </w:tcPr>
          <w:p w14:paraId="7E463B75" w14:textId="77777777" w:rsidR="00E6313A" w:rsidRPr="006F3533" w:rsidRDefault="00E6313A" w:rsidP="00541E06">
            <w:pPr>
              <w:spacing w:before="100" w:beforeAutospacing="1" w:after="100" w:afterAutospacing="1"/>
              <w:jc w:val="center"/>
              <w:rPr>
                <w:rFonts w:eastAsia="Times New Roman" w:cs="Calibri"/>
                <w:b w:val="0"/>
                <w:bCs w:val="0"/>
                <w:color w:val="000000"/>
                <w:sz w:val="20"/>
                <w:lang w:val="bg-BG" w:eastAsia="bg-BG"/>
              </w:rPr>
            </w:pPr>
            <w:r w:rsidRPr="006F3533">
              <w:rPr>
                <w:rFonts w:eastAsia="Times New Roman" w:cs="Calibri"/>
                <w:color w:val="000000"/>
                <w:sz w:val="20"/>
                <w:lang w:val="bg-BG" w:eastAsia="bg-BG"/>
              </w:rPr>
              <w:t>Вид сграда</w:t>
            </w:r>
          </w:p>
        </w:tc>
        <w:tc>
          <w:tcPr>
            <w:tcW w:w="1275" w:type="dxa"/>
          </w:tcPr>
          <w:p w14:paraId="6763F382"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000000"/>
                <w:sz w:val="20"/>
                <w:lang w:val="bg-BG" w:eastAsia="bg-BG"/>
              </w:rPr>
            </w:pPr>
            <w:r w:rsidRPr="006F3533">
              <w:rPr>
                <w:rFonts w:eastAsia="Times New Roman" w:cs="Calibri"/>
                <w:color w:val="000000"/>
                <w:sz w:val="20"/>
                <w:lang w:val="bg-BG" w:eastAsia="bg-BG"/>
              </w:rPr>
              <w:t>Обитавани жилища, бр.</w:t>
            </w:r>
          </w:p>
        </w:tc>
        <w:tc>
          <w:tcPr>
            <w:tcW w:w="1460" w:type="dxa"/>
          </w:tcPr>
          <w:p w14:paraId="0081B3BF"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000000"/>
                <w:sz w:val="20"/>
                <w:lang w:val="bg-BG" w:eastAsia="bg-BG"/>
              </w:rPr>
            </w:pPr>
            <w:r w:rsidRPr="006F3533">
              <w:rPr>
                <w:rFonts w:eastAsia="Times New Roman" w:cs="Calibri"/>
                <w:color w:val="000000"/>
                <w:sz w:val="20"/>
                <w:lang w:val="bg-BG" w:eastAsia="bg-BG"/>
              </w:rPr>
              <w:t>Дял от обитаваните жилища, %</w:t>
            </w:r>
          </w:p>
        </w:tc>
        <w:tc>
          <w:tcPr>
            <w:tcW w:w="1500" w:type="dxa"/>
          </w:tcPr>
          <w:p w14:paraId="0AD960FC"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000000"/>
                <w:sz w:val="20"/>
                <w:lang w:val="bg-BG" w:eastAsia="bg-BG"/>
              </w:rPr>
            </w:pPr>
            <w:r w:rsidRPr="006F3533">
              <w:rPr>
                <w:rFonts w:eastAsia="Times New Roman" w:cs="Calibri"/>
                <w:color w:val="000000"/>
                <w:sz w:val="20"/>
                <w:lang w:val="bg-BG" w:eastAsia="bg-BG"/>
              </w:rPr>
              <w:t>Необитавани жилища, бр.</w:t>
            </w:r>
          </w:p>
        </w:tc>
        <w:tc>
          <w:tcPr>
            <w:tcW w:w="1690" w:type="dxa"/>
          </w:tcPr>
          <w:p w14:paraId="506A58AC"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000000"/>
                <w:sz w:val="20"/>
                <w:lang w:val="bg-BG" w:eastAsia="bg-BG"/>
              </w:rPr>
            </w:pPr>
            <w:r w:rsidRPr="006F3533">
              <w:rPr>
                <w:rFonts w:eastAsia="Times New Roman" w:cs="Calibri"/>
                <w:color w:val="000000"/>
                <w:sz w:val="20"/>
                <w:lang w:val="bg-BG" w:eastAsia="bg-BG"/>
              </w:rPr>
              <w:t>Дял от необитаваните жилища, %</w:t>
            </w:r>
          </w:p>
        </w:tc>
        <w:tc>
          <w:tcPr>
            <w:tcW w:w="1234" w:type="dxa"/>
          </w:tcPr>
          <w:p w14:paraId="1AD89B83"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000000"/>
                <w:sz w:val="20"/>
                <w:lang w:val="bg-BG" w:eastAsia="bg-BG"/>
              </w:rPr>
            </w:pPr>
            <w:r w:rsidRPr="006F3533">
              <w:rPr>
                <w:rFonts w:eastAsia="Times New Roman" w:cs="Calibri"/>
                <w:color w:val="000000"/>
                <w:sz w:val="20"/>
                <w:lang w:val="bg-BG" w:eastAsia="bg-BG"/>
              </w:rPr>
              <w:t>Дял от всички жилища*, %</w:t>
            </w:r>
          </w:p>
        </w:tc>
        <w:tc>
          <w:tcPr>
            <w:tcW w:w="1304" w:type="dxa"/>
          </w:tcPr>
          <w:p w14:paraId="02D2A44B"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000000"/>
                <w:sz w:val="20"/>
                <w:lang w:val="bg-BG" w:eastAsia="bg-BG"/>
              </w:rPr>
            </w:pPr>
            <w:proofErr w:type="spellStart"/>
            <w:r w:rsidRPr="006F3533">
              <w:rPr>
                <w:rFonts w:eastAsia="Times New Roman" w:cs="Calibri"/>
                <w:color w:val="000000"/>
                <w:sz w:val="20"/>
                <w:lang w:val="bg-BG" w:eastAsia="bg-BG"/>
              </w:rPr>
              <w:t>Обитаваност</w:t>
            </w:r>
            <w:proofErr w:type="spellEnd"/>
            <w:r w:rsidRPr="006F3533">
              <w:rPr>
                <w:rFonts w:eastAsia="Times New Roman" w:cs="Calibri"/>
                <w:color w:val="000000"/>
                <w:sz w:val="20"/>
                <w:lang w:val="bg-BG" w:eastAsia="bg-BG"/>
              </w:rPr>
              <w:t xml:space="preserve"> по вид**, %</w:t>
            </w:r>
          </w:p>
        </w:tc>
      </w:tr>
      <w:tr w:rsidR="00E6313A" w:rsidRPr="006F3533" w14:paraId="08535DD3"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489" w:type="dxa"/>
            <w:shd w:val="clear" w:color="auto" w:fill="DEEAF6" w:themeFill="accent5" w:themeFillTint="33"/>
          </w:tcPr>
          <w:p w14:paraId="18DA28E6"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Къща</w:t>
            </w:r>
          </w:p>
        </w:tc>
        <w:tc>
          <w:tcPr>
            <w:tcW w:w="1275" w:type="dxa"/>
            <w:shd w:val="clear" w:color="auto" w:fill="DEEAF6" w:themeFill="accent5" w:themeFillTint="33"/>
          </w:tcPr>
          <w:p w14:paraId="045FBF8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1 225 170</w:t>
            </w:r>
          </w:p>
        </w:tc>
        <w:tc>
          <w:tcPr>
            <w:tcW w:w="1460" w:type="dxa"/>
            <w:shd w:val="clear" w:color="auto" w:fill="DEEAF6" w:themeFill="accent5" w:themeFillTint="33"/>
          </w:tcPr>
          <w:p w14:paraId="684415F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47.1</w:t>
            </w:r>
          </w:p>
        </w:tc>
        <w:tc>
          <w:tcPr>
            <w:tcW w:w="1500" w:type="dxa"/>
            <w:shd w:val="clear" w:color="auto" w:fill="DEEAF6" w:themeFill="accent5" w:themeFillTint="33"/>
          </w:tcPr>
          <w:p w14:paraId="170C19E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896 137</w:t>
            </w:r>
          </w:p>
        </w:tc>
        <w:tc>
          <w:tcPr>
            <w:tcW w:w="1690" w:type="dxa"/>
            <w:shd w:val="clear" w:color="auto" w:fill="DEEAF6" w:themeFill="accent5" w:themeFillTint="33"/>
          </w:tcPr>
          <w:p w14:paraId="464A4C9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54.1</w:t>
            </w:r>
          </w:p>
        </w:tc>
        <w:tc>
          <w:tcPr>
            <w:tcW w:w="1234" w:type="dxa"/>
            <w:shd w:val="clear" w:color="auto" w:fill="DEEAF6" w:themeFill="accent5" w:themeFillTint="33"/>
          </w:tcPr>
          <w:p w14:paraId="2B6A2ED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49.8</w:t>
            </w:r>
          </w:p>
        </w:tc>
        <w:tc>
          <w:tcPr>
            <w:tcW w:w="1304" w:type="dxa"/>
            <w:shd w:val="clear" w:color="auto" w:fill="DEEAF6" w:themeFill="accent5" w:themeFillTint="33"/>
          </w:tcPr>
          <w:p w14:paraId="239438C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57.8</w:t>
            </w:r>
          </w:p>
        </w:tc>
      </w:tr>
      <w:tr w:rsidR="00E6313A" w:rsidRPr="006F3533" w14:paraId="65B89BD9"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489" w:type="dxa"/>
          </w:tcPr>
          <w:p w14:paraId="01432339"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lastRenderedPageBreak/>
              <w:t>Жилищен блок, кооперация</w:t>
            </w:r>
          </w:p>
        </w:tc>
        <w:tc>
          <w:tcPr>
            <w:tcW w:w="1275" w:type="dxa"/>
          </w:tcPr>
          <w:p w14:paraId="07AB04B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1 333 674</w:t>
            </w:r>
          </w:p>
        </w:tc>
        <w:tc>
          <w:tcPr>
            <w:tcW w:w="1460" w:type="dxa"/>
          </w:tcPr>
          <w:p w14:paraId="46DFE2F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51.2</w:t>
            </w:r>
          </w:p>
        </w:tc>
        <w:tc>
          <w:tcPr>
            <w:tcW w:w="1500" w:type="dxa"/>
          </w:tcPr>
          <w:p w14:paraId="16136CA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625 837</w:t>
            </w:r>
          </w:p>
        </w:tc>
        <w:tc>
          <w:tcPr>
            <w:tcW w:w="1690" w:type="dxa"/>
          </w:tcPr>
          <w:p w14:paraId="023BD39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37.8</w:t>
            </w:r>
          </w:p>
        </w:tc>
        <w:tc>
          <w:tcPr>
            <w:tcW w:w="1234" w:type="dxa"/>
          </w:tcPr>
          <w:p w14:paraId="4C3196B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46.0</w:t>
            </w:r>
          </w:p>
        </w:tc>
        <w:tc>
          <w:tcPr>
            <w:tcW w:w="1304" w:type="dxa"/>
          </w:tcPr>
          <w:p w14:paraId="2570715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68.1</w:t>
            </w:r>
          </w:p>
        </w:tc>
      </w:tr>
      <w:tr w:rsidR="00E6313A" w:rsidRPr="006F3533" w14:paraId="662ABA5E"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489" w:type="dxa"/>
            <w:shd w:val="clear" w:color="auto" w:fill="DEEAF6" w:themeFill="accent5" w:themeFillTint="33"/>
          </w:tcPr>
          <w:p w14:paraId="763FC918"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Сграда от смесен тип (над 60% жилищна площ)</w:t>
            </w:r>
          </w:p>
        </w:tc>
        <w:tc>
          <w:tcPr>
            <w:tcW w:w="1275" w:type="dxa"/>
            <w:shd w:val="clear" w:color="auto" w:fill="DEEAF6" w:themeFill="accent5" w:themeFillTint="33"/>
          </w:tcPr>
          <w:p w14:paraId="081281D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17 543</w:t>
            </w:r>
          </w:p>
        </w:tc>
        <w:tc>
          <w:tcPr>
            <w:tcW w:w="1460" w:type="dxa"/>
            <w:shd w:val="clear" w:color="auto" w:fill="DEEAF6" w:themeFill="accent5" w:themeFillTint="33"/>
          </w:tcPr>
          <w:p w14:paraId="490B48E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0.7</w:t>
            </w:r>
          </w:p>
        </w:tc>
        <w:tc>
          <w:tcPr>
            <w:tcW w:w="1500" w:type="dxa"/>
            <w:shd w:val="clear" w:color="auto" w:fill="DEEAF6" w:themeFill="accent5" w:themeFillTint="33"/>
          </w:tcPr>
          <w:p w14:paraId="50F8AA2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16 128</w:t>
            </w:r>
          </w:p>
        </w:tc>
        <w:tc>
          <w:tcPr>
            <w:tcW w:w="1690" w:type="dxa"/>
            <w:shd w:val="clear" w:color="auto" w:fill="DEEAF6" w:themeFill="accent5" w:themeFillTint="33"/>
          </w:tcPr>
          <w:p w14:paraId="6EA5352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w:t>
            </w:r>
          </w:p>
        </w:tc>
        <w:tc>
          <w:tcPr>
            <w:tcW w:w="1234" w:type="dxa"/>
            <w:shd w:val="clear" w:color="auto" w:fill="DEEAF6" w:themeFill="accent5" w:themeFillTint="33"/>
          </w:tcPr>
          <w:p w14:paraId="52F5B4F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0.8</w:t>
            </w:r>
          </w:p>
        </w:tc>
        <w:tc>
          <w:tcPr>
            <w:tcW w:w="1304" w:type="dxa"/>
            <w:shd w:val="clear" w:color="auto" w:fill="DEEAF6" w:themeFill="accent5" w:themeFillTint="33"/>
          </w:tcPr>
          <w:p w14:paraId="372D769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52.1</w:t>
            </w:r>
          </w:p>
        </w:tc>
      </w:tr>
      <w:tr w:rsidR="00E6313A" w:rsidRPr="006F3533" w14:paraId="07118003"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489" w:type="dxa"/>
          </w:tcPr>
          <w:p w14:paraId="103CA79B"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Общежитие</w:t>
            </w:r>
          </w:p>
        </w:tc>
        <w:tc>
          <w:tcPr>
            <w:tcW w:w="1275" w:type="dxa"/>
          </w:tcPr>
          <w:p w14:paraId="01F697A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16 115</w:t>
            </w:r>
          </w:p>
        </w:tc>
        <w:tc>
          <w:tcPr>
            <w:tcW w:w="1460" w:type="dxa"/>
          </w:tcPr>
          <w:p w14:paraId="6C250AA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0.6</w:t>
            </w:r>
          </w:p>
        </w:tc>
        <w:tc>
          <w:tcPr>
            <w:tcW w:w="1500" w:type="dxa"/>
          </w:tcPr>
          <w:p w14:paraId="6415B35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12 676</w:t>
            </w:r>
          </w:p>
        </w:tc>
        <w:tc>
          <w:tcPr>
            <w:tcW w:w="1690" w:type="dxa"/>
          </w:tcPr>
          <w:p w14:paraId="2F8DA39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0.8</w:t>
            </w:r>
          </w:p>
        </w:tc>
        <w:tc>
          <w:tcPr>
            <w:tcW w:w="1234" w:type="dxa"/>
          </w:tcPr>
          <w:p w14:paraId="67C8A36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0.7</w:t>
            </w:r>
          </w:p>
        </w:tc>
        <w:tc>
          <w:tcPr>
            <w:tcW w:w="1304" w:type="dxa"/>
          </w:tcPr>
          <w:p w14:paraId="17327DD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56</w:t>
            </w:r>
          </w:p>
        </w:tc>
      </w:tr>
      <w:tr w:rsidR="00E6313A" w:rsidRPr="006F3533" w14:paraId="53D6AE2C"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489" w:type="dxa"/>
            <w:shd w:val="clear" w:color="auto" w:fill="DEEAF6" w:themeFill="accent5" w:themeFillTint="33"/>
          </w:tcPr>
          <w:p w14:paraId="4568B8B3"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Вила</w:t>
            </w:r>
          </w:p>
        </w:tc>
        <w:tc>
          <w:tcPr>
            <w:tcW w:w="1275" w:type="dxa"/>
            <w:shd w:val="clear" w:color="auto" w:fill="DEEAF6" w:themeFill="accent5" w:themeFillTint="33"/>
          </w:tcPr>
          <w:p w14:paraId="5D827B0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6 852</w:t>
            </w:r>
          </w:p>
        </w:tc>
        <w:tc>
          <w:tcPr>
            <w:tcW w:w="1460" w:type="dxa"/>
            <w:shd w:val="clear" w:color="auto" w:fill="DEEAF6" w:themeFill="accent5" w:themeFillTint="33"/>
          </w:tcPr>
          <w:p w14:paraId="71B77B4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0.3</w:t>
            </w:r>
          </w:p>
        </w:tc>
        <w:tc>
          <w:tcPr>
            <w:tcW w:w="1500" w:type="dxa"/>
            <w:shd w:val="clear" w:color="auto" w:fill="DEEAF6" w:themeFill="accent5" w:themeFillTint="33"/>
          </w:tcPr>
          <w:p w14:paraId="2700958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106 915</w:t>
            </w:r>
          </w:p>
        </w:tc>
        <w:tc>
          <w:tcPr>
            <w:tcW w:w="1690" w:type="dxa"/>
            <w:shd w:val="clear" w:color="auto" w:fill="DEEAF6" w:themeFill="accent5" w:themeFillTint="33"/>
          </w:tcPr>
          <w:p w14:paraId="5C74398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6.4</w:t>
            </w:r>
          </w:p>
        </w:tc>
        <w:tc>
          <w:tcPr>
            <w:tcW w:w="1234" w:type="dxa"/>
            <w:shd w:val="clear" w:color="auto" w:fill="DEEAF6" w:themeFill="accent5" w:themeFillTint="33"/>
          </w:tcPr>
          <w:p w14:paraId="71CFA45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2.7</w:t>
            </w:r>
          </w:p>
        </w:tc>
        <w:tc>
          <w:tcPr>
            <w:tcW w:w="1304" w:type="dxa"/>
            <w:shd w:val="clear" w:color="auto" w:fill="DEEAF6" w:themeFill="accent5" w:themeFillTint="33"/>
          </w:tcPr>
          <w:p w14:paraId="45E0959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6</w:t>
            </w:r>
          </w:p>
        </w:tc>
      </w:tr>
      <w:tr w:rsidR="00E6313A" w:rsidRPr="006F3533" w14:paraId="63956E87"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489" w:type="dxa"/>
          </w:tcPr>
          <w:p w14:paraId="6DE4A74C"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Сграда за колективно домакинство</w:t>
            </w:r>
          </w:p>
        </w:tc>
        <w:tc>
          <w:tcPr>
            <w:tcW w:w="1275" w:type="dxa"/>
          </w:tcPr>
          <w:p w14:paraId="77F2FC3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824</w:t>
            </w:r>
          </w:p>
        </w:tc>
        <w:tc>
          <w:tcPr>
            <w:tcW w:w="1460" w:type="dxa"/>
          </w:tcPr>
          <w:p w14:paraId="3FC3336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w:t>
            </w:r>
          </w:p>
        </w:tc>
        <w:tc>
          <w:tcPr>
            <w:tcW w:w="1500" w:type="dxa"/>
          </w:tcPr>
          <w:p w14:paraId="3E97093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48</w:t>
            </w:r>
          </w:p>
        </w:tc>
        <w:tc>
          <w:tcPr>
            <w:tcW w:w="1690" w:type="dxa"/>
          </w:tcPr>
          <w:p w14:paraId="434A9D2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w:t>
            </w:r>
          </w:p>
        </w:tc>
        <w:tc>
          <w:tcPr>
            <w:tcW w:w="1234" w:type="dxa"/>
          </w:tcPr>
          <w:p w14:paraId="207B2D1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w:t>
            </w:r>
          </w:p>
        </w:tc>
        <w:tc>
          <w:tcPr>
            <w:tcW w:w="1304" w:type="dxa"/>
          </w:tcPr>
          <w:p w14:paraId="307DC25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94.5</w:t>
            </w:r>
          </w:p>
        </w:tc>
      </w:tr>
      <w:tr w:rsidR="00E6313A" w:rsidRPr="006F3533" w14:paraId="62387D4C"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489" w:type="dxa"/>
            <w:shd w:val="clear" w:color="auto" w:fill="DEEAF6" w:themeFill="accent5" w:themeFillTint="33"/>
          </w:tcPr>
          <w:p w14:paraId="76BE1299"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Друго</w:t>
            </w:r>
          </w:p>
        </w:tc>
        <w:tc>
          <w:tcPr>
            <w:tcW w:w="1275" w:type="dxa"/>
            <w:shd w:val="clear" w:color="auto" w:fill="DEEAF6" w:themeFill="accent5" w:themeFillTint="33"/>
          </w:tcPr>
          <w:p w14:paraId="74DC647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3 535</w:t>
            </w:r>
          </w:p>
        </w:tc>
        <w:tc>
          <w:tcPr>
            <w:tcW w:w="1460" w:type="dxa"/>
            <w:shd w:val="clear" w:color="auto" w:fill="DEEAF6" w:themeFill="accent5" w:themeFillTint="33"/>
          </w:tcPr>
          <w:p w14:paraId="46068D2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0.1</w:t>
            </w:r>
          </w:p>
        </w:tc>
        <w:tc>
          <w:tcPr>
            <w:tcW w:w="1500" w:type="dxa"/>
            <w:shd w:val="clear" w:color="auto" w:fill="DEEAF6" w:themeFill="accent5" w:themeFillTint="33"/>
          </w:tcPr>
          <w:p w14:paraId="046126D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w:t>
            </w:r>
          </w:p>
        </w:tc>
        <w:tc>
          <w:tcPr>
            <w:tcW w:w="1690" w:type="dxa"/>
            <w:shd w:val="clear" w:color="auto" w:fill="DEEAF6" w:themeFill="accent5" w:themeFillTint="33"/>
          </w:tcPr>
          <w:p w14:paraId="1E1C0FF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w:t>
            </w:r>
          </w:p>
        </w:tc>
        <w:tc>
          <w:tcPr>
            <w:tcW w:w="1234" w:type="dxa"/>
            <w:shd w:val="clear" w:color="auto" w:fill="DEEAF6" w:themeFill="accent5" w:themeFillTint="33"/>
          </w:tcPr>
          <w:p w14:paraId="359DA5B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0.1</w:t>
            </w:r>
          </w:p>
        </w:tc>
        <w:tc>
          <w:tcPr>
            <w:tcW w:w="1304" w:type="dxa"/>
            <w:shd w:val="clear" w:color="auto" w:fill="DEEAF6" w:themeFill="accent5" w:themeFillTint="33"/>
          </w:tcPr>
          <w:p w14:paraId="7BEA2FC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100</w:t>
            </w:r>
          </w:p>
        </w:tc>
      </w:tr>
    </w:tbl>
    <w:p w14:paraId="2C2BC4DF" w14:textId="77777777" w:rsidR="00E6313A" w:rsidRPr="006F3533" w:rsidRDefault="00E6313A" w:rsidP="00E6313A">
      <w:pPr>
        <w:spacing w:after="0"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262C66F2" w14:textId="77777777" w:rsidR="00E6313A" w:rsidRPr="006F3533" w:rsidRDefault="00E6313A" w:rsidP="00E6313A">
      <w:pPr>
        <w:spacing w:after="0" w:line="240" w:lineRule="auto"/>
        <w:jc w:val="right"/>
        <w:rPr>
          <w:rFonts w:eastAsia="Calibri" w:cs="Times New Roman"/>
          <w:i/>
          <w:iCs/>
          <w:szCs w:val="24"/>
          <w:lang w:val="bg-BG" w:eastAsia="bg-BG"/>
        </w:rPr>
      </w:pPr>
      <w:r w:rsidRPr="006F3533">
        <w:rPr>
          <w:rFonts w:eastAsia="Calibri" w:cs="Times New Roman"/>
          <w:i/>
          <w:iCs/>
          <w:szCs w:val="24"/>
          <w:lang w:val="bg-BG" w:eastAsia="bg-BG"/>
        </w:rPr>
        <w:t>* Каква част от целия жилищен фонд (обитавани + необитавани) се пада на даден вид сграда.</w:t>
      </w:r>
    </w:p>
    <w:p w14:paraId="107613C7" w14:textId="77777777" w:rsidR="00E6313A" w:rsidRPr="006F3533" w:rsidRDefault="00E6313A" w:rsidP="00E6313A">
      <w:pPr>
        <w:spacing w:after="0" w:line="240" w:lineRule="auto"/>
        <w:jc w:val="right"/>
        <w:rPr>
          <w:rFonts w:eastAsia="Calibri" w:cs="Times New Roman"/>
          <w:i/>
          <w:iCs/>
          <w:szCs w:val="24"/>
          <w:lang w:val="bg-BG" w:eastAsia="bg-BG"/>
        </w:rPr>
      </w:pPr>
      <w:r w:rsidRPr="006F3533">
        <w:rPr>
          <w:rFonts w:eastAsia="Calibri" w:cs="Times New Roman"/>
          <w:i/>
          <w:iCs/>
          <w:szCs w:val="24"/>
          <w:lang w:val="bg-BG" w:eastAsia="bg-BG"/>
        </w:rPr>
        <w:t>** Какъв процент от жилищата в рамките на дадения тип сграда са обитавани.</w:t>
      </w:r>
    </w:p>
    <w:p w14:paraId="1CE1862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Останалите категории имат маргинално значение за обитавания жилищен фонд. Жилищата в „сгради от смесен тип (с над 60% жилищна площ)“ представляват 0,7%, в „общежития“ – 0,6%, във „вили“ – 0,3%, а в „сгради за колективно домакинство“ и „други“ – под 0,1% всяка. Тези стойности потвърждават, че от гледна точка на НПСС те не могат да бъдат разглеждани като самостоятелни целеви групи, а следва да бъдат приобщавани към многофамилния жилищен фонд.</w:t>
      </w:r>
    </w:p>
    <w:p w14:paraId="12E5076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 необитаваните жилища картината е съществено различна. Доминиращ дял имат „къщите“ – 896 137 жилища или 54,1% от всички необитавани жилища, което отразява процеси на </w:t>
      </w:r>
      <w:proofErr w:type="spellStart"/>
      <w:r w:rsidRPr="006F3533">
        <w:rPr>
          <w:rFonts w:eastAsia="Times New Roman" w:cs="Times New Roman"/>
          <w:szCs w:val="24"/>
          <w:lang w:val="bg-BG" w:eastAsia="bg-BG"/>
        </w:rPr>
        <w:t>депопулация</w:t>
      </w:r>
      <w:proofErr w:type="spellEnd"/>
      <w:r w:rsidRPr="006F3533">
        <w:rPr>
          <w:rFonts w:eastAsia="Times New Roman" w:cs="Times New Roman"/>
          <w:szCs w:val="24"/>
          <w:lang w:val="bg-BG" w:eastAsia="bg-BG"/>
        </w:rPr>
        <w:t>, застаряване на населението и трайно извеждане на еднофамилния жилищен фонд извън активно ползване в редица части на страната, предимно малки общини и съставните им села. Следват „жилищните блокове и кооперации“ с 625 837 необитавани жилища (37,8%), което е особено значимо от гледна точка на НПСС, тъй като наличието на необитавани самостоятелни обекти в многофамилни сгради създава сериозни организационни и финансови бариери пред реализирането на мерки за саниране, особено при модели със съфинансиране.</w:t>
      </w:r>
    </w:p>
    <w:p w14:paraId="77599D7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Съществен дял сред необитаваните жилища заемат и „вилите“ – 106 915 жилища или около 6,5%, което ясно подчертава ролята на сезонното и вторичното обитаване като структурен фактор за високия дял необитаван жилищен фонд. Това допълнително аргументира необходимостта този тип жилища да бъдат изключени от обхвата на НПСС, тъй като те не участват устойчиво в енергопотреблението на страната и не представляват ефективна цел за публични инвестиции в енергийна ефективност.</w:t>
      </w:r>
    </w:p>
    <w:p w14:paraId="43FB7830" w14:textId="77777777" w:rsidR="00E6313A" w:rsidRPr="006F3533" w:rsidRDefault="00E6313A" w:rsidP="00E6313A">
      <w:pPr>
        <w:spacing w:line="240" w:lineRule="auto"/>
        <w:jc w:val="both"/>
        <w:rPr>
          <w:rFonts w:cs="Times New Roman"/>
          <w:i/>
          <w:iCs/>
          <w:color w:val="0070C0"/>
          <w:szCs w:val="24"/>
          <w:lang w:val="bg-BG"/>
        </w:rPr>
      </w:pPr>
      <w:bookmarkStart w:id="55" w:name="_Toc216636004"/>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10</w:t>
      </w:r>
      <w:r w:rsidRPr="006F3533">
        <w:rPr>
          <w:rFonts w:cs="Times New Roman"/>
          <w:i/>
          <w:iCs/>
          <w:color w:val="0070C0"/>
          <w:szCs w:val="24"/>
          <w:lang w:val="bg-BG"/>
        </w:rPr>
        <w:fldChar w:fldCharType="end"/>
      </w:r>
      <w:r w:rsidRPr="006F3533">
        <w:rPr>
          <w:rFonts w:cs="Times New Roman"/>
          <w:i/>
          <w:iCs/>
          <w:color w:val="0070C0"/>
          <w:szCs w:val="24"/>
          <w:lang w:val="bg-BG"/>
        </w:rPr>
        <w:t>: Дялово разпределение на обитавани / необитавани жилища по вид на сградата към 7 септември 2021 г.</w:t>
      </w:r>
      <w:bookmarkEnd w:id="55"/>
    </w:p>
    <w:p w14:paraId="213E90B2" w14:textId="77777777" w:rsidR="00E6313A" w:rsidRPr="006F3533" w:rsidRDefault="00E6313A" w:rsidP="00E6313A">
      <w:pPr>
        <w:spacing w:before="100" w:beforeAutospacing="1" w:after="100" w:afterAutospacing="1" w:line="240" w:lineRule="auto"/>
        <w:jc w:val="center"/>
        <w:rPr>
          <w:rFonts w:eastAsia="Calibri" w:cs="Times New Roman"/>
          <w:szCs w:val="24"/>
          <w:lang w:val="bg-BG" w:eastAsia="bg-BG"/>
        </w:rPr>
      </w:pPr>
      <w:r w:rsidRPr="006F3533">
        <w:rPr>
          <w:rFonts w:eastAsia="Calibri" w:cs="Times New Roman"/>
          <w:noProof/>
          <w:szCs w:val="24"/>
          <w:lang w:val="bg-BG"/>
        </w:rPr>
        <w:lastRenderedPageBreak/>
        <w:drawing>
          <wp:inline distT="0" distB="0" distL="0" distR="0" wp14:anchorId="0B3EC1A7" wp14:editId="0197D26D">
            <wp:extent cx="4572000" cy="2743200"/>
            <wp:effectExtent l="0" t="0" r="0" b="0"/>
            <wp:docPr id="177438243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841CC89"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0F5095B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контекста на анализа е особено важно да се подчертае, че макар наличните статистически данни да предоставят разпределение на необитаваните жилища по вид сграда, по области и по град/село, липсва детайлна информация за пространственото им разположение в рамките на населените места и по конкретни сгради или входове. Не е възможно да се установи дали необитаваните жилища са концентрирани в отделни сгради и квартали или са равномерно „разпръснати“ в обитавания жилищен фонд. Това разграничение има ключово значение за оценката на реалната приложимост на политики и програми за енергийно обновяване.</w:t>
      </w:r>
    </w:p>
    <w:p w14:paraId="218D31C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Анализът на жилищата в обитавани жилищни сгради показва ясно, че връзката „необитавано жилище = необитавана сграда“ е сравнително по-валидна при еднофамилните къщи. При тях делът на необитаваните жилища в рамките на обитаваните сгради е едва около 5,9%, което означава, че в преобладаващата част от случаите необитаваното жилище съвпада с необитавана сграда. Това прави еднофамилния фонд структурно по-ясен от гледна точка на идентифициране на активния енергиен актив.</w:t>
      </w:r>
    </w:p>
    <w:p w14:paraId="70B8DAD3" w14:textId="77777777" w:rsidR="00E6313A" w:rsidRPr="006F3533" w:rsidRDefault="00E6313A" w:rsidP="00E6313A">
      <w:pPr>
        <w:spacing w:line="240" w:lineRule="auto"/>
        <w:jc w:val="both"/>
        <w:rPr>
          <w:rFonts w:cs="Times New Roman"/>
          <w:i/>
          <w:iCs/>
          <w:color w:val="0070C0"/>
          <w:szCs w:val="24"/>
          <w:lang w:val="bg-BG"/>
        </w:rPr>
      </w:pPr>
      <w:bookmarkStart w:id="56" w:name="_Toc216777102"/>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9</w:t>
      </w:r>
      <w:r w:rsidRPr="006F3533">
        <w:rPr>
          <w:rFonts w:cs="Times New Roman"/>
          <w:i/>
          <w:iCs/>
          <w:color w:val="0070C0"/>
          <w:szCs w:val="24"/>
          <w:lang w:val="bg-BG"/>
        </w:rPr>
        <w:fldChar w:fldCharType="end"/>
      </w:r>
      <w:r w:rsidRPr="006F3533">
        <w:rPr>
          <w:rFonts w:cs="Times New Roman"/>
          <w:i/>
          <w:iCs/>
          <w:color w:val="0070C0"/>
          <w:szCs w:val="24"/>
          <w:lang w:val="bg-BG"/>
        </w:rPr>
        <w:t>: Разпределение на обитавани/необитавани жилища в обитавани жилищни сгради към 07.09.2021 г.</w:t>
      </w:r>
      <w:bookmarkEnd w:id="56"/>
    </w:p>
    <w:tbl>
      <w:tblPr>
        <w:tblStyle w:val="GridTable4-Accent51"/>
        <w:tblW w:w="0" w:type="auto"/>
        <w:tblLook w:val="04A0" w:firstRow="1" w:lastRow="0" w:firstColumn="1" w:lastColumn="0" w:noHBand="0" w:noVBand="1"/>
      </w:tblPr>
      <w:tblGrid>
        <w:gridCol w:w="2299"/>
        <w:gridCol w:w="1628"/>
        <w:gridCol w:w="1407"/>
        <w:gridCol w:w="2150"/>
        <w:gridCol w:w="1578"/>
      </w:tblGrid>
      <w:tr w:rsidR="00E6313A" w:rsidRPr="006F3533" w14:paraId="0D165FBF"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EAFD413" w14:textId="77777777" w:rsidR="00E6313A" w:rsidRPr="006F3533" w:rsidRDefault="00E6313A" w:rsidP="00541E06">
            <w:pPr>
              <w:spacing w:before="100" w:beforeAutospacing="1" w:after="100" w:afterAutospacing="1"/>
              <w:jc w:val="center"/>
              <w:rPr>
                <w:rFonts w:eastAsia="Times New Roman" w:cs="Times New Roman"/>
                <w:b w:val="0"/>
                <w:bCs w:val="0"/>
                <w:color w:val="FFFFFF"/>
                <w:sz w:val="20"/>
                <w:lang w:val="bg-BG" w:eastAsia="bg-BG"/>
              </w:rPr>
            </w:pPr>
            <w:r w:rsidRPr="006F3533">
              <w:rPr>
                <w:rFonts w:eastAsia="Times New Roman" w:cs="Times New Roman"/>
                <w:color w:val="FFFFFF"/>
                <w:sz w:val="20"/>
                <w:lang w:val="bg-BG" w:eastAsia="bg-BG"/>
              </w:rPr>
              <w:t>Вид сграда</w:t>
            </w:r>
          </w:p>
        </w:tc>
        <w:tc>
          <w:tcPr>
            <w:tcW w:w="0" w:type="auto"/>
          </w:tcPr>
          <w:p w14:paraId="3A67CDD2"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lang w:val="bg-BG" w:eastAsia="bg-BG"/>
              </w:rPr>
            </w:pPr>
            <w:r w:rsidRPr="006F3533">
              <w:rPr>
                <w:rFonts w:eastAsia="Times New Roman" w:cs="Times New Roman"/>
                <w:color w:val="FFFFFF"/>
                <w:sz w:val="20"/>
                <w:lang w:val="bg-BG" w:eastAsia="bg-BG"/>
              </w:rPr>
              <w:t>Жилища в обитавани сгради</w:t>
            </w:r>
          </w:p>
        </w:tc>
        <w:tc>
          <w:tcPr>
            <w:tcW w:w="0" w:type="auto"/>
          </w:tcPr>
          <w:p w14:paraId="3B4FC0F0"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lang w:val="bg-BG" w:eastAsia="bg-BG"/>
              </w:rPr>
            </w:pPr>
            <w:r w:rsidRPr="006F3533">
              <w:rPr>
                <w:rFonts w:eastAsia="Times New Roman" w:cs="Times New Roman"/>
                <w:color w:val="FFFFFF"/>
                <w:sz w:val="20"/>
                <w:lang w:val="bg-BG" w:eastAsia="bg-BG"/>
              </w:rPr>
              <w:t>Обитавани жилища</w:t>
            </w:r>
          </w:p>
        </w:tc>
        <w:tc>
          <w:tcPr>
            <w:tcW w:w="0" w:type="auto"/>
          </w:tcPr>
          <w:p w14:paraId="7DA9943F"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lang w:val="bg-BG" w:eastAsia="bg-BG"/>
              </w:rPr>
            </w:pPr>
            <w:r w:rsidRPr="006F3533">
              <w:rPr>
                <w:rFonts w:eastAsia="Times New Roman" w:cs="Times New Roman"/>
                <w:color w:val="FFFFFF"/>
                <w:sz w:val="20"/>
                <w:lang w:val="bg-BG" w:eastAsia="bg-BG"/>
              </w:rPr>
              <w:t>Необитавани жилища в обитавани сгради</w:t>
            </w:r>
          </w:p>
        </w:tc>
        <w:tc>
          <w:tcPr>
            <w:tcW w:w="0" w:type="auto"/>
          </w:tcPr>
          <w:p w14:paraId="6DA925A7" w14:textId="77777777" w:rsidR="00E6313A" w:rsidRPr="006F3533" w:rsidRDefault="00E6313A" w:rsidP="00541E06">
            <w:pPr>
              <w:spacing w:before="100" w:beforeAutospacing="1" w:after="100" w:afterAutospacing="1"/>
              <w:jc w:val="right"/>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lang w:val="bg-BG" w:eastAsia="bg-BG"/>
              </w:rPr>
            </w:pPr>
            <w:r w:rsidRPr="006F3533">
              <w:rPr>
                <w:rFonts w:eastAsia="Times New Roman" w:cs="Times New Roman"/>
                <w:color w:val="FFFFFF"/>
                <w:sz w:val="20"/>
                <w:lang w:val="bg-BG" w:eastAsia="bg-BG"/>
              </w:rPr>
              <w:t>Дял необитавани, %</w:t>
            </w:r>
          </w:p>
        </w:tc>
      </w:tr>
      <w:tr w:rsidR="00E6313A" w:rsidRPr="006F3533" w14:paraId="27917E32" w14:textId="77777777" w:rsidTr="00541E06">
        <w:tc>
          <w:tcPr>
            <w:cnfStyle w:val="001000000000" w:firstRow="0" w:lastRow="0" w:firstColumn="1" w:lastColumn="0" w:oddVBand="0" w:evenVBand="0" w:oddHBand="0" w:evenHBand="0" w:firstRowFirstColumn="0" w:firstRowLastColumn="0" w:lastRowFirstColumn="0" w:lastRowLastColumn="0"/>
            <w:tcW w:w="0" w:type="auto"/>
            <w:shd w:val="clear" w:color="auto" w:fill="DEEAF6" w:themeFill="accent5" w:themeFillTint="33"/>
          </w:tcPr>
          <w:p w14:paraId="2E63E167"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Къща</w:t>
            </w:r>
          </w:p>
        </w:tc>
        <w:tc>
          <w:tcPr>
            <w:tcW w:w="0" w:type="auto"/>
            <w:shd w:val="clear" w:color="auto" w:fill="DEEAF6" w:themeFill="accent5" w:themeFillTint="33"/>
          </w:tcPr>
          <w:p w14:paraId="48CAFD0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1 301 432</w:t>
            </w:r>
          </w:p>
        </w:tc>
        <w:tc>
          <w:tcPr>
            <w:tcW w:w="0" w:type="auto"/>
            <w:shd w:val="clear" w:color="auto" w:fill="DEEAF6" w:themeFill="accent5" w:themeFillTint="33"/>
          </w:tcPr>
          <w:p w14:paraId="2E5A538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1 225 170</w:t>
            </w:r>
          </w:p>
        </w:tc>
        <w:tc>
          <w:tcPr>
            <w:tcW w:w="0" w:type="auto"/>
            <w:shd w:val="clear" w:color="auto" w:fill="DEEAF6" w:themeFill="accent5" w:themeFillTint="33"/>
          </w:tcPr>
          <w:p w14:paraId="5A44502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76 262</w:t>
            </w:r>
          </w:p>
        </w:tc>
        <w:tc>
          <w:tcPr>
            <w:tcW w:w="0" w:type="auto"/>
            <w:shd w:val="clear" w:color="auto" w:fill="DEEAF6" w:themeFill="accent5" w:themeFillTint="33"/>
          </w:tcPr>
          <w:p w14:paraId="09C361F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b/>
                <w:bCs/>
                <w:sz w:val="20"/>
                <w:lang w:val="bg-BG" w:eastAsia="bg-BG"/>
              </w:rPr>
              <w:t>5.9%</w:t>
            </w:r>
          </w:p>
        </w:tc>
      </w:tr>
      <w:tr w:rsidR="00E6313A" w:rsidRPr="006F3533" w14:paraId="6CA4280A" w14:textId="77777777" w:rsidTr="00541E06">
        <w:tc>
          <w:tcPr>
            <w:cnfStyle w:val="001000000000" w:firstRow="0" w:lastRow="0" w:firstColumn="1" w:lastColumn="0" w:oddVBand="0" w:evenVBand="0" w:oddHBand="0" w:evenHBand="0" w:firstRowFirstColumn="0" w:firstRowLastColumn="0" w:lastRowFirstColumn="0" w:lastRowLastColumn="0"/>
            <w:tcW w:w="0" w:type="auto"/>
          </w:tcPr>
          <w:p w14:paraId="13A3129E"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Жилищен блок / кооперация</w:t>
            </w:r>
          </w:p>
        </w:tc>
        <w:tc>
          <w:tcPr>
            <w:tcW w:w="0" w:type="auto"/>
          </w:tcPr>
          <w:p w14:paraId="720DF1B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1 876 742</w:t>
            </w:r>
          </w:p>
        </w:tc>
        <w:tc>
          <w:tcPr>
            <w:tcW w:w="0" w:type="auto"/>
          </w:tcPr>
          <w:p w14:paraId="1BFDF94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1 333 674</w:t>
            </w:r>
          </w:p>
        </w:tc>
        <w:tc>
          <w:tcPr>
            <w:tcW w:w="0" w:type="auto"/>
          </w:tcPr>
          <w:p w14:paraId="7950FAD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543 068</w:t>
            </w:r>
          </w:p>
        </w:tc>
        <w:tc>
          <w:tcPr>
            <w:tcW w:w="0" w:type="auto"/>
          </w:tcPr>
          <w:p w14:paraId="32B5344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b/>
                <w:bCs/>
                <w:sz w:val="20"/>
                <w:lang w:val="bg-BG" w:eastAsia="bg-BG"/>
              </w:rPr>
              <w:t>28.9%</w:t>
            </w:r>
          </w:p>
        </w:tc>
      </w:tr>
      <w:tr w:rsidR="00E6313A" w:rsidRPr="006F3533" w14:paraId="75BD32E6" w14:textId="77777777" w:rsidTr="00541E06">
        <w:tc>
          <w:tcPr>
            <w:cnfStyle w:val="001000000000" w:firstRow="0" w:lastRow="0" w:firstColumn="1" w:lastColumn="0" w:oddVBand="0" w:evenVBand="0" w:oddHBand="0" w:evenHBand="0" w:firstRowFirstColumn="0" w:firstRowLastColumn="0" w:lastRowFirstColumn="0" w:lastRowLastColumn="0"/>
            <w:tcW w:w="0" w:type="auto"/>
            <w:shd w:val="clear" w:color="auto" w:fill="DEEAF6" w:themeFill="accent5" w:themeFillTint="33"/>
          </w:tcPr>
          <w:p w14:paraId="70A0FF11"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Сграда от смесен тип (над 60% жилищна площ)</w:t>
            </w:r>
          </w:p>
        </w:tc>
        <w:tc>
          <w:tcPr>
            <w:tcW w:w="0" w:type="auto"/>
            <w:shd w:val="clear" w:color="auto" w:fill="DEEAF6" w:themeFill="accent5" w:themeFillTint="33"/>
          </w:tcPr>
          <w:p w14:paraId="6B661DB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28 508</w:t>
            </w:r>
          </w:p>
        </w:tc>
        <w:tc>
          <w:tcPr>
            <w:tcW w:w="0" w:type="auto"/>
            <w:shd w:val="clear" w:color="auto" w:fill="DEEAF6" w:themeFill="accent5" w:themeFillTint="33"/>
          </w:tcPr>
          <w:p w14:paraId="478E0C8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17 543</w:t>
            </w:r>
          </w:p>
        </w:tc>
        <w:tc>
          <w:tcPr>
            <w:tcW w:w="0" w:type="auto"/>
            <w:shd w:val="clear" w:color="auto" w:fill="DEEAF6" w:themeFill="accent5" w:themeFillTint="33"/>
          </w:tcPr>
          <w:p w14:paraId="2F829EC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10 965</w:t>
            </w:r>
          </w:p>
        </w:tc>
        <w:tc>
          <w:tcPr>
            <w:tcW w:w="0" w:type="auto"/>
            <w:shd w:val="clear" w:color="auto" w:fill="DEEAF6" w:themeFill="accent5" w:themeFillTint="33"/>
          </w:tcPr>
          <w:p w14:paraId="41124A6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b/>
                <w:bCs/>
                <w:sz w:val="20"/>
                <w:lang w:val="bg-BG" w:eastAsia="bg-BG"/>
              </w:rPr>
              <w:t>38.5%</w:t>
            </w:r>
          </w:p>
        </w:tc>
      </w:tr>
      <w:tr w:rsidR="00E6313A" w:rsidRPr="006F3533" w14:paraId="6B960B68" w14:textId="77777777" w:rsidTr="00541E06">
        <w:tc>
          <w:tcPr>
            <w:cnfStyle w:val="001000000000" w:firstRow="0" w:lastRow="0" w:firstColumn="1" w:lastColumn="0" w:oddVBand="0" w:evenVBand="0" w:oddHBand="0" w:evenHBand="0" w:firstRowFirstColumn="0" w:firstRowLastColumn="0" w:lastRowFirstColumn="0" w:lastRowLastColumn="0"/>
            <w:tcW w:w="0" w:type="auto"/>
          </w:tcPr>
          <w:p w14:paraId="76568774"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Общежитие</w:t>
            </w:r>
          </w:p>
        </w:tc>
        <w:tc>
          <w:tcPr>
            <w:tcW w:w="0" w:type="auto"/>
          </w:tcPr>
          <w:p w14:paraId="70976E8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24 653</w:t>
            </w:r>
          </w:p>
        </w:tc>
        <w:tc>
          <w:tcPr>
            <w:tcW w:w="0" w:type="auto"/>
          </w:tcPr>
          <w:p w14:paraId="7C7898A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16 115</w:t>
            </w:r>
          </w:p>
        </w:tc>
        <w:tc>
          <w:tcPr>
            <w:tcW w:w="0" w:type="auto"/>
          </w:tcPr>
          <w:p w14:paraId="3984DD2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8 538</w:t>
            </w:r>
          </w:p>
        </w:tc>
        <w:tc>
          <w:tcPr>
            <w:tcW w:w="0" w:type="auto"/>
          </w:tcPr>
          <w:p w14:paraId="39256B6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b/>
                <w:bCs/>
                <w:sz w:val="20"/>
                <w:lang w:val="bg-BG" w:eastAsia="bg-BG"/>
              </w:rPr>
              <w:t>34.6%</w:t>
            </w:r>
          </w:p>
        </w:tc>
      </w:tr>
      <w:tr w:rsidR="00E6313A" w:rsidRPr="006F3533" w14:paraId="2034C2CD" w14:textId="77777777" w:rsidTr="00541E06">
        <w:tc>
          <w:tcPr>
            <w:cnfStyle w:val="001000000000" w:firstRow="0" w:lastRow="0" w:firstColumn="1" w:lastColumn="0" w:oddVBand="0" w:evenVBand="0" w:oddHBand="0" w:evenHBand="0" w:firstRowFirstColumn="0" w:firstRowLastColumn="0" w:lastRowFirstColumn="0" w:lastRowLastColumn="0"/>
            <w:tcW w:w="0" w:type="auto"/>
            <w:shd w:val="clear" w:color="auto" w:fill="DEEAF6" w:themeFill="accent5" w:themeFillTint="33"/>
          </w:tcPr>
          <w:p w14:paraId="76408F70"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Вила</w:t>
            </w:r>
          </w:p>
        </w:tc>
        <w:tc>
          <w:tcPr>
            <w:tcW w:w="0" w:type="auto"/>
            <w:shd w:val="clear" w:color="auto" w:fill="DEEAF6" w:themeFill="accent5" w:themeFillTint="33"/>
          </w:tcPr>
          <w:p w14:paraId="25CBA2D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7 406</w:t>
            </w:r>
          </w:p>
        </w:tc>
        <w:tc>
          <w:tcPr>
            <w:tcW w:w="0" w:type="auto"/>
            <w:shd w:val="clear" w:color="auto" w:fill="DEEAF6" w:themeFill="accent5" w:themeFillTint="33"/>
          </w:tcPr>
          <w:p w14:paraId="1033D6C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6 852</w:t>
            </w:r>
          </w:p>
        </w:tc>
        <w:tc>
          <w:tcPr>
            <w:tcW w:w="0" w:type="auto"/>
            <w:shd w:val="clear" w:color="auto" w:fill="DEEAF6" w:themeFill="accent5" w:themeFillTint="33"/>
          </w:tcPr>
          <w:p w14:paraId="2FC31F4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554</w:t>
            </w:r>
          </w:p>
        </w:tc>
        <w:tc>
          <w:tcPr>
            <w:tcW w:w="0" w:type="auto"/>
            <w:shd w:val="clear" w:color="auto" w:fill="DEEAF6" w:themeFill="accent5" w:themeFillTint="33"/>
          </w:tcPr>
          <w:p w14:paraId="6B93CD3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b/>
                <w:bCs/>
                <w:sz w:val="20"/>
                <w:lang w:val="bg-BG" w:eastAsia="bg-BG"/>
              </w:rPr>
              <w:t>7.5%</w:t>
            </w:r>
          </w:p>
        </w:tc>
      </w:tr>
      <w:tr w:rsidR="00E6313A" w:rsidRPr="006F3533" w14:paraId="5B96F996" w14:textId="77777777" w:rsidTr="00541E06">
        <w:tc>
          <w:tcPr>
            <w:cnfStyle w:val="001000000000" w:firstRow="0" w:lastRow="0" w:firstColumn="1" w:lastColumn="0" w:oddVBand="0" w:evenVBand="0" w:oddHBand="0" w:evenHBand="0" w:firstRowFirstColumn="0" w:firstRowLastColumn="0" w:lastRowFirstColumn="0" w:lastRowLastColumn="0"/>
            <w:tcW w:w="0" w:type="auto"/>
          </w:tcPr>
          <w:p w14:paraId="2321E3DA"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lastRenderedPageBreak/>
              <w:t>Сграда за колективно домакинство</w:t>
            </w:r>
          </w:p>
        </w:tc>
        <w:tc>
          <w:tcPr>
            <w:tcW w:w="0" w:type="auto"/>
          </w:tcPr>
          <w:p w14:paraId="662EF09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845</w:t>
            </w:r>
          </w:p>
        </w:tc>
        <w:tc>
          <w:tcPr>
            <w:tcW w:w="0" w:type="auto"/>
          </w:tcPr>
          <w:p w14:paraId="31CFEAB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824</w:t>
            </w:r>
          </w:p>
        </w:tc>
        <w:tc>
          <w:tcPr>
            <w:tcW w:w="0" w:type="auto"/>
          </w:tcPr>
          <w:p w14:paraId="106CCBA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21</w:t>
            </w:r>
          </w:p>
        </w:tc>
        <w:tc>
          <w:tcPr>
            <w:tcW w:w="0" w:type="auto"/>
          </w:tcPr>
          <w:p w14:paraId="38CE40C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b/>
                <w:bCs/>
                <w:sz w:val="20"/>
                <w:lang w:val="bg-BG" w:eastAsia="bg-BG"/>
              </w:rPr>
              <w:t>2.5%</w:t>
            </w:r>
          </w:p>
        </w:tc>
      </w:tr>
      <w:tr w:rsidR="00E6313A" w:rsidRPr="006F3533" w14:paraId="05CD03AB" w14:textId="77777777" w:rsidTr="00541E06">
        <w:tc>
          <w:tcPr>
            <w:cnfStyle w:val="001000000000" w:firstRow="0" w:lastRow="0" w:firstColumn="1" w:lastColumn="0" w:oddVBand="0" w:evenVBand="0" w:oddHBand="0" w:evenHBand="0" w:firstRowFirstColumn="0" w:firstRowLastColumn="0" w:lastRowFirstColumn="0" w:lastRowLastColumn="0"/>
            <w:tcW w:w="0" w:type="auto"/>
            <w:shd w:val="clear" w:color="auto" w:fill="DEEAF6" w:themeFill="accent5" w:themeFillTint="33"/>
          </w:tcPr>
          <w:p w14:paraId="49F1E8A7"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Друго</w:t>
            </w:r>
          </w:p>
        </w:tc>
        <w:tc>
          <w:tcPr>
            <w:tcW w:w="0" w:type="auto"/>
            <w:shd w:val="clear" w:color="auto" w:fill="DEEAF6" w:themeFill="accent5" w:themeFillTint="33"/>
          </w:tcPr>
          <w:p w14:paraId="60771D7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0</w:t>
            </w:r>
          </w:p>
        </w:tc>
        <w:tc>
          <w:tcPr>
            <w:tcW w:w="0" w:type="auto"/>
            <w:shd w:val="clear" w:color="auto" w:fill="DEEAF6" w:themeFill="accent5" w:themeFillTint="33"/>
          </w:tcPr>
          <w:p w14:paraId="54B347E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3 535</w:t>
            </w:r>
          </w:p>
        </w:tc>
        <w:tc>
          <w:tcPr>
            <w:tcW w:w="0" w:type="auto"/>
            <w:shd w:val="clear" w:color="auto" w:fill="DEEAF6" w:themeFill="accent5" w:themeFillTint="33"/>
          </w:tcPr>
          <w:p w14:paraId="7CDA870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w:t>
            </w:r>
          </w:p>
        </w:tc>
        <w:tc>
          <w:tcPr>
            <w:tcW w:w="0" w:type="auto"/>
            <w:shd w:val="clear" w:color="auto" w:fill="DEEAF6" w:themeFill="accent5" w:themeFillTint="33"/>
          </w:tcPr>
          <w:p w14:paraId="667A885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w:t>
            </w:r>
          </w:p>
        </w:tc>
      </w:tr>
      <w:tr w:rsidR="00E6313A" w:rsidRPr="006F3533" w14:paraId="7CBEF268" w14:textId="77777777" w:rsidTr="00541E06">
        <w:tc>
          <w:tcPr>
            <w:cnfStyle w:val="001000000000" w:firstRow="0" w:lastRow="0" w:firstColumn="1" w:lastColumn="0" w:oddVBand="0" w:evenVBand="0" w:oddHBand="0" w:evenHBand="0" w:firstRowFirstColumn="0" w:firstRowLastColumn="0" w:lastRowFirstColumn="0" w:lastRowLastColumn="0"/>
            <w:tcW w:w="0" w:type="auto"/>
          </w:tcPr>
          <w:p w14:paraId="251261FB"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Общо</w:t>
            </w:r>
          </w:p>
        </w:tc>
        <w:tc>
          <w:tcPr>
            <w:tcW w:w="0" w:type="auto"/>
          </w:tcPr>
          <w:p w14:paraId="4D45B02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3 239 586</w:t>
            </w:r>
          </w:p>
        </w:tc>
        <w:tc>
          <w:tcPr>
            <w:tcW w:w="0" w:type="auto"/>
          </w:tcPr>
          <w:p w14:paraId="0582A29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2 603 713</w:t>
            </w:r>
          </w:p>
        </w:tc>
        <w:tc>
          <w:tcPr>
            <w:tcW w:w="0" w:type="auto"/>
          </w:tcPr>
          <w:p w14:paraId="7FA3D14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635 873</w:t>
            </w:r>
          </w:p>
        </w:tc>
        <w:tc>
          <w:tcPr>
            <w:tcW w:w="0" w:type="auto"/>
          </w:tcPr>
          <w:p w14:paraId="4AA0252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b/>
                <w:bCs/>
                <w:sz w:val="20"/>
                <w:lang w:val="bg-BG" w:eastAsia="bg-BG"/>
              </w:rPr>
              <w:t>19.6%</w:t>
            </w:r>
          </w:p>
        </w:tc>
      </w:tr>
    </w:tbl>
    <w:p w14:paraId="44666F6D"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28CD74F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Съвсем различна е ситуацията при многофамилните жилищни сгради. В жилищните блокове и кооперации </w:t>
      </w:r>
      <w:r w:rsidRPr="006F3533">
        <w:rPr>
          <w:rFonts w:eastAsia="Times New Roman" w:cs="Times New Roman"/>
          <w:b/>
          <w:bCs/>
          <w:szCs w:val="24"/>
          <w:lang w:val="bg-BG" w:eastAsia="bg-BG"/>
        </w:rPr>
        <w:t>близо 29% от жилищата, разположени в обитавани сгради, са необитавани.</w:t>
      </w:r>
      <w:r w:rsidRPr="006F3533">
        <w:rPr>
          <w:rFonts w:eastAsia="Times New Roman" w:cs="Times New Roman"/>
          <w:szCs w:val="24"/>
          <w:lang w:val="bg-BG" w:eastAsia="bg-BG"/>
        </w:rPr>
        <w:t xml:space="preserve"> Това означава, че значителна част от многофамилните сгради функционират в режим на вътрешен „микс“ – обитавана сграда, в която съществува немалък дял необитавани самостоятелни обекти. Този дял е още по-висок при сградите от смесен тип (38,5%) и общежитията (34,6%), което показва силна фрагментация на реалното ползване в рамките на една и съща сграда.</w:t>
      </w:r>
    </w:p>
    <w:p w14:paraId="6D0C6BA3"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Именно този вътрешен микс в многофамилните сгради представлява системно ограничение за ефективното прилагане на програми за енергийно обновяване. При наличие на значителен брой необитавани жилища на първо място стои въпросът за икономическата целесъобразност на инвестицията за дълбоко саниране на конкретната сграда. В допълнение,  възникват практически трудности, свързани с осигуряване на достъп, постигане на необходимите решения на етажната собственост и гарантиране на финансово участие от всички собственици. Натрупаната практика от прилагането на публични схеми показва, че често се срещат обективни пречки – собственици, пребиваващи в чужбина, лица с неизвестен адрес, неуредени наследствени отношения и други случаи, които затрудняват или блокират колективните решения.</w:t>
      </w:r>
    </w:p>
    <w:p w14:paraId="108A327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При модели, изискващи съфинансиране от страна на собствениците, този проблем се изостря допълнително. Липсата на участие дори на относително малък дял от собствениците може да направи невъзможно финансовото затваряне на инвестицията и да обезсмисли усилията на активните домакинства. В този смисъл делът на необитаваните жилища в рамките на обитаваните многофамилни сгради следва да бъде разглеждан като критичен фактор при планирането на обхвата, инструментите и условията за допустимост по НПСС. Когато в една сграда значителен процент от жилищата не се използват е налице ограничава възможността да бъдат постигнати високи нива на енергийни спестявания и съответствие с изискванията за минимален клас на енергопотребление, което прави „дълбокото“ обновяване икономически неефективно от гледна точка на разход–полза.</w:t>
      </w:r>
    </w:p>
    <w:p w14:paraId="20BFE35E"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От </w:t>
      </w:r>
      <w:proofErr w:type="spellStart"/>
      <w:r w:rsidRPr="006F3533">
        <w:rPr>
          <w:rFonts w:eastAsia="Times New Roman" w:cs="Times New Roman"/>
          <w:szCs w:val="24"/>
          <w:lang w:val="bg-BG" w:eastAsia="bg-BG"/>
        </w:rPr>
        <w:t>разходоефективна</w:t>
      </w:r>
      <w:proofErr w:type="spellEnd"/>
      <w:r w:rsidRPr="006F3533">
        <w:rPr>
          <w:rFonts w:eastAsia="Times New Roman" w:cs="Times New Roman"/>
          <w:szCs w:val="24"/>
          <w:lang w:val="bg-BG" w:eastAsia="bg-BG"/>
        </w:rPr>
        <w:t xml:space="preserve"> перспектива за този тип сгради е по-подходящо прилагането на по-гъвкави и насочени подходи, ориентирани към обитаваните жилища, а не към цялостно сградно обновяване. Такива подходи включват възможност за реализиране на частични мерки за енергийна ефективност, които могат да бъдат прилагани поетапно и при по-ниска инвестиционна тежест за домакинствата – например подобряване на топлотехническите характеристики на прозорците и вратите, подмяна на неефективни отоплителни уреди или други локални интервенции. Подобен тип инструменти позволяват постигане на реални енергийни и социални ползи при ограничен финансов риск и са по-добре съобразени със структурните особености на сгради с висок дял необитавани жилища.</w:t>
      </w:r>
    </w:p>
    <w:p w14:paraId="7C824D95"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В обобщение, анализът на обитаваните и необитаваните жилища по вид сграда показва, че НПСС следва да бъде ясно фокусиран върху многофамилните и еднофамилните жилищни сгради с реално обитаване, като отчита различния им структурен профил. Многофамилните сгради са ключовият сегмент за постигане на мащабен енергиен ефект, докато при еднофамилните жилища са необходими диференцирани и по-гъвкави подходи. В същото време високият дял необитавани жилища, особено в многофамилни сгради, следва да бъде отчетен като системно ограничение при планирането на обхвата, инструментите на НПСС.</w:t>
      </w:r>
    </w:p>
    <w:p w14:paraId="2DE7556D"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Основни характеристики на обитаваните жилищата</w:t>
      </w:r>
    </w:p>
    <w:p w14:paraId="1EC4F9A9" w14:textId="77777777" w:rsidR="00E6313A" w:rsidRPr="006F3533" w:rsidRDefault="00E6313A" w:rsidP="00E6313A">
      <w:pPr>
        <w:spacing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Настоящата точка и всички последващи се фокусират изключително върху обитаваните жилища в страната. Това методологично решение е продиктувано от целите на анализа, тъй като само обитаваните жилища участват реално в енергопотреблението, формират действителните жилищни нужди на населението и имат значение за планирането и прилагането на политики в областта на енергийната ефективност, социалната подкрепа и обновяването на жилищния фонд.</w:t>
      </w:r>
    </w:p>
    <w:p w14:paraId="05AA91AE" w14:textId="77777777" w:rsidR="00E6313A"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Към момента на преброяването в страната са регистрирани 2 603 713 обитавани жилища, в които се намират общо 9 707 834 жилищни помещения и 8 175 733 стаи. Общата полезна площ на тези жилища възлиза на 221 135 410 кв. м, а жилищната площ – на 151 503 757 кв. м. Това означава, че средната полезна площ на едно обитавано жилище е 80.3 кв.м. , което е показател за относително умерен размер на жилищата в национален мащаб.</w:t>
      </w:r>
    </w:p>
    <w:p w14:paraId="2792A048" w14:textId="77777777" w:rsidR="00372360" w:rsidRDefault="00372360" w:rsidP="00E6313A">
      <w:pPr>
        <w:spacing w:before="100" w:beforeAutospacing="1" w:after="100" w:afterAutospacing="1" w:line="240" w:lineRule="auto"/>
        <w:jc w:val="both"/>
        <w:rPr>
          <w:rFonts w:eastAsia="Times New Roman" w:cs="Times New Roman"/>
          <w:szCs w:val="24"/>
          <w:lang w:val="bg-BG" w:eastAsia="bg-BG"/>
        </w:rPr>
      </w:pPr>
    </w:p>
    <w:p w14:paraId="7BA3660C" w14:textId="77777777" w:rsidR="00E6313A" w:rsidRPr="006F3533" w:rsidRDefault="00E6313A" w:rsidP="00E6313A">
      <w:pPr>
        <w:spacing w:line="240" w:lineRule="auto"/>
        <w:jc w:val="both"/>
        <w:rPr>
          <w:rFonts w:cs="Times New Roman"/>
          <w:i/>
          <w:iCs/>
          <w:color w:val="0070C0"/>
          <w:szCs w:val="24"/>
          <w:lang w:val="bg-BG"/>
        </w:rPr>
      </w:pPr>
      <w:bookmarkStart w:id="57" w:name="_Toc216777103"/>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10</w:t>
      </w:r>
      <w:r w:rsidRPr="006F3533">
        <w:rPr>
          <w:rFonts w:cs="Times New Roman"/>
          <w:i/>
          <w:iCs/>
          <w:color w:val="0070C0"/>
          <w:szCs w:val="24"/>
          <w:lang w:val="bg-BG"/>
        </w:rPr>
        <w:fldChar w:fldCharType="end"/>
      </w:r>
      <w:r w:rsidRPr="006F3533">
        <w:rPr>
          <w:rFonts w:cs="Times New Roman"/>
          <w:i/>
          <w:iCs/>
          <w:color w:val="0070C0"/>
          <w:szCs w:val="24"/>
          <w:lang w:val="bg-BG"/>
        </w:rPr>
        <w:t>: Характеристики на обитаваните жилища към 07.09.2021 г.</w:t>
      </w:r>
      <w:bookmarkEnd w:id="57"/>
    </w:p>
    <w:tbl>
      <w:tblPr>
        <w:tblStyle w:val="GridTable4-Accent51"/>
        <w:tblW w:w="6020" w:type="pct"/>
        <w:jc w:val="center"/>
        <w:tblLayout w:type="fixed"/>
        <w:tblLook w:val="04A0" w:firstRow="1" w:lastRow="0" w:firstColumn="1" w:lastColumn="0" w:noHBand="0" w:noVBand="1"/>
      </w:tblPr>
      <w:tblGrid>
        <w:gridCol w:w="1162"/>
        <w:gridCol w:w="1504"/>
        <w:gridCol w:w="1039"/>
        <w:gridCol w:w="1277"/>
        <w:gridCol w:w="1414"/>
        <w:gridCol w:w="1272"/>
        <w:gridCol w:w="1135"/>
        <w:gridCol w:w="1117"/>
        <w:gridCol w:w="991"/>
      </w:tblGrid>
      <w:tr w:rsidR="00E6313A" w:rsidRPr="006F3533" w14:paraId="5EE7B5F4" w14:textId="77777777" w:rsidTr="00541E06">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33" w:type="pct"/>
            <w:noWrap/>
          </w:tcPr>
          <w:p w14:paraId="468ED026" w14:textId="77777777" w:rsidR="00E6313A" w:rsidRPr="006F3533" w:rsidRDefault="00E6313A" w:rsidP="00541E06">
            <w:pPr>
              <w:spacing w:before="100" w:beforeAutospacing="1" w:after="100" w:afterAutospacing="1"/>
              <w:jc w:val="center"/>
              <w:rPr>
                <w:rFonts w:eastAsia="Times New Roman" w:cs="Times New Roman"/>
                <w:b w:val="0"/>
                <w:bCs w:val="0"/>
                <w:color w:val="FFFFFF"/>
                <w:sz w:val="18"/>
                <w:szCs w:val="18"/>
                <w:lang w:val="bg-BG" w:eastAsia="bg-BG"/>
              </w:rPr>
            </w:pPr>
            <w:r w:rsidRPr="006F3533">
              <w:rPr>
                <w:rFonts w:eastAsia="Times New Roman" w:cs="Times New Roman"/>
                <w:color w:val="FFFFFF"/>
                <w:sz w:val="18"/>
                <w:szCs w:val="18"/>
                <w:lang w:val="bg-BG" w:eastAsia="bg-BG"/>
              </w:rPr>
              <w:t>Жилища</w:t>
            </w:r>
          </w:p>
        </w:tc>
        <w:tc>
          <w:tcPr>
            <w:tcW w:w="689" w:type="pct"/>
            <w:noWrap/>
          </w:tcPr>
          <w:p w14:paraId="6FD409F5"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18"/>
                <w:szCs w:val="18"/>
                <w:lang w:val="bg-BG" w:eastAsia="bg-BG"/>
              </w:rPr>
            </w:pPr>
            <w:r w:rsidRPr="006F3533">
              <w:rPr>
                <w:rFonts w:eastAsia="Times New Roman" w:cs="Times New Roman"/>
                <w:color w:val="FFFFFF"/>
                <w:sz w:val="18"/>
                <w:szCs w:val="18"/>
                <w:lang w:val="bg-BG" w:eastAsia="bg-BG"/>
              </w:rPr>
              <w:t>Жилищни помещения</w:t>
            </w:r>
          </w:p>
        </w:tc>
        <w:tc>
          <w:tcPr>
            <w:tcW w:w="476" w:type="pct"/>
            <w:noWrap/>
          </w:tcPr>
          <w:p w14:paraId="348EF923"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18"/>
                <w:szCs w:val="18"/>
                <w:lang w:val="bg-BG" w:eastAsia="bg-BG"/>
              </w:rPr>
            </w:pPr>
            <w:r w:rsidRPr="006F3533">
              <w:rPr>
                <w:rFonts w:eastAsia="Times New Roman" w:cs="Times New Roman"/>
                <w:color w:val="FFFFFF"/>
                <w:sz w:val="18"/>
                <w:szCs w:val="18"/>
                <w:lang w:val="bg-BG" w:eastAsia="bg-BG"/>
              </w:rPr>
              <w:t>Стаи</w:t>
            </w:r>
          </w:p>
        </w:tc>
        <w:tc>
          <w:tcPr>
            <w:tcW w:w="585" w:type="pct"/>
            <w:noWrap/>
          </w:tcPr>
          <w:p w14:paraId="6BF87460"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18"/>
                <w:szCs w:val="18"/>
                <w:lang w:val="bg-BG" w:eastAsia="bg-BG"/>
              </w:rPr>
            </w:pPr>
            <w:r w:rsidRPr="006F3533">
              <w:rPr>
                <w:rFonts w:eastAsia="Times New Roman" w:cs="Times New Roman"/>
                <w:color w:val="FFFFFF"/>
                <w:sz w:val="18"/>
                <w:szCs w:val="18"/>
                <w:lang w:val="bg-BG" w:eastAsia="bg-BG"/>
              </w:rPr>
              <w:t>Полезна площ</w:t>
            </w:r>
          </w:p>
        </w:tc>
        <w:tc>
          <w:tcPr>
            <w:tcW w:w="648" w:type="pct"/>
            <w:noWrap/>
          </w:tcPr>
          <w:p w14:paraId="35957DB6"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18"/>
                <w:szCs w:val="18"/>
                <w:lang w:val="bg-BG" w:eastAsia="bg-BG"/>
              </w:rPr>
            </w:pPr>
            <w:r w:rsidRPr="006F3533">
              <w:rPr>
                <w:rFonts w:eastAsia="Times New Roman" w:cs="Times New Roman"/>
                <w:color w:val="FFFFFF"/>
                <w:sz w:val="18"/>
                <w:szCs w:val="18"/>
                <w:lang w:val="bg-BG" w:eastAsia="bg-BG"/>
              </w:rPr>
              <w:t>Жилищна площ</w:t>
            </w:r>
          </w:p>
        </w:tc>
        <w:tc>
          <w:tcPr>
            <w:tcW w:w="583" w:type="pct"/>
            <w:noWrap/>
          </w:tcPr>
          <w:p w14:paraId="43048C41"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18"/>
                <w:szCs w:val="18"/>
                <w:lang w:val="bg-BG" w:eastAsia="bg-BG"/>
              </w:rPr>
            </w:pPr>
            <w:r w:rsidRPr="006F3533">
              <w:rPr>
                <w:rFonts w:eastAsia="Times New Roman" w:cs="Times New Roman"/>
                <w:color w:val="FFFFFF"/>
                <w:sz w:val="18"/>
                <w:szCs w:val="18"/>
                <w:lang w:val="bg-BG" w:eastAsia="bg-BG"/>
              </w:rPr>
              <w:t>Живущи лица</w:t>
            </w:r>
          </w:p>
        </w:tc>
        <w:tc>
          <w:tcPr>
            <w:tcW w:w="520" w:type="pct"/>
            <w:noWrap/>
          </w:tcPr>
          <w:p w14:paraId="20856AFD"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18"/>
                <w:szCs w:val="18"/>
                <w:lang w:val="bg-BG" w:eastAsia="bg-BG"/>
              </w:rPr>
            </w:pPr>
            <w:r w:rsidRPr="006F3533">
              <w:rPr>
                <w:rFonts w:eastAsia="Times New Roman" w:cs="Times New Roman"/>
                <w:color w:val="FFFFFF"/>
                <w:sz w:val="18"/>
                <w:szCs w:val="18"/>
                <w:lang w:val="bg-BG" w:eastAsia="bg-BG"/>
              </w:rPr>
              <w:t>Домакинства</w:t>
            </w:r>
          </w:p>
        </w:tc>
        <w:tc>
          <w:tcPr>
            <w:tcW w:w="512" w:type="pct"/>
            <w:noWrap/>
          </w:tcPr>
          <w:p w14:paraId="3966296D"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18"/>
                <w:szCs w:val="18"/>
                <w:lang w:val="bg-BG" w:eastAsia="bg-BG"/>
              </w:rPr>
            </w:pPr>
            <w:r w:rsidRPr="006F3533">
              <w:rPr>
                <w:rFonts w:eastAsia="Times New Roman" w:cs="Times New Roman"/>
                <w:color w:val="FFFFFF"/>
                <w:sz w:val="18"/>
                <w:szCs w:val="18"/>
                <w:lang w:val="bg-BG" w:eastAsia="bg-BG"/>
              </w:rPr>
              <w:t>Семейства</w:t>
            </w:r>
          </w:p>
        </w:tc>
        <w:tc>
          <w:tcPr>
            <w:tcW w:w="454" w:type="pct"/>
            <w:noWrap/>
          </w:tcPr>
          <w:p w14:paraId="1F50194F"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18"/>
                <w:szCs w:val="18"/>
                <w:lang w:val="bg-BG" w:eastAsia="bg-BG"/>
              </w:rPr>
            </w:pPr>
            <w:r w:rsidRPr="006F3533">
              <w:rPr>
                <w:rFonts w:eastAsia="Times New Roman" w:cs="Times New Roman"/>
                <w:color w:val="FFFFFF"/>
                <w:sz w:val="18"/>
                <w:szCs w:val="18"/>
                <w:lang w:val="bg-BG" w:eastAsia="bg-BG"/>
              </w:rPr>
              <w:t>Средно живущи лица</w:t>
            </w:r>
          </w:p>
        </w:tc>
      </w:tr>
      <w:tr w:rsidR="00E6313A" w:rsidRPr="006F3533" w14:paraId="26916A3D" w14:textId="77777777" w:rsidTr="00541E06">
        <w:trPr>
          <w:trHeight w:val="300"/>
          <w:jc w:val="center"/>
        </w:trPr>
        <w:tc>
          <w:tcPr>
            <w:cnfStyle w:val="001000000000" w:firstRow="0" w:lastRow="0" w:firstColumn="1" w:lastColumn="0" w:oddVBand="0" w:evenVBand="0" w:oddHBand="0" w:evenHBand="0" w:firstRowFirstColumn="0" w:firstRowLastColumn="0" w:lastRowFirstColumn="0" w:lastRowLastColumn="0"/>
            <w:tcW w:w="533" w:type="pct"/>
            <w:shd w:val="clear" w:color="auto" w:fill="DEEAF6" w:themeFill="accent5" w:themeFillTint="33"/>
            <w:noWrap/>
          </w:tcPr>
          <w:p w14:paraId="7A3C2BB4" w14:textId="77777777" w:rsidR="00E6313A" w:rsidRPr="006F3533" w:rsidRDefault="00E6313A" w:rsidP="00541E06">
            <w:pPr>
              <w:spacing w:before="100" w:beforeAutospacing="1" w:after="100" w:afterAutospacing="1"/>
              <w:jc w:val="right"/>
              <w:rPr>
                <w:rFonts w:eastAsia="Times New Roman" w:cs="Calibri"/>
                <w:b w:val="0"/>
                <w:bCs w:val="0"/>
                <w:color w:val="000000"/>
                <w:sz w:val="18"/>
                <w:szCs w:val="18"/>
                <w:lang w:val="bg-BG" w:eastAsia="bg-BG"/>
              </w:rPr>
            </w:pPr>
            <w:r w:rsidRPr="006F3533">
              <w:rPr>
                <w:rFonts w:eastAsia="Times New Roman" w:cs="Calibri"/>
                <w:color w:val="000000"/>
                <w:sz w:val="18"/>
                <w:szCs w:val="18"/>
                <w:lang w:val="bg-BG" w:eastAsia="bg-BG"/>
              </w:rPr>
              <w:t>2603713</w:t>
            </w:r>
          </w:p>
        </w:tc>
        <w:tc>
          <w:tcPr>
            <w:tcW w:w="689" w:type="pct"/>
            <w:shd w:val="clear" w:color="auto" w:fill="DEEAF6" w:themeFill="accent5" w:themeFillTint="33"/>
            <w:noWrap/>
          </w:tcPr>
          <w:p w14:paraId="71657EF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lang w:val="bg-BG" w:eastAsia="bg-BG"/>
              </w:rPr>
            </w:pPr>
            <w:r w:rsidRPr="006F3533">
              <w:rPr>
                <w:rFonts w:eastAsia="Times New Roman" w:cs="Calibri"/>
                <w:color w:val="000000"/>
                <w:sz w:val="18"/>
                <w:szCs w:val="18"/>
                <w:lang w:val="bg-BG" w:eastAsia="bg-BG"/>
              </w:rPr>
              <w:t>9707834</w:t>
            </w:r>
          </w:p>
        </w:tc>
        <w:tc>
          <w:tcPr>
            <w:tcW w:w="476" w:type="pct"/>
            <w:shd w:val="clear" w:color="auto" w:fill="DEEAF6" w:themeFill="accent5" w:themeFillTint="33"/>
            <w:noWrap/>
          </w:tcPr>
          <w:p w14:paraId="5DC4BD3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lang w:val="bg-BG" w:eastAsia="bg-BG"/>
              </w:rPr>
            </w:pPr>
            <w:r w:rsidRPr="006F3533">
              <w:rPr>
                <w:rFonts w:eastAsia="Times New Roman" w:cs="Calibri"/>
                <w:color w:val="000000"/>
                <w:sz w:val="18"/>
                <w:szCs w:val="18"/>
                <w:lang w:val="bg-BG" w:eastAsia="bg-BG"/>
              </w:rPr>
              <w:t>8175733</w:t>
            </w:r>
          </w:p>
        </w:tc>
        <w:tc>
          <w:tcPr>
            <w:tcW w:w="585" w:type="pct"/>
            <w:shd w:val="clear" w:color="auto" w:fill="DEEAF6" w:themeFill="accent5" w:themeFillTint="33"/>
            <w:noWrap/>
          </w:tcPr>
          <w:p w14:paraId="5F9AFD8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lang w:val="bg-BG" w:eastAsia="bg-BG"/>
              </w:rPr>
            </w:pPr>
            <w:r w:rsidRPr="006F3533">
              <w:rPr>
                <w:rFonts w:eastAsia="Times New Roman" w:cs="Calibri"/>
                <w:color w:val="000000"/>
                <w:sz w:val="18"/>
                <w:szCs w:val="18"/>
                <w:lang w:val="bg-BG" w:eastAsia="bg-BG"/>
              </w:rPr>
              <w:t>221135410</w:t>
            </w:r>
          </w:p>
        </w:tc>
        <w:tc>
          <w:tcPr>
            <w:tcW w:w="648" w:type="pct"/>
            <w:shd w:val="clear" w:color="auto" w:fill="DEEAF6" w:themeFill="accent5" w:themeFillTint="33"/>
            <w:noWrap/>
          </w:tcPr>
          <w:p w14:paraId="57FE1AF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lang w:val="bg-BG" w:eastAsia="bg-BG"/>
              </w:rPr>
            </w:pPr>
            <w:r w:rsidRPr="006F3533">
              <w:rPr>
                <w:rFonts w:eastAsia="Times New Roman" w:cs="Calibri"/>
                <w:color w:val="000000"/>
                <w:sz w:val="18"/>
                <w:szCs w:val="18"/>
                <w:lang w:val="bg-BG" w:eastAsia="bg-BG"/>
              </w:rPr>
              <w:t>151503757</w:t>
            </w:r>
          </w:p>
        </w:tc>
        <w:tc>
          <w:tcPr>
            <w:tcW w:w="583" w:type="pct"/>
            <w:shd w:val="clear" w:color="auto" w:fill="DEEAF6" w:themeFill="accent5" w:themeFillTint="33"/>
            <w:noWrap/>
          </w:tcPr>
          <w:p w14:paraId="4A5E0CB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lang w:val="bg-BG" w:eastAsia="bg-BG"/>
              </w:rPr>
            </w:pPr>
            <w:r w:rsidRPr="006F3533">
              <w:rPr>
                <w:rFonts w:eastAsia="Times New Roman" w:cs="Calibri"/>
                <w:color w:val="000000"/>
                <w:sz w:val="18"/>
                <w:szCs w:val="18"/>
                <w:lang w:val="bg-BG" w:eastAsia="bg-BG"/>
              </w:rPr>
              <w:t>6293709</w:t>
            </w:r>
          </w:p>
        </w:tc>
        <w:tc>
          <w:tcPr>
            <w:tcW w:w="520" w:type="pct"/>
            <w:shd w:val="clear" w:color="auto" w:fill="DEEAF6" w:themeFill="accent5" w:themeFillTint="33"/>
            <w:noWrap/>
          </w:tcPr>
          <w:p w14:paraId="15199F4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lang w:val="bg-BG" w:eastAsia="bg-BG"/>
              </w:rPr>
            </w:pPr>
            <w:r w:rsidRPr="006F3533">
              <w:rPr>
                <w:rFonts w:eastAsia="Times New Roman" w:cs="Calibri"/>
                <w:color w:val="000000"/>
                <w:sz w:val="18"/>
                <w:szCs w:val="18"/>
                <w:lang w:val="bg-BG" w:eastAsia="bg-BG"/>
              </w:rPr>
              <w:t>2732208</w:t>
            </w:r>
          </w:p>
        </w:tc>
        <w:tc>
          <w:tcPr>
            <w:tcW w:w="512" w:type="pct"/>
            <w:shd w:val="clear" w:color="auto" w:fill="DEEAF6" w:themeFill="accent5" w:themeFillTint="33"/>
            <w:noWrap/>
          </w:tcPr>
          <w:p w14:paraId="1300D48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lang w:val="bg-BG" w:eastAsia="bg-BG"/>
              </w:rPr>
            </w:pPr>
            <w:r w:rsidRPr="006F3533">
              <w:rPr>
                <w:rFonts w:eastAsia="Times New Roman" w:cs="Calibri"/>
                <w:color w:val="000000"/>
                <w:sz w:val="18"/>
                <w:szCs w:val="18"/>
                <w:lang w:val="bg-BG" w:eastAsia="bg-BG"/>
              </w:rPr>
              <w:t>1826404</w:t>
            </w:r>
          </w:p>
        </w:tc>
        <w:tc>
          <w:tcPr>
            <w:tcW w:w="454" w:type="pct"/>
            <w:shd w:val="clear" w:color="auto" w:fill="DEEAF6" w:themeFill="accent5" w:themeFillTint="33"/>
            <w:noWrap/>
          </w:tcPr>
          <w:p w14:paraId="21E6993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lang w:val="bg-BG" w:eastAsia="bg-BG"/>
              </w:rPr>
            </w:pPr>
            <w:r w:rsidRPr="006F3533">
              <w:rPr>
                <w:rFonts w:eastAsia="Times New Roman" w:cs="Calibri"/>
                <w:color w:val="000000"/>
                <w:sz w:val="18"/>
                <w:szCs w:val="18"/>
                <w:lang w:val="bg-BG" w:eastAsia="bg-BG"/>
              </w:rPr>
              <w:t>2.4</w:t>
            </w:r>
          </w:p>
        </w:tc>
      </w:tr>
    </w:tbl>
    <w:p w14:paraId="33A57F07"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6F06F35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Данните за разпределението на жилищата по площ показват, че жилищният фонд в България е доминиран от сравнително компактни жилища. Най-висок е делът на жилищата с площ около 60 кв. м, които представляват 8,5% от всички жилища, а 52,7% от жилищата са с площ до 75 кв. м. Тази структура отразява дългогодишни тенденции в жилищното строителство, особено в градските територии, където преобладават многофамилни сгради с по-малки по площ апартаменти.</w:t>
      </w:r>
    </w:p>
    <w:p w14:paraId="78B2AC4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Средната площ на едно жилище е почти еднаква в градовете и селата – съответно около 80 кв. м в градовете и 81 кв. м в селата, но зад тази сходна средна стойност се крият съществени различия в разпределението. В градските територии най-често срещаният тип жилище е с площ около 60 кв. м, което е типично за панелните и монолитните многофамилни сгради, изграждани през втората половина на XX век. В селата, от своя страна, най-често срещаното жилище е с площ около 80 кв. м, което отразява преобладаването на еднофамилни къщи с по-голяма жилищна площ и различна пространствена организация.</w:t>
      </w:r>
    </w:p>
    <w:p w14:paraId="7988A8F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Обитаваните жилища приютяват общо 6 293 709 живущи лица, разпределени в 2 732 208 домакинства и 1 826 404 семейства. Средният брой живущи лица в едно жилище е 2,4, което потвърждава тенденцията към намаляване на размера на домакинствата, характерна за последните десетилетия. Този показател има пряко отражение както върху енергийните нужди на жилищата, така и върху социалните и демографските политики, свързани с жилищния сектор.</w:t>
      </w:r>
    </w:p>
    <w:p w14:paraId="0AC6DEF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Структурата на обитаваните жилища по брой домакинства показва ясно изразено доминиране на </w:t>
      </w:r>
      <w:proofErr w:type="spellStart"/>
      <w:r w:rsidRPr="006F3533">
        <w:rPr>
          <w:rFonts w:eastAsia="Times New Roman" w:cs="Times New Roman"/>
          <w:szCs w:val="24"/>
          <w:lang w:val="bg-BG" w:eastAsia="bg-BG"/>
        </w:rPr>
        <w:t>еднодомакинствения</w:t>
      </w:r>
      <w:proofErr w:type="spellEnd"/>
      <w:r w:rsidRPr="006F3533">
        <w:rPr>
          <w:rFonts w:eastAsia="Times New Roman" w:cs="Times New Roman"/>
          <w:szCs w:val="24"/>
          <w:lang w:val="bg-BG" w:eastAsia="bg-BG"/>
        </w:rPr>
        <w:t xml:space="preserve"> модел. Преобладаващата част от жилищата в страната – 95,3% – се обитават от едно домакинство, в 3,8% живеят по две домакинства, а едва в 0,8% от жилищата съжителстват три и повече домакинства. Тази картина потвърждава, че българският жилищен фонд е ориентиран основно към самостоятелно ползване, което има пряко значение както за социалния профил на обитателите, така и за възможностите за колективни инвестиционни решения на ниво сграда.</w:t>
      </w:r>
    </w:p>
    <w:p w14:paraId="0A64EF2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Населеността на жилищата, измерена чрез средния брой лица, живеещи в едно обитавано жилище, възлиза на 2,4 лица. В сравнение с преброяването от 2011 г., когато този показател е бил 2,8 лица, се наблюдава ясно изразена тенденция на намаляване. Разликите между градовете и селата са относително малки – средно 2,4 лица в градските жилища и 2,5 лица в селските, но регионалните различия са по-осезаеми. Най-висока средна населеност на жилищата се отчита в областите Пловдив и Благоевград – по 2,8 лица, докато най-ниска е в област Габрово – 2,2 лица на жилище. </w:t>
      </w:r>
    </w:p>
    <w:p w14:paraId="5D380FF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От аналитична гледна точка, особено важна е комбинацията от две паралелно протичащи тенденции: намаляване на броя на членовете на домакинствата и увеличаване на средната площ на едно жилище. При средна площ от над 80 кв.м. на жилище, все по-често се наблюдава ситуация, при която едночленни или двучленни домакинства, често съставени от лица в пенсионна възраст, обитават относително големи апартаменти. Този структурен дисбаланс има пряко отражение върху възможността за участие в програми за енергийна ефективност, разчитащи на режим на съфинансиране.</w:t>
      </w:r>
    </w:p>
    <w:p w14:paraId="4ACA9F8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условията на изискване за 100% съгласие и финансово участие на всички собственици в една сграда, наличието на значителен дял малки домакинства с ограничени доходи увеличава риска от блокиране на решенията на етажната собственост. За тези домакинства инвестицията в „дълбоко“ енергийно обновяване често се възприема като икономически неефективна или финансово непосилна, независимо от дългосрочните ползи. В резултат, дори в сгради с висок технически и енергиен потенциал за обновяване, социално-демографската структура на обитателите може да се окаже решаващ ограничителен фактор за реалното изпълнение на мерките.</w:t>
      </w:r>
    </w:p>
    <w:p w14:paraId="5A55C09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eastAsia="bg-BG"/>
        </w:rPr>
        <w:t xml:space="preserve">В обобщение, анализът на обитаваните жилища показва, че жилищният фонд в България се характеризира с висока степен на самостоятелно обитаване, намаляваща населеност на жилищата и нарастваща средна площ на едно жилище. Тази комбинация от структурни и демографски характеристики формира специфична среда, в която технически и енергийно оправдани инвестиции могат да се окажат социално и финансово трудно реализуеми, особено при модели, изискващи колективни решения, пълно съгласие на собствениците и не на последно място съфинансиране на </w:t>
      </w:r>
      <w:r w:rsidRPr="006F3533">
        <w:rPr>
          <w:rFonts w:eastAsia="Times New Roman" w:cs="Times New Roman"/>
          <w:szCs w:val="24"/>
          <w:lang w:val="bg-BG" w:eastAsia="bg-BG"/>
        </w:rPr>
        <w:lastRenderedPageBreak/>
        <w:t>обновителните дейности. Следователно, ефективното планиране на мерките за енергийно обновяване изисква интегриран подход, който да отчита не само сградните и енергийните параметри, но и реалния профил на домакинствата, тяхната платежоспособност и готовност за участие. Този извод е от ключово значение при формулирането на гъвкави, социално чувствителни и устойчиви политики в рамките на НПСС.</w:t>
      </w:r>
    </w:p>
    <w:p w14:paraId="26CB8CC6"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Статистически преглед на жилищата по форма на собственост</w:t>
      </w:r>
    </w:p>
    <w:p w14:paraId="69E448D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Анализът на формата на собственост на обитаваните жилища показва ясно изразена доминация на частната собственост, която е една от най-характерните структурни особености на жилищния сектор в България. От общо 2 603 713 обитавани жилища, над 92% са частна собственост – на български и чуждестранни физически и юридически лица. В рамките на този дял преобладава собствеността на български физически лица, които притежават над 91% от всички обитавани жилища, което потвърждава модела на силно фрагментирана, индивидуална собственост върху жилищния фонд.</w:t>
      </w:r>
    </w:p>
    <w:p w14:paraId="75CA5F4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Собствеността на юридически лица – български и чуждестранни – има маргинален дял (под 0,6% общо), което показва изключително слабо участие на институционални и корпоративни собственици в жилищния сектор. Това обяснява и липсата на мащабни професионално управлявани жилищни портфейли, характерни за други европейски държави.</w:t>
      </w:r>
    </w:p>
    <w:p w14:paraId="6B063DBA" w14:textId="77777777" w:rsidR="00E6313A" w:rsidRPr="006F3533" w:rsidRDefault="00E6313A" w:rsidP="00E6313A">
      <w:pPr>
        <w:spacing w:line="240" w:lineRule="auto"/>
        <w:jc w:val="both"/>
        <w:rPr>
          <w:rFonts w:cs="Times New Roman"/>
          <w:i/>
          <w:iCs/>
          <w:color w:val="0070C0"/>
          <w:szCs w:val="24"/>
          <w:lang w:val="bg-BG"/>
        </w:rPr>
      </w:pPr>
      <w:bookmarkStart w:id="58" w:name="_Toc216636005"/>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11</w:t>
      </w:r>
      <w:r w:rsidRPr="006F3533">
        <w:rPr>
          <w:rFonts w:cs="Times New Roman"/>
          <w:i/>
          <w:iCs/>
          <w:color w:val="0070C0"/>
          <w:szCs w:val="24"/>
          <w:lang w:val="bg-BG"/>
        </w:rPr>
        <w:fldChar w:fldCharType="end"/>
      </w:r>
      <w:r w:rsidRPr="006F3533">
        <w:rPr>
          <w:rFonts w:cs="Times New Roman"/>
          <w:i/>
          <w:iCs/>
          <w:color w:val="0070C0"/>
          <w:szCs w:val="24"/>
          <w:lang w:val="bg-BG"/>
        </w:rPr>
        <w:t>: Жилища по форма на собственост към 7.09.2021 година</w:t>
      </w:r>
      <w:bookmarkEnd w:id="58"/>
    </w:p>
    <w:p w14:paraId="697AFC68" w14:textId="77777777" w:rsidR="00E6313A" w:rsidRPr="006F3533" w:rsidRDefault="00E6313A" w:rsidP="00E6313A">
      <w:pPr>
        <w:spacing w:before="100" w:beforeAutospacing="1" w:after="100" w:afterAutospacing="1" w:line="240" w:lineRule="auto"/>
        <w:jc w:val="center"/>
        <w:rPr>
          <w:rFonts w:eastAsia="Times New Roman" w:cs="Times New Roman"/>
          <w:i/>
          <w:iCs/>
          <w:color w:val="44546A"/>
          <w:szCs w:val="24"/>
          <w:lang w:val="bg-BG" w:eastAsia="bg-BG"/>
        </w:rPr>
      </w:pPr>
      <w:r w:rsidRPr="006F3533">
        <w:rPr>
          <w:rFonts w:eastAsia="Calibri" w:cs="Times New Roman"/>
          <w:i/>
          <w:iCs/>
          <w:noProof/>
          <w:color w:val="44546A"/>
          <w:szCs w:val="24"/>
          <w:lang w:val="bg-BG"/>
        </w:rPr>
        <w:drawing>
          <wp:inline distT="0" distB="0" distL="0" distR="0" wp14:anchorId="38706043" wp14:editId="4A29BAD0">
            <wp:extent cx="4572000" cy="2743200"/>
            <wp:effectExtent l="0" t="0" r="0" b="0"/>
            <wp:docPr id="79036058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E321B17" w14:textId="77777777" w:rsidR="00E6313A" w:rsidRPr="006F3533" w:rsidRDefault="00E6313A" w:rsidP="00E6313A">
      <w:pPr>
        <w:spacing w:after="100" w:afterAutospacing="1" w:line="240" w:lineRule="auto"/>
        <w:jc w:val="right"/>
        <w:rPr>
          <w:rFonts w:eastAsia="Calibri" w:cs="Times New Roman"/>
          <w:i/>
          <w:iCs/>
          <w:szCs w:val="24"/>
          <w:lang w:val="bg-BG" w:eastAsia="bg-BG"/>
        </w:rPr>
      </w:pPr>
      <w:bookmarkStart w:id="59" w:name="_Hlk216632799"/>
      <w:r w:rsidRPr="006F3533">
        <w:rPr>
          <w:rFonts w:eastAsia="Calibri" w:cs="Times New Roman"/>
          <w:i/>
          <w:iCs/>
          <w:szCs w:val="24"/>
          <w:lang w:val="bg-BG" w:eastAsia="bg-BG"/>
        </w:rPr>
        <w:t>Източник: НСИ, Преброяване на населението и жилищния фонд 2021 г.</w:t>
      </w:r>
    </w:p>
    <w:bookmarkEnd w:id="59"/>
    <w:p w14:paraId="53461E1E"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Делът на държавната и общинската собственост е изключително нисък – общо около 1,3% от обитаваните жилища. Това включва жилища, собственост на държавата (0,4%) и на общините (0,9%). Този ограничен публичен жилищен фонд е структурен дефицит, който силно ограничава възможностите за провеждане на целенасочена жилищна и </w:t>
      </w:r>
      <w:r w:rsidRPr="006F3533">
        <w:rPr>
          <w:rFonts w:eastAsia="Times New Roman" w:cs="Times New Roman"/>
          <w:szCs w:val="24"/>
          <w:lang w:val="bg-BG" w:eastAsia="bg-BG"/>
        </w:rPr>
        <w:lastRenderedPageBreak/>
        <w:t>социална политика, включително за енергийно обновяване на уязвими групи чрез публични интервенции.</w:t>
      </w:r>
    </w:p>
    <w:p w14:paraId="43FE39C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Особено внимание следва да се обърне на категорията „непоказано“, която обхваща 6,2% от обитаваните жилища. Този относително висок дял показва наличието на непълнота в информацията за формата на собственост и допълнително усложнява планирането на политики, тъй като за тази част от жилищния фонд не може ясно да се определи институционалната и правната рамка на вземане на решения.</w:t>
      </w:r>
    </w:p>
    <w:p w14:paraId="0AFBF2D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контекста на енергийната ефективност тази структура на собствеността има съществени последици. Доминиращата частна собственост, съчетана с ниския дял на публични жилища и силно фрагментираното притежание в многофамилните сгради, създава сериозни организационни, правни и поведенчески бариери пред реализирането на програми за обновяване. </w:t>
      </w:r>
    </w:p>
    <w:p w14:paraId="7EA10B7B"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bookmarkStart w:id="60" w:name="_Toc216776917"/>
      <w:r w:rsidRPr="006F3533">
        <w:rPr>
          <w:rFonts w:eastAsia="Times New Roman" w:cs="Times New Roman"/>
          <w:b/>
          <w:bCs/>
          <w:szCs w:val="24"/>
          <w:lang w:val="bg-BG" w:eastAsia="bg-BG"/>
        </w:rPr>
        <w:t>Статистически преглед на жилищата по наличие на енергоспестяваща дограма и външна изолация</w:t>
      </w:r>
      <w:bookmarkEnd w:id="60"/>
    </w:p>
    <w:p w14:paraId="03426FE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Настоящата точка има за цел да очертае реалното разпространение на две ключови мерки за енергийна ефективност – външна топлоизолация и енергоспестяваща дограма. Тези мерки са индикатор както за техническото състояние на жилищния фонд, така и за готовността и способността на домакинствата да инвестират самостоятелно в подобряване на енергийните характеристики на жилищата си.</w:t>
      </w:r>
    </w:p>
    <w:p w14:paraId="26CC0BCC" w14:textId="77777777" w:rsidR="00E6313A" w:rsidRPr="006F3533" w:rsidRDefault="00E6313A" w:rsidP="00E6313A">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Външна топлоизолация</w:t>
      </w:r>
      <w:r w:rsidRPr="006F3533">
        <w:rPr>
          <w:rFonts w:eastAsia="Times New Roman" w:cs="Times New Roman"/>
          <w:b/>
          <w:bCs/>
          <w:szCs w:val="24"/>
          <w:vertAlign w:val="superscript"/>
          <w:lang w:val="bg-BG" w:eastAsia="bg-BG"/>
        </w:rPr>
        <w:footnoteReference w:id="25"/>
      </w:r>
    </w:p>
    <w:p w14:paraId="7CED55E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Към 7 септември 2021 г. изцяло изпълнена външна топлоизолация имат 721 731 обитавани жилища, което представлява 27.7% от всички обитавани жилища в страната. Частична външна изолация е отчетена при още 280 785 жилища (10.8%), докато без външна изолация остават 1 601 197 жилища, или 61.5% от обитавания жилищен фонд.</w:t>
      </w:r>
    </w:p>
    <w:p w14:paraId="3805194B" w14:textId="77777777" w:rsidR="00E6313A" w:rsidRPr="006F3533" w:rsidRDefault="00E6313A" w:rsidP="00E6313A">
      <w:pPr>
        <w:spacing w:line="240" w:lineRule="auto"/>
        <w:jc w:val="both"/>
        <w:rPr>
          <w:rFonts w:cs="Times New Roman"/>
          <w:i/>
          <w:iCs/>
          <w:color w:val="0070C0"/>
          <w:szCs w:val="24"/>
          <w:lang w:val="bg-BG"/>
        </w:rPr>
      </w:pPr>
      <w:bookmarkStart w:id="61" w:name="_Toc216636006"/>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12</w:t>
      </w:r>
      <w:r w:rsidRPr="006F3533">
        <w:rPr>
          <w:rFonts w:cs="Times New Roman"/>
          <w:i/>
          <w:iCs/>
          <w:color w:val="0070C0"/>
          <w:szCs w:val="24"/>
          <w:lang w:val="bg-BG"/>
        </w:rPr>
        <w:fldChar w:fldCharType="end"/>
      </w:r>
      <w:r w:rsidRPr="006F3533">
        <w:rPr>
          <w:rFonts w:cs="Times New Roman"/>
          <w:i/>
          <w:iCs/>
          <w:color w:val="0070C0"/>
          <w:szCs w:val="24"/>
          <w:lang w:val="bg-BG"/>
        </w:rPr>
        <w:t>: Дял на обитаваните жилища по наличие на външна изолация – общо и по вид на сградата към 7.09.2021 г.</w:t>
      </w:r>
      <w:bookmarkEnd w:id="6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345"/>
        <w:gridCol w:w="4727"/>
      </w:tblGrid>
      <w:tr w:rsidR="00E6313A" w:rsidRPr="006F3533" w14:paraId="72082BA5" w14:textId="77777777" w:rsidTr="00541E06">
        <w:tc>
          <w:tcPr>
            <w:tcW w:w="4340" w:type="dxa"/>
          </w:tcPr>
          <w:p w14:paraId="36A829B0" w14:textId="77777777" w:rsidR="00E6313A" w:rsidRPr="006F3533" w:rsidRDefault="00E6313A" w:rsidP="00541E06">
            <w:pPr>
              <w:spacing w:before="100" w:beforeAutospacing="1" w:after="100" w:afterAutospacing="1"/>
              <w:jc w:val="both"/>
              <w:rPr>
                <w:rFonts w:eastAsia="Times New Roman" w:cs="Times New Roman"/>
                <w:szCs w:val="24"/>
                <w:lang w:val="bg-BG" w:eastAsia="bg-BG"/>
              </w:rPr>
            </w:pPr>
            <w:r w:rsidRPr="006F3533">
              <w:rPr>
                <w:rFonts w:eastAsia="Calibri" w:cs="Times New Roman"/>
                <w:noProof/>
                <w:szCs w:val="24"/>
                <w:lang w:val="bg-BG"/>
              </w:rPr>
              <w:lastRenderedPageBreak/>
              <w:drawing>
                <wp:inline distT="0" distB="0" distL="0" distR="0" wp14:anchorId="3DF0A603" wp14:editId="541DA2DF">
                  <wp:extent cx="2706370" cy="2750185"/>
                  <wp:effectExtent l="0" t="0" r="17780" b="12065"/>
                  <wp:docPr id="2666809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c>
          <w:tcPr>
            <w:tcW w:w="4722" w:type="dxa"/>
          </w:tcPr>
          <w:p w14:paraId="6C541DCD" w14:textId="77777777" w:rsidR="00E6313A" w:rsidRPr="006F3533" w:rsidRDefault="00E6313A" w:rsidP="00541E06">
            <w:pPr>
              <w:spacing w:before="100" w:beforeAutospacing="1" w:after="100" w:afterAutospacing="1"/>
              <w:jc w:val="both"/>
              <w:rPr>
                <w:rFonts w:eastAsia="Times New Roman" w:cs="Times New Roman"/>
                <w:szCs w:val="24"/>
                <w:lang w:val="bg-BG" w:eastAsia="bg-BG"/>
              </w:rPr>
            </w:pPr>
            <w:r w:rsidRPr="006F3533">
              <w:rPr>
                <w:rFonts w:eastAsia="Calibri" w:cs="Times New Roman"/>
                <w:noProof/>
                <w:szCs w:val="24"/>
                <w:lang w:val="bg-BG"/>
              </w:rPr>
              <w:drawing>
                <wp:inline distT="0" distB="0" distL="0" distR="0" wp14:anchorId="0FFE206D" wp14:editId="232EC027">
                  <wp:extent cx="2962275" cy="2750185"/>
                  <wp:effectExtent l="0" t="0" r="9525" b="12065"/>
                  <wp:docPr id="130846093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3E7F419E"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33051AC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Разпределението по вид на сградата разкрива ясно изразени различия. Жилищните блокове и кооперациите концентрират най-големия абсолютен брой изцяло изолирани жилища (494 013). В същото време при еднофамилните къщи доминират жилищата без външна изолация – 912 244, което представлява близо три четвърти от обитаваните жилища в този тип сгради. Това отразява както различната история на публични и частни интервенции, така и по-ограничената финансова и организационна възможност за цялостно топлоизолиране на къщи, при които всички разходи се поемат от едно домакинство.</w:t>
      </w:r>
    </w:p>
    <w:p w14:paraId="65E1DA2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Следва да се подчертае, че в категориите „изцяло“ и „частично“ санирани жилища попадат и случаи на индивидуално изпълнена фасадна изолация само около конкретно жилище, най-често в многофамилни сгради. Тази практика води до фрагментирани и често компрометирани решения, които при последващо цялостно обновяване на сградата обикновено се налага да бъдат премахвани и заменяни с нова, нормативно съобразена топлоизолационна система. При модели, изискващи финансово участие на собствениците, това обстоятелство може да се превърне в допълнителна бариера за постигане на съгласие в рамките на етажната собственост.</w:t>
      </w:r>
    </w:p>
    <w:p w14:paraId="2479EB8C" w14:textId="77777777" w:rsidR="00E6313A" w:rsidRPr="006F3533" w:rsidRDefault="00E6313A" w:rsidP="00E6313A">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Енергоспестяваща дограма</w:t>
      </w:r>
      <w:r w:rsidRPr="006F3533">
        <w:rPr>
          <w:rFonts w:eastAsia="Times New Roman" w:cs="Times New Roman"/>
          <w:b/>
          <w:bCs/>
          <w:szCs w:val="24"/>
          <w:vertAlign w:val="superscript"/>
          <w:lang w:val="bg-BG" w:eastAsia="bg-BG"/>
        </w:rPr>
        <w:footnoteReference w:id="26"/>
      </w:r>
    </w:p>
    <w:p w14:paraId="744E1F3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По отношение на дограмата, изцяло енергоспестяваща дограма имат 1 276 490 обитавани жилища, или 49.0% от всички обитавани жилища в страната. Частична подмяна е отчетена при 463 077 жилища (17.8%), а изцяло без енергоспестяваща дограма остават 864 146 жилища, или 33.2%.</w:t>
      </w:r>
    </w:p>
    <w:p w14:paraId="74116F01" w14:textId="77777777" w:rsidR="00E6313A" w:rsidRPr="006F3533" w:rsidRDefault="00E6313A" w:rsidP="00E6313A">
      <w:pPr>
        <w:spacing w:line="240" w:lineRule="auto"/>
        <w:jc w:val="both"/>
        <w:rPr>
          <w:rFonts w:cs="Times New Roman"/>
          <w:i/>
          <w:iCs/>
          <w:color w:val="0070C0"/>
          <w:szCs w:val="24"/>
          <w:lang w:val="bg-BG"/>
        </w:rPr>
      </w:pPr>
      <w:bookmarkStart w:id="62" w:name="_Toc216636007"/>
      <w:r w:rsidRPr="006F3533">
        <w:rPr>
          <w:rFonts w:cs="Times New Roman"/>
          <w:i/>
          <w:iCs/>
          <w:color w:val="0070C0"/>
          <w:szCs w:val="24"/>
          <w:lang w:val="bg-BG"/>
        </w:rPr>
        <w:lastRenderedPageBreak/>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13</w:t>
      </w:r>
      <w:r w:rsidRPr="006F3533">
        <w:rPr>
          <w:rFonts w:cs="Times New Roman"/>
          <w:i/>
          <w:iCs/>
          <w:color w:val="0070C0"/>
          <w:szCs w:val="24"/>
          <w:lang w:val="bg-BG"/>
        </w:rPr>
        <w:fldChar w:fldCharType="end"/>
      </w:r>
      <w:r w:rsidRPr="006F3533">
        <w:rPr>
          <w:rFonts w:cs="Times New Roman"/>
          <w:i/>
          <w:iCs/>
          <w:color w:val="0070C0"/>
          <w:szCs w:val="24"/>
          <w:lang w:val="bg-BG"/>
        </w:rPr>
        <w:t>: Дял на обитаваните жилища по наличие на енергоспестяваща дограма – общо и по вид на сградата към 7.09.2021 г.</w:t>
      </w:r>
      <w:bookmarkEnd w:id="6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433"/>
        <w:gridCol w:w="4639"/>
      </w:tblGrid>
      <w:tr w:rsidR="00E6313A" w:rsidRPr="006F3533" w14:paraId="7F9D26DB" w14:textId="77777777" w:rsidTr="00541E06">
        <w:tc>
          <w:tcPr>
            <w:tcW w:w="4820" w:type="dxa"/>
          </w:tcPr>
          <w:p w14:paraId="5BDC5F57" w14:textId="77777777" w:rsidR="00E6313A" w:rsidRPr="006F3533" w:rsidRDefault="00E6313A" w:rsidP="00541E06">
            <w:pPr>
              <w:spacing w:before="100" w:beforeAutospacing="1" w:after="100" w:afterAutospacing="1"/>
              <w:jc w:val="both"/>
              <w:rPr>
                <w:rFonts w:eastAsia="Times New Roman" w:cs="Times New Roman"/>
                <w:szCs w:val="24"/>
                <w:lang w:val="bg-BG" w:eastAsia="bg-BG"/>
              </w:rPr>
            </w:pPr>
            <w:r w:rsidRPr="006F3533">
              <w:rPr>
                <w:rFonts w:eastAsia="Calibri" w:cs="Times New Roman"/>
                <w:noProof/>
                <w:szCs w:val="24"/>
                <w:lang w:val="bg-BG"/>
              </w:rPr>
              <w:drawing>
                <wp:inline distT="0" distB="0" distL="0" distR="0" wp14:anchorId="538E67BE" wp14:editId="192EBA1E">
                  <wp:extent cx="2779395" cy="2743200"/>
                  <wp:effectExtent l="0" t="0" r="1905" b="0"/>
                  <wp:docPr id="21810301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4242" w:type="dxa"/>
          </w:tcPr>
          <w:p w14:paraId="30426EB0" w14:textId="77777777" w:rsidR="00E6313A" w:rsidRPr="006F3533" w:rsidRDefault="00E6313A" w:rsidP="00541E06">
            <w:pPr>
              <w:spacing w:before="100" w:beforeAutospacing="1" w:after="100" w:afterAutospacing="1"/>
              <w:jc w:val="both"/>
              <w:rPr>
                <w:rFonts w:eastAsia="Times New Roman" w:cs="Times New Roman"/>
                <w:szCs w:val="24"/>
                <w:lang w:val="bg-BG" w:eastAsia="bg-BG"/>
              </w:rPr>
            </w:pPr>
            <w:r w:rsidRPr="006F3533">
              <w:rPr>
                <w:rFonts w:eastAsia="Calibri" w:cs="Times New Roman"/>
                <w:noProof/>
                <w:szCs w:val="24"/>
                <w:lang w:val="bg-BG"/>
              </w:rPr>
              <w:drawing>
                <wp:inline distT="0" distB="0" distL="0" distR="0" wp14:anchorId="30A6DF6D" wp14:editId="0CD619DD">
                  <wp:extent cx="2910840" cy="2757805"/>
                  <wp:effectExtent l="0" t="0" r="3810" b="4445"/>
                  <wp:docPr id="125771366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4AE8A65B"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5A42C23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Данните по вид на сградата показват  по-висок дял на индивидуални инвестиции за дограма при къщите, спрямо топлоизолацията. Подмяната на дограма при тях често е първата и най-достъпна мярка за подобряване на комфорта и намаляване на разходите за отопление. В многофамилните сгради масовото наличие на подменена дограма в отделни апартаменти създава предпоставки за техническа готовност за следващ етап – обновяване на общите части и ограждащата обвивка на сградата, но същевременно може да затрудни вземането на колективни решения, когато собствениците вече са инвестирали индивидуално.</w:t>
      </w:r>
    </w:p>
    <w:p w14:paraId="4E213A3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Данните в съвкупност за наличието на външна изолация и енергоспестяваща дограма в обитаваните жилища очертават ясно различен профил на вече приложени мерки за енергийна ефективност при отделните видове сгради. Този профил е от ключово значение за формулирането на НПСС, тъй като показва не само текущото състояние на жилищния фонд, но и реалистичния потенциал за бъдещи интервенции.</w:t>
      </w:r>
    </w:p>
    <w:p w14:paraId="6BC3AE2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При еднофамилните жилищни сгради (къщите) се наблюдава изразено изоставане по отношение на външната топлоизолация. Близо три четвърти от обитаваните жилища в къщи са без външна изолация, а изцяло изолирани са едва около 17%. За сметка на това прилагането на енергоспестяваща дограма е значително по-разпространено – близо 59% от жилищата в къщи имат изцяло или частично подменена дограма. Този дисбаланс ясно показва, че в еднофамилния сектор собствениците предпочитат по-лесно изпълними, поетапни и относително достъпни мерки, които могат да се реализират самостоятелно от едно домакинство. В този контекст НПСС следва да отчете, че при къщите потенциалът за енергийни спестявания съществува, но той е по-скоро свързан с комбинация от последователни индивидуални мерки, отколкото с прилагане на „дълбоко“ обновяване в един етап.</w:t>
      </w:r>
    </w:p>
    <w:p w14:paraId="4CFC8A92"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Съществено различна е картината при многофамилните жилищни сгради (жилищни блокове и кооперации). При тях делът на жилищата с външна изолация – изцяло или частично – достига около 50%, а при дограмата над 70% от жилищата вече са с изцяло или частично подменени прозорци. Това потвърждава, че именно този сегмент е бил основен носител на мерките за енергийна ефективност с публична подкрепа до момента и че там съществува реален потенциал за цялостно, координирано обновяване на сградно ниво. В същото време високият дял на частично изпълнени мерки („на парче“) изисква при бъдещи интервенции специално внимание към техническата съвместимост и социалната приемливост на решенията.</w:t>
      </w:r>
    </w:p>
    <w:p w14:paraId="0F5CE7A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Сградите от смесен тип (с над 60% жилищна площ), общежитията и сградите за колективно домакинство показват относително високи дялове на изцяло подменена дограма и външна изолация. Това е индикатор, че тези типове сгради, които функционално и конструктивно са близки до многофамилните, са по-подходящи за прилагане на интегрирани пакети от мерки. Включването им в обхвата на многофамилния жилищен фонд за целите на НПСС е допълнително аргументирано именно от този профил на вече реализирани интервенции.</w:t>
      </w:r>
    </w:p>
    <w:p w14:paraId="7A3062C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Вилните жилища и категорията „друго“ заемат периферно място в анализа. При тях се наблюдават сравнително високи дялове на липса както на външна изолация, така и на енергоспестяваща дограма, което потвърждава ограниченото им значение за текущото енергопотребление и оправдава изключването им от активния обхват на стратегическите интервенции.</w:t>
      </w:r>
    </w:p>
    <w:p w14:paraId="2D4AA6C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Анализът на двете мерки в съвкупност показва ясно, че в жилищния фонд на страната вече е налице значителен „частичен напредък“, реализиран основно чрез индивидуални действия на собствениците. Това е особено видимо при подмяната на дограма, която се е превърнала в най-масово прилаганата мярка за енергийна ефективност. В същото време ниският дял на цялостно изолирани сгради, особено при къщите, подчертава необходимостта НПСС да прилага диференциран подход: при многофамилните сгради – приоритетно цялостно обновяване с акцент върху общите части и ограждащата обвивка, а при еднофамилните – по-гъвкави механизми, които да надграждат вече направените индивидуални инвестиции и да позволяват поетапно повишаване на енергийните характеристики.</w:t>
      </w:r>
    </w:p>
    <w:p w14:paraId="23ED7145"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bookmarkStart w:id="63" w:name="_Toc216776918"/>
      <w:r w:rsidRPr="006F3533">
        <w:rPr>
          <w:rFonts w:eastAsia="Times New Roman" w:cs="Times New Roman"/>
          <w:b/>
          <w:bCs/>
          <w:szCs w:val="24"/>
          <w:lang w:val="bg-BG" w:eastAsia="bg-BG"/>
        </w:rPr>
        <w:t>Статистически преглед на жилищата по система на топлоснабдяване</w:t>
      </w:r>
      <w:bookmarkEnd w:id="63"/>
    </w:p>
    <w:p w14:paraId="671F2E65"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Енергийната структура на отоплението в обитаваните жилища към 7 септември 2021 г. очертава силно фрагментиран и хетерогенен профил, който отразява както социално-икономическите различия между домакинствата, така и конструктивните и функционалните особености на жилищния фонд. Данните следва да се интерпретират с уговорката, че респондентите са имали възможност да посочат повече от един източник на енергия за отопление, поради което сумарните дялове надвишават 100%.</w:t>
      </w:r>
    </w:p>
    <w:p w14:paraId="3243B9BA" w14:textId="77777777" w:rsidR="00E6313A" w:rsidRPr="006F3533" w:rsidRDefault="00E6313A" w:rsidP="00E6313A">
      <w:pPr>
        <w:spacing w:line="240" w:lineRule="auto"/>
        <w:jc w:val="both"/>
        <w:rPr>
          <w:rFonts w:cs="Times New Roman"/>
          <w:i/>
          <w:iCs/>
          <w:color w:val="0070C0"/>
          <w:szCs w:val="24"/>
          <w:vertAlign w:val="superscript"/>
          <w:lang w:val="bg-BG"/>
        </w:rPr>
      </w:pPr>
      <w:r w:rsidRPr="006F3533">
        <w:rPr>
          <w:rFonts w:cs="Times New Roman"/>
          <w:i/>
          <w:iCs/>
          <w:color w:val="0070C0"/>
          <w:szCs w:val="24"/>
          <w:lang w:val="bg-BG"/>
        </w:rPr>
        <w:lastRenderedPageBreak/>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14</w:t>
      </w:r>
      <w:r w:rsidRPr="006F3533">
        <w:rPr>
          <w:rFonts w:cs="Times New Roman"/>
          <w:i/>
          <w:iCs/>
          <w:color w:val="0070C0"/>
          <w:szCs w:val="24"/>
          <w:lang w:val="bg-BG"/>
        </w:rPr>
        <w:fldChar w:fldCharType="end"/>
      </w:r>
      <w:r w:rsidRPr="006F3533">
        <w:rPr>
          <w:rFonts w:cs="Times New Roman"/>
          <w:i/>
          <w:iCs/>
          <w:color w:val="0070C0"/>
          <w:szCs w:val="24"/>
          <w:lang w:val="bg-BG"/>
        </w:rPr>
        <w:t>: Дял на обитаваните жилища по енергия, използвана за отопление към 7.09.2021 г</w:t>
      </w:r>
      <w:r w:rsidRPr="006F3533">
        <w:rPr>
          <w:rFonts w:cs="Times New Roman"/>
          <w:i/>
          <w:iCs/>
          <w:color w:val="0070C0"/>
          <w:szCs w:val="24"/>
          <w:vertAlign w:val="superscript"/>
          <w:lang w:val="bg-BG"/>
        </w:rPr>
        <w:t>.</w:t>
      </w:r>
      <w:r w:rsidRPr="006F3533">
        <w:rPr>
          <w:rFonts w:cs="Times New Roman"/>
          <w:i/>
          <w:iCs/>
          <w:color w:val="0070C0"/>
          <w:szCs w:val="24"/>
          <w:vertAlign w:val="superscript"/>
          <w:lang w:val="bg-BG"/>
        </w:rPr>
        <w:footnoteReference w:id="27"/>
      </w:r>
    </w:p>
    <w:p w14:paraId="6B38D0A9" w14:textId="77777777" w:rsidR="00E6313A" w:rsidRPr="006F3533" w:rsidRDefault="00E6313A" w:rsidP="00E6313A">
      <w:pPr>
        <w:spacing w:before="100" w:beforeAutospacing="1" w:after="100" w:afterAutospacing="1" w:line="240" w:lineRule="auto"/>
        <w:jc w:val="center"/>
        <w:rPr>
          <w:rFonts w:eastAsia="Times New Roman" w:cs="Times New Roman"/>
          <w:szCs w:val="24"/>
          <w:lang w:val="bg-BG" w:eastAsia="bg-BG"/>
        </w:rPr>
      </w:pPr>
      <w:r w:rsidRPr="006F3533">
        <w:rPr>
          <w:rFonts w:eastAsia="Calibri" w:cs="Times New Roman"/>
          <w:noProof/>
          <w:szCs w:val="24"/>
          <w:lang w:val="bg-BG"/>
        </w:rPr>
        <w:drawing>
          <wp:inline distT="0" distB="0" distL="0" distR="0" wp14:anchorId="0CAAEEC8" wp14:editId="14972AAD">
            <wp:extent cx="4915535" cy="2677160"/>
            <wp:effectExtent l="0" t="0" r="18415" b="8890"/>
            <wp:docPr id="1277813714" name="Chart 1"/>
            <wp:cNvGraphicFramePr>
              <a:graphicFrameLocks xmlns:a="http://schemas.openxmlformats.org/drawingml/2006/main" noGrp="1" noChangeAspect="1" noMove="1" noResize="1"/>
            </wp:cNvGraphicFramePr>
            <a:graphic xmlns:a="http://schemas.openxmlformats.org/drawingml/2006/main">
              <a:graphicData uri="http://schemas.openxmlformats.org/drawingml/2006/picture">
                <pic:pic xmlns:pic="http://schemas.openxmlformats.org/drawingml/2006/picture">
                  <pic:nvPicPr>
                    <pic:cNvPr id="1277813714" name="Chart 1"/>
                    <pic:cNvPicPr>
                      <a:picLocks noGrp="1" noChangeAspect="1" noMove="1" noResize="1" noEditPoints="1" noAdjustHandles="1" noChangeArrowheads="1" noChangeShapeType="1"/>
                    </pic:cNvPicPr>
                  </pic:nvPicPr>
                  <pic:blipFill>
                    <a:blip r:embed="rId29"/>
                    <a:stretch>
                      <a:fillRect/>
                    </a:stretch>
                  </pic:blipFill>
                  <pic:spPr>
                    <a:xfrm>
                      <a:off x="0" y="0"/>
                      <a:ext cx="4915535" cy="2677160"/>
                    </a:xfrm>
                    <a:prstGeom prst="rect">
                      <a:avLst/>
                    </a:prstGeom>
                  </pic:spPr>
                </pic:pic>
              </a:graphicData>
            </a:graphic>
          </wp:inline>
        </w:drawing>
      </w:r>
    </w:p>
    <w:p w14:paraId="7DA9D728"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77B00BC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 национално ниво почти половината от обитаваните жилища (47,7%) използват електричество за отопление, което го прави най-разпространения енергиен източник. Следват дървата с дял от 36,3%, което означава, че над една трета от жилищата продължават да разчитат на твърди биогорива. Топлинната енергия от централен източник (централно парно) се използва в 13,3% от обитаваните жилища, въглищата – в 4,8%, </w:t>
      </w:r>
      <w:proofErr w:type="spellStart"/>
      <w:r w:rsidRPr="006F3533">
        <w:rPr>
          <w:rFonts w:eastAsia="Times New Roman" w:cs="Times New Roman"/>
          <w:szCs w:val="24"/>
          <w:lang w:val="bg-BG" w:eastAsia="bg-BG"/>
        </w:rPr>
        <w:t>пелетите</w:t>
      </w:r>
      <w:proofErr w:type="spellEnd"/>
      <w:r w:rsidRPr="006F3533">
        <w:rPr>
          <w:rFonts w:eastAsia="Times New Roman" w:cs="Times New Roman"/>
          <w:szCs w:val="24"/>
          <w:lang w:val="bg-BG" w:eastAsia="bg-BG"/>
        </w:rPr>
        <w:t xml:space="preserve"> – в 4,1%, а природният газ от централен източник има относително ограничен дял от 2,5%. Останалите енергийни източници – пропан-бутан, КПГ, нафта, слънчева енергия и други възобновяеми източници – заемат маргинален дял в общата картина.</w:t>
      </w:r>
    </w:p>
    <w:p w14:paraId="37C16B1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Разпределението по вид на сградата показва ясно структурно разграничение. Централното топлоснабдяване е почти изцяло концентрирано в жилищните блокове и кооперациите – 96,0% от всички жилища, отоплявани с топлинна енергия от централен източник, се намират именно в този тип сгради. Аналогична, макар и по-слабо изразена, е концентрацията при природния газ от централен източник, където близо 60% от жилищата са в многофамилни сгради. Това потвърждава, че централизирани отоплителни системи са структурно и функционално обвързани с многофамилния жилищен фонд.</w:t>
      </w:r>
    </w:p>
    <w:p w14:paraId="12367DC5" w14:textId="77777777" w:rsidR="00E6313A" w:rsidRPr="006F3533" w:rsidRDefault="00E6313A" w:rsidP="00E6313A">
      <w:pPr>
        <w:spacing w:line="240" w:lineRule="auto"/>
        <w:jc w:val="both"/>
        <w:rPr>
          <w:rFonts w:cs="Times New Roman"/>
          <w:i/>
          <w:iCs/>
          <w:color w:val="0070C0"/>
          <w:szCs w:val="24"/>
          <w:lang w:val="bg-BG"/>
        </w:rPr>
      </w:pPr>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15</w:t>
      </w:r>
      <w:r w:rsidRPr="006F3533">
        <w:rPr>
          <w:rFonts w:cs="Times New Roman"/>
          <w:i/>
          <w:iCs/>
          <w:color w:val="0070C0"/>
          <w:szCs w:val="24"/>
          <w:lang w:val="bg-BG"/>
        </w:rPr>
        <w:fldChar w:fldCharType="end"/>
      </w:r>
      <w:r w:rsidRPr="006F3533">
        <w:rPr>
          <w:rFonts w:cs="Times New Roman"/>
          <w:i/>
          <w:iCs/>
          <w:color w:val="0070C0"/>
          <w:szCs w:val="24"/>
          <w:lang w:val="bg-BG"/>
        </w:rPr>
        <w:t>: Дял на обитаваните жилища по енергия, използвана за отопление и по вид на сградата към 7.09.2021 г.</w:t>
      </w:r>
    </w:p>
    <w:p w14:paraId="4F83A051" w14:textId="77777777" w:rsidR="00E6313A" w:rsidRPr="006F3533" w:rsidRDefault="00E6313A" w:rsidP="00E6313A">
      <w:pPr>
        <w:spacing w:before="100" w:beforeAutospacing="1" w:after="100" w:afterAutospacing="1" w:line="240" w:lineRule="auto"/>
        <w:jc w:val="center"/>
        <w:rPr>
          <w:rFonts w:eastAsia="Times New Roman" w:cs="Times New Roman"/>
          <w:szCs w:val="24"/>
          <w:lang w:val="bg-BG" w:eastAsia="bg-BG"/>
        </w:rPr>
      </w:pPr>
      <w:r w:rsidRPr="006F3533">
        <w:rPr>
          <w:rFonts w:eastAsia="Calibri" w:cs="Times New Roman"/>
          <w:noProof/>
          <w:szCs w:val="24"/>
          <w:lang w:val="bg-BG"/>
        </w:rPr>
        <w:lastRenderedPageBreak/>
        <w:drawing>
          <wp:inline distT="0" distB="0" distL="0" distR="0" wp14:anchorId="064CF549" wp14:editId="516A9B1B">
            <wp:extent cx="5760720" cy="3881120"/>
            <wp:effectExtent l="0" t="0" r="11430" b="5080"/>
            <wp:docPr id="152440413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7AA34A5"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2021 г.</w:t>
      </w:r>
    </w:p>
    <w:p w14:paraId="27B2630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Електричеството, макар и доминиращо като общ дял, има по-балансирано разпределение между типовете сгради, но и тук се откроява превесът на многофамилните сгради – 66,3% от жилищата, отоплявани с електричество, са в жилищни блокове и кооперации, докато 32,2% са в къщи. Това показва, че електрическото отопление изпълнява ролята на универсално решение, използвано както в градска, така и в по-периферна и селска среда.</w:t>
      </w:r>
    </w:p>
    <w:p w14:paraId="018DC92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Коренно различна е картината при твърдите горива. Дървата и въглищата са силно концентрирани в еднофамилните жилищни сгради. 87,6% от жилищата, отоплявани с дърва, и 88,7% от тези, отоплявани с въглища, са къщи. Делът на многофамилните сгради при тези енергийни източници е нисък – съответно 11,7% и 10,8%. Това ясно потвърждава, че използването на твърди горива е структурно обвързано с нискоетажния, предимно еднофамилен жилищен фонд, който доминира в селата и в по-малките населени места. Подобен, макар и по-слаб, модел се наблюдава и при </w:t>
      </w:r>
      <w:proofErr w:type="spellStart"/>
      <w:r w:rsidRPr="006F3533">
        <w:rPr>
          <w:rFonts w:eastAsia="Times New Roman" w:cs="Times New Roman"/>
          <w:szCs w:val="24"/>
          <w:lang w:val="bg-BG" w:eastAsia="bg-BG"/>
        </w:rPr>
        <w:t>пелетите</w:t>
      </w:r>
      <w:proofErr w:type="spellEnd"/>
      <w:r w:rsidRPr="006F3533">
        <w:rPr>
          <w:rFonts w:eastAsia="Times New Roman" w:cs="Times New Roman"/>
          <w:szCs w:val="24"/>
          <w:lang w:val="bg-BG" w:eastAsia="bg-BG"/>
        </w:rPr>
        <w:t>, където 80,0% от жилищата са къщи.</w:t>
      </w:r>
    </w:p>
    <w:p w14:paraId="376AAD3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Регионалните различия допълват тази картина. В редица области делът на жилищата, отоплявани с електричество, надхвърля 60%, докато в други – особено в планински и периферни региони – над 80% от жилищата разчитат на твърди горива. В столицата и големите градове централното отопление и електричеството имат значително по-високи дялове, докато в области с висока степен на застаряване и </w:t>
      </w:r>
      <w:proofErr w:type="spellStart"/>
      <w:r w:rsidRPr="006F3533">
        <w:rPr>
          <w:rFonts w:eastAsia="Times New Roman" w:cs="Times New Roman"/>
          <w:szCs w:val="24"/>
          <w:lang w:val="bg-BG" w:eastAsia="bg-BG"/>
        </w:rPr>
        <w:t>депопулация</w:t>
      </w:r>
      <w:proofErr w:type="spellEnd"/>
      <w:r w:rsidRPr="006F3533">
        <w:rPr>
          <w:rFonts w:eastAsia="Times New Roman" w:cs="Times New Roman"/>
          <w:szCs w:val="24"/>
          <w:lang w:val="bg-BG" w:eastAsia="bg-BG"/>
        </w:rPr>
        <w:t xml:space="preserve"> доминират дървата и въглищата. </w:t>
      </w:r>
    </w:p>
    <w:p w14:paraId="12830A5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От аналитична гледна точка енергийната структура на отоплението поставя няколко ключови ограничения и насоки. Високият дял на електрическото отопление, особено в многофамилните сгради, е тясно свързан с регулирания и субсидиран характер на цените за битови потребители, което отслабва икономическите стимули за инвестиции в дълбоки мерки за енергийна ефективност. Същевременно широкото използване на твърди горива в къщите подчертава както сериозния потенциал за намаляване на емисиите и енергийното потребление, така и социалната чувствителност на този сегмент, където инвестиционният капацитет на домакинствата често е ограничен.</w:t>
      </w:r>
    </w:p>
    <w:p w14:paraId="4830933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При многофамилните жилищни сгради, особено тези с централно отопление, прилагането на мерки по сградните инсталации и интегрирането на възобновяеми енергийни източници се сблъсква с технически, административни и организационни предизвикателства. Финансовата подкрепа по правило обхваща общите части, докато интервенциите в самостоятелните обекти остават ангажимент на собствениците, което допълнително усложнява процеса на вземане на колективни решения.</w:t>
      </w:r>
    </w:p>
    <w:p w14:paraId="0A8D204B" w14:textId="77777777" w:rsidR="00E6313A"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обобщение, данните за използваната енергия за отопление разкриват дълбоко структурирани различия между типовете жилищни сгради. Те показват, че енергийното обновяване не може да следва универсален модел: при многофамилните сгради акцентът следва да бъде върху интегрирани решения за сградната обвивка и общите инсталации, докато при еднофамилните къщи подходът трябва да отчита зависимостта от твърди горива и необходимостта от по-гъвкави, поетапни и социално съобразени мерки. Именно тази диференциация е ключова за постигане на реалистичен и ефективен напредък в подобряването на енергийните характеристики на жилищния фонд.</w:t>
      </w:r>
    </w:p>
    <w:p w14:paraId="77A75210" w14:textId="77777777" w:rsidR="00372360" w:rsidRDefault="00372360" w:rsidP="00E6313A">
      <w:pPr>
        <w:spacing w:before="100" w:beforeAutospacing="1" w:after="100" w:afterAutospacing="1" w:line="240" w:lineRule="auto"/>
        <w:jc w:val="both"/>
        <w:rPr>
          <w:rFonts w:eastAsia="Times New Roman" w:cs="Times New Roman"/>
          <w:szCs w:val="24"/>
          <w:lang w:val="bg-BG" w:eastAsia="bg-BG"/>
        </w:rPr>
      </w:pPr>
    </w:p>
    <w:p w14:paraId="4A3C3102" w14:textId="77777777" w:rsidR="00372360" w:rsidRPr="006F3533" w:rsidRDefault="00372360" w:rsidP="00E6313A">
      <w:pPr>
        <w:spacing w:before="100" w:beforeAutospacing="1" w:after="100" w:afterAutospacing="1" w:line="240" w:lineRule="auto"/>
        <w:jc w:val="both"/>
        <w:rPr>
          <w:rFonts w:eastAsia="Times New Roman" w:cs="Times New Roman"/>
          <w:szCs w:val="24"/>
          <w:lang w:val="bg-BG" w:eastAsia="bg-BG"/>
        </w:rPr>
      </w:pPr>
    </w:p>
    <w:p w14:paraId="631C9943"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Панелни жилища</w:t>
      </w:r>
    </w:p>
    <w:p w14:paraId="5B308C22"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Към 7 септември 2021 г. преброяването отчита 605 022 жилища, които попадат в групата на панелните жилища, от които 484 839 са обитавани. Това означава, че приблизително 80.1% от панелните жилища са обитавани, а около 19.9% не. </w:t>
      </w:r>
    </w:p>
    <w:p w14:paraId="03434E55" w14:textId="77777777" w:rsidR="00E6313A" w:rsidRPr="006F3533" w:rsidRDefault="00E6313A" w:rsidP="00E6313A">
      <w:pPr>
        <w:spacing w:line="240" w:lineRule="auto"/>
        <w:jc w:val="both"/>
        <w:rPr>
          <w:rFonts w:cs="Times New Roman"/>
          <w:i/>
          <w:iCs/>
          <w:color w:val="0070C0"/>
          <w:szCs w:val="24"/>
          <w:lang w:val="bg-BG"/>
        </w:rPr>
      </w:pPr>
      <w:bookmarkStart w:id="64" w:name="_Toc216777105"/>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11</w:t>
      </w:r>
      <w:r w:rsidRPr="006F3533">
        <w:rPr>
          <w:rFonts w:cs="Times New Roman"/>
          <w:i/>
          <w:iCs/>
          <w:color w:val="0070C0"/>
          <w:szCs w:val="24"/>
          <w:lang w:val="bg-BG"/>
        </w:rPr>
        <w:fldChar w:fldCharType="end"/>
      </w:r>
      <w:r w:rsidRPr="006F3533">
        <w:rPr>
          <w:rFonts w:cs="Times New Roman"/>
          <w:i/>
          <w:iCs/>
          <w:color w:val="0070C0"/>
          <w:szCs w:val="24"/>
          <w:lang w:val="bg-BG"/>
        </w:rPr>
        <w:t>: Панелни жилища с техните характеристики към 7.09.2021 г.</w:t>
      </w:r>
      <w:bookmarkEnd w:id="64"/>
      <w:r w:rsidRPr="006F3533">
        <w:rPr>
          <w:rFonts w:cs="Times New Roman"/>
          <w:i/>
          <w:iCs/>
          <w:color w:val="0070C0"/>
          <w:szCs w:val="24"/>
          <w:lang w:val="bg-BG"/>
        </w:rPr>
        <w:t xml:space="preserve"> </w:t>
      </w:r>
    </w:p>
    <w:tbl>
      <w:tblPr>
        <w:tblStyle w:val="GridTable4-Accent51"/>
        <w:tblW w:w="10310" w:type="dxa"/>
        <w:jc w:val="center"/>
        <w:tblLook w:val="04A0" w:firstRow="1" w:lastRow="0" w:firstColumn="1" w:lastColumn="0" w:noHBand="0" w:noVBand="1"/>
      </w:tblPr>
      <w:tblGrid>
        <w:gridCol w:w="1024"/>
        <w:gridCol w:w="1007"/>
        <w:gridCol w:w="1268"/>
        <w:gridCol w:w="1046"/>
        <w:gridCol w:w="1164"/>
        <w:gridCol w:w="1164"/>
        <w:gridCol w:w="1046"/>
        <w:gridCol w:w="1422"/>
        <w:gridCol w:w="1169"/>
      </w:tblGrid>
      <w:tr w:rsidR="00E6313A" w:rsidRPr="006F3533" w14:paraId="571AF6B4" w14:textId="77777777" w:rsidTr="00541E0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24" w:type="dxa"/>
            <w:vMerge w:val="restart"/>
          </w:tcPr>
          <w:p w14:paraId="4820CCF3"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 </w:t>
            </w:r>
          </w:p>
        </w:tc>
        <w:tc>
          <w:tcPr>
            <w:tcW w:w="9286" w:type="dxa"/>
            <w:gridSpan w:val="8"/>
            <w:noWrap/>
          </w:tcPr>
          <w:p w14:paraId="2D63575B"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000000"/>
                <w:sz w:val="20"/>
                <w:lang w:val="bg-BG" w:eastAsia="bg-BG"/>
              </w:rPr>
            </w:pPr>
            <w:r w:rsidRPr="006F3533">
              <w:rPr>
                <w:rFonts w:eastAsia="Times New Roman" w:cs="Calibri"/>
                <w:color w:val="FFFFFF"/>
                <w:sz w:val="20"/>
                <w:lang w:val="bg-BG" w:eastAsia="bg-BG"/>
              </w:rPr>
              <w:t>Общо жилища</w:t>
            </w:r>
          </w:p>
        </w:tc>
      </w:tr>
      <w:tr w:rsidR="00E6313A" w:rsidRPr="006F3533" w14:paraId="13246474"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024" w:type="dxa"/>
            <w:vMerge/>
            <w:shd w:val="clear" w:color="auto" w:fill="DEEAF6" w:themeFill="accent5" w:themeFillTint="33"/>
          </w:tcPr>
          <w:p w14:paraId="40773D85"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p>
        </w:tc>
        <w:tc>
          <w:tcPr>
            <w:tcW w:w="1007" w:type="dxa"/>
            <w:shd w:val="clear" w:color="auto" w:fill="DEEAF6" w:themeFill="accent5" w:themeFillTint="33"/>
          </w:tcPr>
          <w:p w14:paraId="397FE0E6"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Жилища</w:t>
            </w:r>
          </w:p>
        </w:tc>
        <w:tc>
          <w:tcPr>
            <w:tcW w:w="1268" w:type="dxa"/>
            <w:shd w:val="clear" w:color="auto" w:fill="DEEAF6" w:themeFill="accent5" w:themeFillTint="33"/>
          </w:tcPr>
          <w:p w14:paraId="79E39943"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Жилищни помещения</w:t>
            </w:r>
          </w:p>
        </w:tc>
        <w:tc>
          <w:tcPr>
            <w:tcW w:w="1046" w:type="dxa"/>
            <w:shd w:val="clear" w:color="auto" w:fill="DEEAF6" w:themeFill="accent5" w:themeFillTint="33"/>
          </w:tcPr>
          <w:p w14:paraId="2B7BAB0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Стаи</w:t>
            </w:r>
          </w:p>
        </w:tc>
        <w:tc>
          <w:tcPr>
            <w:tcW w:w="1164" w:type="dxa"/>
            <w:shd w:val="clear" w:color="auto" w:fill="DEEAF6" w:themeFill="accent5" w:themeFillTint="33"/>
          </w:tcPr>
          <w:p w14:paraId="425C356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Полезна площ</w:t>
            </w:r>
          </w:p>
        </w:tc>
        <w:tc>
          <w:tcPr>
            <w:tcW w:w="1164" w:type="dxa"/>
            <w:shd w:val="clear" w:color="auto" w:fill="DEEAF6" w:themeFill="accent5" w:themeFillTint="33"/>
          </w:tcPr>
          <w:p w14:paraId="6678B948"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Жилищна площ</w:t>
            </w:r>
          </w:p>
        </w:tc>
        <w:tc>
          <w:tcPr>
            <w:tcW w:w="1046" w:type="dxa"/>
            <w:shd w:val="clear" w:color="auto" w:fill="DEEAF6" w:themeFill="accent5" w:themeFillTint="33"/>
          </w:tcPr>
          <w:p w14:paraId="4068E057"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Живущи лица</w:t>
            </w:r>
          </w:p>
        </w:tc>
        <w:tc>
          <w:tcPr>
            <w:tcW w:w="1422" w:type="dxa"/>
            <w:shd w:val="clear" w:color="auto" w:fill="DEEAF6" w:themeFill="accent5" w:themeFillTint="33"/>
          </w:tcPr>
          <w:p w14:paraId="127333A3"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Домакинства</w:t>
            </w:r>
          </w:p>
        </w:tc>
        <w:tc>
          <w:tcPr>
            <w:tcW w:w="1169" w:type="dxa"/>
            <w:shd w:val="clear" w:color="auto" w:fill="DEEAF6" w:themeFill="accent5" w:themeFillTint="33"/>
          </w:tcPr>
          <w:p w14:paraId="6890B95F"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Семейства</w:t>
            </w:r>
          </w:p>
        </w:tc>
      </w:tr>
      <w:tr w:rsidR="00E6313A" w:rsidRPr="006F3533" w14:paraId="04C5B9D6"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024" w:type="dxa"/>
            <w:noWrap/>
          </w:tcPr>
          <w:p w14:paraId="762E820A"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Общо за страната</w:t>
            </w:r>
          </w:p>
        </w:tc>
        <w:tc>
          <w:tcPr>
            <w:tcW w:w="1007" w:type="dxa"/>
            <w:noWrap/>
          </w:tcPr>
          <w:p w14:paraId="713FB9E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605022</w:t>
            </w:r>
          </w:p>
        </w:tc>
        <w:tc>
          <w:tcPr>
            <w:tcW w:w="1268" w:type="dxa"/>
            <w:noWrap/>
          </w:tcPr>
          <w:p w14:paraId="34CBF84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1798663</w:t>
            </w:r>
          </w:p>
        </w:tc>
        <w:tc>
          <w:tcPr>
            <w:tcW w:w="1046" w:type="dxa"/>
            <w:noWrap/>
          </w:tcPr>
          <w:p w14:paraId="1000DDD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1420903</w:t>
            </w:r>
          </w:p>
        </w:tc>
        <w:tc>
          <w:tcPr>
            <w:tcW w:w="1164" w:type="dxa"/>
            <w:noWrap/>
          </w:tcPr>
          <w:p w14:paraId="0C4C3CD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41075774</w:t>
            </w:r>
          </w:p>
        </w:tc>
        <w:tc>
          <w:tcPr>
            <w:tcW w:w="1164" w:type="dxa"/>
            <w:noWrap/>
          </w:tcPr>
          <w:p w14:paraId="63C761A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27095192</w:t>
            </w:r>
          </w:p>
        </w:tc>
        <w:tc>
          <w:tcPr>
            <w:tcW w:w="1046" w:type="dxa"/>
            <w:noWrap/>
          </w:tcPr>
          <w:p w14:paraId="72FABB3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1089263</w:t>
            </w:r>
          </w:p>
        </w:tc>
        <w:tc>
          <w:tcPr>
            <w:tcW w:w="1422" w:type="dxa"/>
            <w:noWrap/>
          </w:tcPr>
          <w:p w14:paraId="17EDA5A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505622</w:t>
            </w:r>
          </w:p>
        </w:tc>
        <w:tc>
          <w:tcPr>
            <w:tcW w:w="1169" w:type="dxa"/>
            <w:noWrap/>
          </w:tcPr>
          <w:p w14:paraId="12F965D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319053</w:t>
            </w:r>
          </w:p>
        </w:tc>
      </w:tr>
      <w:tr w:rsidR="00E6313A" w:rsidRPr="006F3533" w14:paraId="6119349D" w14:textId="77777777" w:rsidTr="00541E06">
        <w:trPr>
          <w:trHeight w:val="261"/>
          <w:jc w:val="center"/>
        </w:trPr>
        <w:tc>
          <w:tcPr>
            <w:cnfStyle w:val="001000000000" w:firstRow="0" w:lastRow="0" w:firstColumn="1" w:lastColumn="0" w:oddVBand="0" w:evenVBand="0" w:oddHBand="0" w:evenHBand="0" w:firstRowFirstColumn="0" w:firstRowLastColumn="0" w:lastRowFirstColumn="0" w:lastRowLastColumn="0"/>
            <w:tcW w:w="10310" w:type="dxa"/>
            <w:gridSpan w:val="9"/>
            <w:shd w:val="clear" w:color="auto" w:fill="5B9BD5"/>
            <w:noWrap/>
          </w:tcPr>
          <w:p w14:paraId="30770575" w14:textId="77777777" w:rsidR="00E6313A" w:rsidRPr="006F3533" w:rsidRDefault="00E6313A" w:rsidP="00541E06">
            <w:pPr>
              <w:spacing w:before="100" w:beforeAutospacing="1" w:after="100" w:afterAutospacing="1"/>
              <w:jc w:val="center"/>
              <w:rPr>
                <w:rFonts w:eastAsia="Times New Roman" w:cs="Calibri"/>
                <w:b w:val="0"/>
                <w:bCs w:val="0"/>
                <w:color w:val="FFFFFF"/>
                <w:sz w:val="20"/>
                <w:lang w:val="bg-BG" w:eastAsia="bg-BG"/>
              </w:rPr>
            </w:pPr>
            <w:r w:rsidRPr="006F3533">
              <w:rPr>
                <w:rFonts w:eastAsia="Times New Roman" w:cs="Calibri"/>
                <w:color w:val="FFFFFF"/>
                <w:sz w:val="20"/>
                <w:lang w:val="bg-BG" w:eastAsia="bg-BG"/>
              </w:rPr>
              <w:t xml:space="preserve">                                                 Обитавани жилища</w:t>
            </w:r>
          </w:p>
        </w:tc>
      </w:tr>
      <w:tr w:rsidR="00E6313A" w:rsidRPr="006F3533" w14:paraId="1A5ECB0A"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024" w:type="dxa"/>
            <w:noWrap/>
          </w:tcPr>
          <w:p w14:paraId="1F046672"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 </w:t>
            </w:r>
          </w:p>
        </w:tc>
        <w:tc>
          <w:tcPr>
            <w:tcW w:w="1007" w:type="dxa"/>
          </w:tcPr>
          <w:p w14:paraId="06DADD1D"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Жилища</w:t>
            </w:r>
          </w:p>
        </w:tc>
        <w:tc>
          <w:tcPr>
            <w:tcW w:w="1268" w:type="dxa"/>
          </w:tcPr>
          <w:p w14:paraId="15614FC5"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Жилищни помещения</w:t>
            </w:r>
          </w:p>
        </w:tc>
        <w:tc>
          <w:tcPr>
            <w:tcW w:w="1046" w:type="dxa"/>
          </w:tcPr>
          <w:p w14:paraId="513DEED0"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Стаи</w:t>
            </w:r>
          </w:p>
        </w:tc>
        <w:tc>
          <w:tcPr>
            <w:tcW w:w="1164" w:type="dxa"/>
          </w:tcPr>
          <w:p w14:paraId="4FFF8EE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Полезна площ</w:t>
            </w:r>
          </w:p>
        </w:tc>
        <w:tc>
          <w:tcPr>
            <w:tcW w:w="1164" w:type="dxa"/>
          </w:tcPr>
          <w:p w14:paraId="1A194E78"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Жилищна площ</w:t>
            </w:r>
          </w:p>
        </w:tc>
        <w:tc>
          <w:tcPr>
            <w:tcW w:w="1046" w:type="dxa"/>
          </w:tcPr>
          <w:p w14:paraId="57E40751"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Живущи лица</w:t>
            </w:r>
          </w:p>
        </w:tc>
        <w:tc>
          <w:tcPr>
            <w:tcW w:w="1422" w:type="dxa"/>
          </w:tcPr>
          <w:p w14:paraId="61F99154"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Домакинства</w:t>
            </w:r>
          </w:p>
        </w:tc>
        <w:tc>
          <w:tcPr>
            <w:tcW w:w="1169" w:type="dxa"/>
          </w:tcPr>
          <w:p w14:paraId="3E493ABA"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Семейства</w:t>
            </w:r>
          </w:p>
        </w:tc>
      </w:tr>
      <w:tr w:rsidR="00E6313A" w:rsidRPr="006F3533" w14:paraId="4ABD2CC2"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024" w:type="dxa"/>
            <w:shd w:val="clear" w:color="auto" w:fill="DEEAF6" w:themeFill="accent5" w:themeFillTint="33"/>
            <w:noWrap/>
          </w:tcPr>
          <w:p w14:paraId="419FED77"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Общо за страната</w:t>
            </w:r>
          </w:p>
        </w:tc>
        <w:tc>
          <w:tcPr>
            <w:tcW w:w="1007" w:type="dxa"/>
            <w:shd w:val="clear" w:color="auto" w:fill="DEEAF6" w:themeFill="accent5" w:themeFillTint="33"/>
            <w:noWrap/>
          </w:tcPr>
          <w:p w14:paraId="2F65B5D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484839</w:t>
            </w:r>
          </w:p>
        </w:tc>
        <w:tc>
          <w:tcPr>
            <w:tcW w:w="1268" w:type="dxa"/>
            <w:shd w:val="clear" w:color="auto" w:fill="DEEAF6" w:themeFill="accent5" w:themeFillTint="33"/>
            <w:noWrap/>
          </w:tcPr>
          <w:p w14:paraId="6BFEABA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1540251</w:t>
            </w:r>
          </w:p>
        </w:tc>
        <w:tc>
          <w:tcPr>
            <w:tcW w:w="1046" w:type="dxa"/>
            <w:shd w:val="clear" w:color="auto" w:fill="DEEAF6" w:themeFill="accent5" w:themeFillTint="33"/>
            <w:noWrap/>
          </w:tcPr>
          <w:p w14:paraId="240B699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1162491</w:t>
            </w:r>
          </w:p>
        </w:tc>
        <w:tc>
          <w:tcPr>
            <w:tcW w:w="1164" w:type="dxa"/>
            <w:shd w:val="clear" w:color="auto" w:fill="DEEAF6" w:themeFill="accent5" w:themeFillTint="33"/>
            <w:noWrap/>
          </w:tcPr>
          <w:p w14:paraId="64DE12D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33534616</w:t>
            </w:r>
          </w:p>
        </w:tc>
        <w:tc>
          <w:tcPr>
            <w:tcW w:w="1164" w:type="dxa"/>
            <w:shd w:val="clear" w:color="auto" w:fill="DEEAF6" w:themeFill="accent5" w:themeFillTint="33"/>
            <w:noWrap/>
          </w:tcPr>
          <w:p w14:paraId="36853478"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22040639</w:t>
            </w:r>
          </w:p>
        </w:tc>
        <w:tc>
          <w:tcPr>
            <w:tcW w:w="1046" w:type="dxa"/>
            <w:shd w:val="clear" w:color="auto" w:fill="DEEAF6" w:themeFill="accent5" w:themeFillTint="33"/>
            <w:noWrap/>
          </w:tcPr>
          <w:p w14:paraId="2F3AB73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1089263</w:t>
            </w:r>
          </w:p>
        </w:tc>
        <w:tc>
          <w:tcPr>
            <w:tcW w:w="1422" w:type="dxa"/>
            <w:shd w:val="clear" w:color="auto" w:fill="DEEAF6" w:themeFill="accent5" w:themeFillTint="33"/>
            <w:noWrap/>
          </w:tcPr>
          <w:p w14:paraId="7A926CD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505622</w:t>
            </w:r>
          </w:p>
        </w:tc>
        <w:tc>
          <w:tcPr>
            <w:tcW w:w="1169" w:type="dxa"/>
            <w:shd w:val="clear" w:color="auto" w:fill="DEEAF6" w:themeFill="accent5" w:themeFillTint="33"/>
            <w:noWrap/>
          </w:tcPr>
          <w:p w14:paraId="5E67AF4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lang w:val="bg-BG" w:eastAsia="bg-BG"/>
              </w:rPr>
            </w:pPr>
            <w:r w:rsidRPr="006F3533">
              <w:rPr>
                <w:rFonts w:eastAsia="Times New Roman" w:cs="Calibri"/>
                <w:b/>
                <w:bCs/>
                <w:color w:val="000000"/>
                <w:sz w:val="20"/>
                <w:lang w:val="bg-BG" w:eastAsia="bg-BG"/>
              </w:rPr>
              <w:t>319053</w:t>
            </w:r>
          </w:p>
        </w:tc>
      </w:tr>
      <w:tr w:rsidR="00E6313A" w:rsidRPr="006F3533" w14:paraId="5E564A92" w14:textId="77777777" w:rsidTr="00541E06">
        <w:trPr>
          <w:trHeight w:val="20"/>
          <w:jc w:val="center"/>
        </w:trPr>
        <w:tc>
          <w:tcPr>
            <w:cnfStyle w:val="001000000000" w:firstRow="0" w:lastRow="0" w:firstColumn="1" w:lastColumn="0" w:oddVBand="0" w:evenVBand="0" w:oddHBand="0" w:evenHBand="0" w:firstRowFirstColumn="0" w:firstRowLastColumn="0" w:lastRowFirstColumn="0" w:lastRowLastColumn="0"/>
            <w:tcW w:w="1024" w:type="dxa"/>
            <w:noWrap/>
          </w:tcPr>
          <w:p w14:paraId="566AFE1E" w14:textId="77777777" w:rsidR="00E6313A" w:rsidRPr="006F3533" w:rsidRDefault="00E6313A" w:rsidP="00541E06">
            <w:pPr>
              <w:spacing w:before="100" w:beforeAutospacing="1" w:after="100" w:afterAutospacing="1"/>
              <w:rPr>
                <w:rFonts w:eastAsia="Times New Roman" w:cs="Calibri"/>
                <w:b w:val="0"/>
                <w:bCs w:val="0"/>
                <w:color w:val="000000"/>
                <w:sz w:val="20"/>
                <w:lang w:val="bg-BG" w:eastAsia="bg-BG"/>
              </w:rPr>
            </w:pPr>
            <w:r w:rsidRPr="006F3533">
              <w:rPr>
                <w:rFonts w:eastAsia="Times New Roman" w:cs="Calibri"/>
                <w:color w:val="000000"/>
                <w:sz w:val="20"/>
                <w:lang w:val="bg-BG" w:eastAsia="bg-BG"/>
              </w:rPr>
              <w:t xml:space="preserve">% от общия брой </w:t>
            </w:r>
          </w:p>
        </w:tc>
        <w:tc>
          <w:tcPr>
            <w:tcW w:w="1007" w:type="dxa"/>
            <w:noWrap/>
          </w:tcPr>
          <w:p w14:paraId="61A3B77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80.1%</w:t>
            </w:r>
          </w:p>
        </w:tc>
        <w:tc>
          <w:tcPr>
            <w:tcW w:w="1268" w:type="dxa"/>
            <w:noWrap/>
          </w:tcPr>
          <w:p w14:paraId="60C21FA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85.6%</w:t>
            </w:r>
          </w:p>
        </w:tc>
        <w:tc>
          <w:tcPr>
            <w:tcW w:w="1046" w:type="dxa"/>
            <w:noWrap/>
          </w:tcPr>
          <w:p w14:paraId="1245383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81.8%</w:t>
            </w:r>
          </w:p>
        </w:tc>
        <w:tc>
          <w:tcPr>
            <w:tcW w:w="1164" w:type="dxa"/>
            <w:noWrap/>
          </w:tcPr>
          <w:p w14:paraId="0489603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81.6%</w:t>
            </w:r>
          </w:p>
        </w:tc>
        <w:tc>
          <w:tcPr>
            <w:tcW w:w="1164" w:type="dxa"/>
            <w:noWrap/>
          </w:tcPr>
          <w:p w14:paraId="253C91C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81.3%</w:t>
            </w:r>
          </w:p>
        </w:tc>
        <w:tc>
          <w:tcPr>
            <w:tcW w:w="1046" w:type="dxa"/>
            <w:noWrap/>
          </w:tcPr>
          <w:p w14:paraId="1FB0F51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100.0%</w:t>
            </w:r>
          </w:p>
        </w:tc>
        <w:tc>
          <w:tcPr>
            <w:tcW w:w="1422" w:type="dxa"/>
            <w:noWrap/>
          </w:tcPr>
          <w:p w14:paraId="62B7CBA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100.0%</w:t>
            </w:r>
          </w:p>
        </w:tc>
        <w:tc>
          <w:tcPr>
            <w:tcW w:w="1169" w:type="dxa"/>
            <w:noWrap/>
          </w:tcPr>
          <w:p w14:paraId="400D6E8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lang w:val="bg-BG" w:eastAsia="bg-BG"/>
              </w:rPr>
            </w:pPr>
            <w:r w:rsidRPr="006F3533">
              <w:rPr>
                <w:rFonts w:eastAsia="Times New Roman" w:cs="Calibri"/>
                <w:color w:val="000000"/>
                <w:sz w:val="20"/>
                <w:lang w:val="bg-BG" w:eastAsia="bg-BG"/>
              </w:rPr>
              <w:t>100.0%</w:t>
            </w:r>
          </w:p>
        </w:tc>
      </w:tr>
    </w:tbl>
    <w:p w14:paraId="2F77A3D9"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lastRenderedPageBreak/>
        <w:t>Източник: НСИ, Преброяване на населението и жилищния фонд 2021 г.</w:t>
      </w:r>
    </w:p>
    <w:p w14:paraId="1BD58963"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Паралелно с броя, данните позволяват да се опише и „мащабът“ на панелния жилищен сегмент през основните му физически характеристики: общо за тези жилища са отчетени 1 798 663 жилищни помещения и 1 420 903 стаи, а за обитаваните панелни жилища – 1 540 251 помещения и 1 162 491 стаи. По площ панелните жилища имат 41 075 774 кв.м полезна площ (общо) и 33 534 616 кв.м полезна площ за обитаваните. От гледна точка на социалните характеристики в обитаваните панелни жилища са отчетени 1 089 263 живущи лица, 505 622 домакинства и 319 053 семейства, което показва, че </w:t>
      </w:r>
      <w:r w:rsidRPr="006F3533">
        <w:rPr>
          <w:rFonts w:eastAsia="Times New Roman" w:cs="Times New Roman"/>
          <w:b/>
          <w:bCs/>
          <w:szCs w:val="24"/>
          <w:lang w:val="bg-BG" w:eastAsia="bg-BG"/>
        </w:rPr>
        <w:t>панелният фонд продължава да бъде значим „носител“ на градското обитаване,</w:t>
      </w:r>
      <w:r w:rsidRPr="006F3533">
        <w:rPr>
          <w:rFonts w:eastAsia="Times New Roman" w:cs="Times New Roman"/>
          <w:szCs w:val="24"/>
          <w:lang w:val="bg-BG" w:eastAsia="bg-BG"/>
        </w:rPr>
        <w:t xml:space="preserve"> въпреки общите демографски тенденции.</w:t>
      </w:r>
    </w:p>
    <w:p w14:paraId="6A044E5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Разпределението по области очертава ясна концентрация на панелните жилища в големите градски центрове. София (столица) е с най-голям мащаб – 186 066 панелни жилища, от които 158 723 обитавани, и над 10.95 млн. кв.м полезна площ при обитаваните. Следват области като Пловдив (53 604 общо; 45 194 обитавани), Варна (48 532 общо; 39 866 обитавани), Бургас (31 839 общо; 26 267 обитавани), Стара Загора (25 317 общо; 19 560 обитавани), Русе (27 005 общо; 22 730 обитавани), Шумен (15 794 общо; 12 427 обитавани) и др. Този профил е логичен, тъй като панелното строителство исторически е инструмент на </w:t>
      </w:r>
      <w:proofErr w:type="spellStart"/>
      <w:r w:rsidRPr="006F3533">
        <w:rPr>
          <w:rFonts w:eastAsia="Times New Roman" w:cs="Times New Roman"/>
          <w:szCs w:val="24"/>
          <w:lang w:val="bg-BG" w:eastAsia="bg-BG"/>
        </w:rPr>
        <w:t>урбанизационната</w:t>
      </w:r>
      <w:proofErr w:type="spellEnd"/>
      <w:r w:rsidRPr="006F3533">
        <w:rPr>
          <w:rFonts w:eastAsia="Times New Roman" w:cs="Times New Roman"/>
          <w:szCs w:val="24"/>
          <w:lang w:val="bg-BG" w:eastAsia="bg-BG"/>
        </w:rPr>
        <w:t xml:space="preserve"> политика и индустриалната жилищна експанзия и по дефиниция е силно „градски“ тип застрояване.</w:t>
      </w:r>
    </w:p>
    <w:p w14:paraId="423F36D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Данните от преброяването 2021 г. са на ниво жилище, а не на ниво панелна сграда, което означава, че не могат директно да се изведат конструктивни, </w:t>
      </w:r>
      <w:proofErr w:type="spellStart"/>
      <w:r w:rsidRPr="006F3533">
        <w:rPr>
          <w:rFonts w:eastAsia="Times New Roman" w:cs="Times New Roman"/>
          <w:szCs w:val="24"/>
          <w:lang w:val="bg-BG" w:eastAsia="bg-BG"/>
        </w:rPr>
        <w:t>етажностни</w:t>
      </w:r>
      <w:proofErr w:type="spellEnd"/>
      <w:r w:rsidRPr="006F3533">
        <w:rPr>
          <w:rFonts w:eastAsia="Times New Roman" w:cs="Times New Roman"/>
          <w:szCs w:val="24"/>
          <w:lang w:val="bg-BG" w:eastAsia="bg-BG"/>
        </w:rPr>
        <w:t xml:space="preserve"> и инженерни характеристики на сградите. Затова при анализа на панелните жилища е необходимо да се използват експертни допускания, опиращи се на устойчиви характеристики на панелния фонд, добре описани в данните и профила от предходното преброяване и разработки на база 2011 г. В това отношение ключовото допускане е, че преобладаващата част от панелните жилища са в сгради, изградени преди последните две преброявания, т.е. панелният фонд е „зрял“ фонд, концентриран основно в строителни периоди от втората половина на XX век, с натрупана експлоатационна амортизация. Това допускане е разумно и поради факта, че индустриализираното панелно строителство в България има ясно изразена историческа вълна и ограничено присъствие в новото строителство след 2000 г., докато новите жилищни проекти преобладаващо се реализират като монолитни стоманобетонови конструкции.</w:t>
      </w:r>
    </w:p>
    <w:p w14:paraId="0E2826B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Точно поради тази възрастова структура, панелните жилища следва да се разглеждат като сегмент </w:t>
      </w:r>
      <w:r w:rsidRPr="006F3533">
        <w:rPr>
          <w:rFonts w:eastAsia="Times New Roman" w:cs="Times New Roman"/>
          <w:b/>
          <w:bCs/>
          <w:szCs w:val="24"/>
          <w:lang w:val="bg-BG" w:eastAsia="bg-BG"/>
        </w:rPr>
        <w:t>с висока нужда от системни интервенции върху общите части и сградната обвивка.</w:t>
      </w:r>
      <w:r w:rsidRPr="006F3533">
        <w:rPr>
          <w:rFonts w:eastAsia="Times New Roman" w:cs="Times New Roman"/>
          <w:szCs w:val="24"/>
          <w:lang w:val="bg-BG" w:eastAsia="bg-BG"/>
        </w:rPr>
        <w:t xml:space="preserve"> При панелните сгради типично проблемните полета са свързани с топлотехническите характеристики на ограждащите елементи поради първоначално ниски нормативни изисквания, </w:t>
      </w:r>
      <w:proofErr w:type="spellStart"/>
      <w:r w:rsidRPr="006F3533">
        <w:rPr>
          <w:rFonts w:eastAsia="Times New Roman" w:cs="Times New Roman"/>
          <w:szCs w:val="24"/>
          <w:lang w:val="bg-BG" w:eastAsia="bg-BG"/>
        </w:rPr>
        <w:t>термомостове</w:t>
      </w:r>
      <w:proofErr w:type="spellEnd"/>
      <w:r w:rsidRPr="006F3533">
        <w:rPr>
          <w:rFonts w:eastAsia="Times New Roman" w:cs="Times New Roman"/>
          <w:szCs w:val="24"/>
          <w:lang w:val="bg-BG" w:eastAsia="bg-BG"/>
        </w:rPr>
        <w:t xml:space="preserve"> и фуги, както и с амортизирани инсталации в общите части. В практическо отношение това означава, че потенциалът за енергийни спестявания е значителен, но и че „частични“ и разпокъсани интервенции имат ограничен ефект върху системните загуби на енергия, характерни за панелните блокове.</w:t>
      </w:r>
    </w:p>
    <w:p w14:paraId="3561BB9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тази логика, профилът от по-ранните източници (на база 2011 г.), който описва градския панелен фонд като доминиращо средно- и високоетажен, може да се използва като </w:t>
      </w:r>
      <w:r w:rsidRPr="006F3533">
        <w:rPr>
          <w:rFonts w:eastAsia="Times New Roman" w:cs="Times New Roman"/>
          <w:szCs w:val="24"/>
          <w:lang w:val="bg-BG" w:eastAsia="bg-BG"/>
        </w:rPr>
        <w:lastRenderedPageBreak/>
        <w:t>ориентир при интерпретацията на резултатите за жилищата през 2021 г., дори когато липсва директна разбивка по етажност на сградите в предоставената информация от преброяването през 2021 г.  Т.е. при планиране на мерки и оценка на бариери е оправдано да се приема, че значителна част от панелните жилища са концентрирани в многофамилни сгради с голям брой самостоятелни обекти и собственици, което носи типичните организационни предизвикателства за колективни решения, особено при модели със съфинансиране и изискване за висока степен на съгласие и участие.</w:t>
      </w:r>
    </w:p>
    <w:p w14:paraId="0166F89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От гледна точка на „натоварването“ на жилищата, съпоставянето на обитаваните панелни жилища (484 839) с броя живущи лица (1 089 263) показва, че панелният сегмент съчетава едновременно значителен човешки капацитет и относително висока плътност на обитаване в сравнение с необитаваната част (около една пета). Това е важно, защото </w:t>
      </w:r>
      <w:proofErr w:type="spellStart"/>
      <w:r w:rsidRPr="006F3533">
        <w:rPr>
          <w:rFonts w:eastAsia="Times New Roman" w:cs="Times New Roman"/>
          <w:szCs w:val="24"/>
          <w:lang w:val="bg-BG" w:eastAsia="bg-BG"/>
        </w:rPr>
        <w:t>приоритетизирането</w:t>
      </w:r>
      <w:proofErr w:type="spellEnd"/>
      <w:r w:rsidRPr="006F3533">
        <w:rPr>
          <w:rFonts w:eastAsia="Times New Roman" w:cs="Times New Roman"/>
          <w:szCs w:val="24"/>
          <w:lang w:val="bg-BG" w:eastAsia="bg-BG"/>
        </w:rPr>
        <w:t xml:space="preserve"> на обновяването в панелния фонд има потенциал да дава „масов ефект“ – едно проектно решение на ниво сграда обхваща голям брой домакинства и площ, а следователно – и значими енергийни и социални резултати (намаляване на разходи за отопление, подобряване на комфорта и вътрешния микроклимат, ограничаване на риска от енергийна бедност в големи градски квартали).</w:t>
      </w:r>
    </w:p>
    <w:p w14:paraId="665B4CB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заключение, данните от преброяването 2021 г. показват, че панелните жилища остават структурно значим сегмент на жилищния фонд, с висока степен на обитаване и силна концентрация в големите градски центрове, особено в столицата. Липсата на детайл на ниво „панелна сграда“ в 2021 набора налага използването на допускания, основани на устойчивия профил на панелното строителство, описван в предходни статистики и анализи: </w:t>
      </w:r>
      <w:r w:rsidRPr="006F3533">
        <w:rPr>
          <w:rFonts w:eastAsia="Times New Roman" w:cs="Times New Roman"/>
          <w:b/>
          <w:bCs/>
          <w:szCs w:val="24"/>
          <w:lang w:val="bg-BG" w:eastAsia="bg-BG"/>
        </w:rPr>
        <w:t>преобладаващо многофамилни, средно- и високоетажни сгради, изградени преди десетилетия, с обективна необходимост от комплексни интервенции върху общите части и ограждащата обвивка.</w:t>
      </w:r>
      <w:r w:rsidRPr="006F3533">
        <w:rPr>
          <w:rFonts w:eastAsia="Times New Roman" w:cs="Times New Roman"/>
          <w:szCs w:val="24"/>
          <w:lang w:val="bg-BG" w:eastAsia="bg-BG"/>
        </w:rPr>
        <w:t xml:space="preserve"> Именно това прави панелния жилищен фонд логичен фокус за мащабни мерки, които комбинират висока </w:t>
      </w:r>
      <w:proofErr w:type="spellStart"/>
      <w:r w:rsidRPr="006F3533">
        <w:rPr>
          <w:rFonts w:eastAsia="Times New Roman" w:cs="Times New Roman"/>
          <w:szCs w:val="24"/>
          <w:lang w:val="bg-BG" w:eastAsia="bg-BG"/>
        </w:rPr>
        <w:t>разходоефективност</w:t>
      </w:r>
      <w:proofErr w:type="spellEnd"/>
      <w:r w:rsidRPr="006F3533">
        <w:rPr>
          <w:rFonts w:eastAsia="Times New Roman" w:cs="Times New Roman"/>
          <w:szCs w:val="24"/>
          <w:lang w:val="bg-BG" w:eastAsia="bg-BG"/>
        </w:rPr>
        <w:t xml:space="preserve"> (поради обхванатата площ и брой домакинства) и висок обществен ефект, при условие че се отчетат организационните бариери, типични за големите етажни собствености.</w:t>
      </w:r>
    </w:p>
    <w:p w14:paraId="579AC120" w14:textId="77777777" w:rsidR="00E6313A" w:rsidRPr="006F3533" w:rsidRDefault="00E6313A" w:rsidP="00E6313A">
      <w:pPr>
        <w:pStyle w:val="Heading2"/>
        <w:rPr>
          <w:lang w:val="bg-BG"/>
        </w:rPr>
      </w:pPr>
      <w:bookmarkStart w:id="65" w:name="_Toc217837100"/>
      <w:bookmarkStart w:id="66" w:name="_Toc217888758"/>
      <w:r w:rsidRPr="006F3533">
        <w:rPr>
          <w:lang w:val="bg-BG"/>
        </w:rPr>
        <w:t>Брой и обща разгъната площ на жилищните сгради</w:t>
      </w:r>
      <w:bookmarkEnd w:id="65"/>
      <w:bookmarkEnd w:id="66"/>
      <w:r w:rsidRPr="006F3533">
        <w:rPr>
          <w:lang w:val="bg-BG"/>
        </w:rPr>
        <w:tab/>
      </w:r>
    </w:p>
    <w:p w14:paraId="66EFDA3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За целите на подготовката на Националния план за саниране на сгради (НПСС), в частта жилищен сектор, е необходимо да бъде определен реалният, активно използван жилищен фонд, върху който следва да се базират индикаторите, целите и прогнозите за обновяване. Поради това </w:t>
      </w:r>
      <w:r w:rsidRPr="006F3533">
        <w:rPr>
          <w:rFonts w:eastAsia="Times New Roman" w:cs="Times New Roman"/>
          <w:b/>
          <w:bCs/>
          <w:szCs w:val="24"/>
          <w:lang w:val="bg-BG" w:eastAsia="bg-BG"/>
        </w:rPr>
        <w:t>анализът се концентрира изцяло върху обитаваните жилищни сгради и жилища, тъй като единствено те участват в текущото енергопотребление на страната, определят нивата на потребление на първична и крайна енергия, и попадат в обхвата на потенциалните мерки за енергийна ефективност.</w:t>
      </w:r>
      <w:r w:rsidRPr="006F3533">
        <w:rPr>
          <w:rFonts w:eastAsia="Times New Roman" w:cs="Times New Roman"/>
          <w:szCs w:val="24"/>
          <w:lang w:val="bg-BG" w:eastAsia="bg-BG"/>
        </w:rPr>
        <w:t xml:space="preserve"> Ако в анализа се включат и необитаваните сгради, които представляват 45,7% от всички жилищни сгради в страната, това би довело до силно деформирана статистическа картина и риск от формулиране на погрешни политики и целеви стойности.</w:t>
      </w:r>
    </w:p>
    <w:p w14:paraId="1A9357E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 xml:space="preserve">Методологичен подход към данните за 2020 г. и 2025 г. </w:t>
      </w:r>
      <w:r w:rsidRPr="006F3533">
        <w:rPr>
          <w:rFonts w:eastAsia="Times New Roman" w:cs="Times New Roman"/>
          <w:szCs w:val="24"/>
          <w:lang w:val="bg-BG" w:eastAsia="bg-BG"/>
        </w:rPr>
        <w:t xml:space="preserve">- за базовата година 2020 се използват данните от преброяването през 2011 г. – единственият източник, предоставящ пълна, хомогенна и проверена информация за броя, вида и площта на обитаваните </w:t>
      </w:r>
      <w:r w:rsidRPr="006F3533">
        <w:rPr>
          <w:rFonts w:eastAsia="Times New Roman" w:cs="Times New Roman"/>
          <w:szCs w:val="24"/>
          <w:lang w:val="bg-BG" w:eastAsia="bg-BG"/>
        </w:rPr>
        <w:lastRenderedPageBreak/>
        <w:t xml:space="preserve">жилища и жилищни сгради към този период. Преброяването е единственият инструмент, който може да осигури валидна информация за статуса „обитавано/необитавано“, броя на жилищата, площта и характеристиките на сградите, тъй като текущата статистика не поддържа тези данни в пълен обем. </w:t>
      </w:r>
    </w:p>
    <w:p w14:paraId="21A036A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За прогнозната година 2025 е приложен комбиниран подход, базиран на:</w:t>
      </w:r>
    </w:p>
    <w:p w14:paraId="1A5D5034" w14:textId="77777777" w:rsidR="00E6313A" w:rsidRPr="006F3533" w:rsidRDefault="00E6313A" w:rsidP="00551FED">
      <w:pPr>
        <w:numPr>
          <w:ilvl w:val="0"/>
          <w:numId w:val="111"/>
        </w:numPr>
        <w:spacing w:before="100" w:beforeAutospacing="1" w:after="100" w:afterAutospacing="1" w:line="240" w:lineRule="auto"/>
        <w:ind w:firstLine="0"/>
        <w:jc w:val="both"/>
        <w:rPr>
          <w:rFonts w:eastAsia="Times New Roman" w:cs="Times New Roman"/>
          <w:szCs w:val="24"/>
          <w:lang w:val="bg-BG" w:eastAsia="bg-BG"/>
        </w:rPr>
      </w:pPr>
      <w:r w:rsidRPr="006F3533">
        <w:rPr>
          <w:rFonts w:eastAsia="Times New Roman" w:cs="Times New Roman"/>
          <w:szCs w:val="24"/>
          <w:lang w:val="bg-BG" w:eastAsia="bg-BG"/>
        </w:rPr>
        <w:t>данните от Преброяване 2021 за броя, вида и полезната площ на обитаваните жилища и жилищни сгради;</w:t>
      </w:r>
    </w:p>
    <w:p w14:paraId="08DAA2D3" w14:textId="77777777" w:rsidR="00E6313A" w:rsidRPr="006F3533" w:rsidRDefault="00E6313A" w:rsidP="00551FED">
      <w:pPr>
        <w:numPr>
          <w:ilvl w:val="0"/>
          <w:numId w:val="111"/>
        </w:numPr>
        <w:spacing w:before="100" w:beforeAutospacing="1" w:after="100" w:afterAutospacing="1" w:line="240" w:lineRule="auto"/>
        <w:ind w:firstLine="0"/>
        <w:jc w:val="both"/>
        <w:rPr>
          <w:rFonts w:eastAsia="Times New Roman" w:cs="Times New Roman"/>
          <w:szCs w:val="24"/>
          <w:lang w:val="bg-BG" w:eastAsia="bg-BG"/>
        </w:rPr>
      </w:pPr>
      <w:r w:rsidRPr="006F3533">
        <w:rPr>
          <w:rFonts w:eastAsia="Times New Roman" w:cs="Times New Roman"/>
          <w:szCs w:val="24"/>
          <w:lang w:val="bg-BG" w:eastAsia="bg-BG"/>
        </w:rPr>
        <w:t>допълнително включване на всички новопостроени и въведени в експлоатация жилищни сгради за периода 2022–2025 г. (до III тримесечие), с отчитане както на броя жилища, така и на полезната им площ.</w:t>
      </w:r>
    </w:p>
    <w:p w14:paraId="46A53A8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Тъй като данните за новопостроените сгради през 2022–2025 г. не се публикуват по вид на сградата, е приложено пропорционално разпределение по категории еднофамилни/многофамилни, базирано на структурата на жилищния фонд от Преброяване 2021. Това допускане е методологично оправдано, тъй като структурата на новото жилищно строителство няма съществени отклонения от общата структура през последните години – съотношението между еднофамилни и многофамилни сгради остава относително стабилно.</w:t>
      </w:r>
    </w:p>
    <w:p w14:paraId="4BC2A6D4"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За целите на НПСС жилищният фонд следва да бъде представен в две основни категории: еднофамилни и многофамилни жилищни сгради. Това изисква съпоставяне на наличните статистически и нормативни класификации и тяхното обединяване в структура, която е съвместима с индикаторите на плана. В този контекст за еднофамилни жилищни сгради са приети къщите, както са дефинирани в методологията на НСИ, като те отразяват реалния еднофамилен характер на обитаване (средно 1,2 жилища на сграда) и конструктивните особености на този тип жилища.</w:t>
      </w:r>
    </w:p>
    <w:p w14:paraId="0586FAC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Останалите категории сгради, които съдържат повече от едно жилище или помещения, обитавани от множество лица – а именно сгради от смесен тип (с над 60% жилищна площ), общежитията и сградите за колективно домакинство – са приобщени към групата на многофамилните жилищни сгради. Тяхното включване в тази категория е резултат от структурните, експлоатационните и функционалните им характеристики. И в трите случая става дума за сгради, които съдържат множество помещения, самостоятелни обекти или жилищни единици, обитавани от повече от едно домакинство или групи лица. Те притежават централизиран характер на инсталациите, общи части, общи входни пространства и етажна конфигурация, сходна с тази на жилищните блокове.</w:t>
      </w:r>
    </w:p>
    <w:p w14:paraId="2650072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Нормативната уредба в областта на енергийната ефективност също подкрепя това групиране: общежитията се сертифицират по същата скала на енергопотребление, която се прилага за многофамилните жилищни сгради. Сградите от смесен тип, при които жилищната площ надвишава 60% от разгънатата застроена площ, функционално изпълняват ролята на многофамилни сгради, независимо че съдържат и нежилищни помещения. Сградите за колективно домакинство, макар и специфични по предназначение, представляват структури с множество обитатели и следователно са конструктивно и експлоатационно по-близки до многофамилните жилищни сгради. Поради тези факти и в съответствие с логиката на НПСС, който изисква агрегиране в две </w:t>
      </w:r>
      <w:r w:rsidRPr="006F3533">
        <w:rPr>
          <w:rFonts w:eastAsia="Times New Roman" w:cs="Times New Roman"/>
          <w:szCs w:val="24"/>
          <w:lang w:val="bg-BG" w:eastAsia="bg-BG"/>
        </w:rPr>
        <w:lastRenderedPageBreak/>
        <w:t>основни групи, приобщаването на горепосочените категории към многофамилните жилищни сгради е нормативно, статистически и функционално напълно обосновано.</w:t>
      </w:r>
    </w:p>
    <w:p w14:paraId="6730237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От количественото определяне на индикаторите по НПСС  целенасочено са изключени вилите и летните кухни, които представляват сезонни или второстепенни сгради. Макар броят им да е значителен – 176 491 – реално обитаваните сред тях са едва 6 578, тоест под 4%. Поради сезонния характер на ползването тези сгради не участват съществено в националното енергийно потребление и не се разглеждат като част от постоянния жилищен фонд. </w:t>
      </w:r>
    </w:p>
    <w:p w14:paraId="3CCE399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При определянето на разгънатата застроена площ (РЗП) на жилищния фонд са приложени различни подходи за еднофамилните и многофамилните жилищни сгради</w:t>
      </w:r>
      <w:r w:rsidRPr="006F3533">
        <w:rPr>
          <w:rFonts w:eastAsia="Times New Roman" w:cs="Times New Roman"/>
          <w:szCs w:val="24"/>
          <w:lang w:val="bg-BG" w:eastAsia="bg-BG"/>
        </w:rPr>
        <w:t>. За многофамилните е направено увеличение от 10% спрямо отчетената от НСИ полезна площ. Това е необходимо, защото полезната площ, както се отчита от статистиката, не включва редица общи части, които са характерни за жилищните блокове и кооперациите – като стълбищни клетки, коридори, инсталационни шахти, входни пространства, фоайета и част от обслужващите помещения. Архитектурните и конструктивни норми показват, че делът на тези общи части обичайно варира между 8 и 15% от РЗП, поради което използването на стойност от 10% представлява консервативен и достатъчно надежден параметър, който е съпоставим с използваните стойности в други стратегически документи.</w:t>
      </w:r>
    </w:p>
    <w:p w14:paraId="4E84452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За еднофамилните жилищни сгради такова увеличение не е приложено. Това е така, защото при тях полезната площ, в голям процент от случаите, съвпада с РЗП, която се използва от едно домакинство. Еднофамилните къщи не притежават отделни общи части извън полезната площ, а вътрешните стълбища (когато са налице) в повечето случаи са функционално част от жилищното пространство. Поради тази особеност добавянето на процент за общи части би било неоправдано и би довело до изкривяване на данните.</w:t>
      </w:r>
    </w:p>
    <w:p w14:paraId="435CAC59" w14:textId="77777777" w:rsidR="00E6313A" w:rsidRPr="006F3533" w:rsidRDefault="00E6313A" w:rsidP="00E6313A">
      <w:pPr>
        <w:spacing w:line="240" w:lineRule="auto"/>
        <w:jc w:val="both"/>
        <w:rPr>
          <w:rFonts w:cs="Times New Roman"/>
          <w:i/>
          <w:iCs/>
          <w:color w:val="0070C0"/>
          <w:szCs w:val="24"/>
          <w:lang w:val="bg-BG"/>
        </w:rPr>
      </w:pPr>
      <w:bookmarkStart w:id="67" w:name="_Toc216777100"/>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12</w:t>
      </w:r>
      <w:r w:rsidRPr="006F3533">
        <w:rPr>
          <w:rFonts w:cs="Times New Roman"/>
          <w:i/>
          <w:iCs/>
          <w:color w:val="0070C0"/>
          <w:szCs w:val="24"/>
          <w:lang w:val="bg-BG"/>
        </w:rPr>
        <w:fldChar w:fldCharType="end"/>
      </w:r>
      <w:r w:rsidRPr="006F3533">
        <w:rPr>
          <w:rFonts w:cs="Times New Roman"/>
          <w:i/>
          <w:iCs/>
          <w:color w:val="0070C0"/>
          <w:szCs w:val="24"/>
          <w:lang w:val="bg-BG"/>
        </w:rPr>
        <w:t>: Определяне на броя, вида и площта на жилищния фонд по тип сграда – базова година 2020 и прогнозна година 2025</w:t>
      </w:r>
      <w:bookmarkEnd w:id="67"/>
    </w:p>
    <w:tbl>
      <w:tblPr>
        <w:tblStyle w:val="GridTable4-Accent51"/>
        <w:tblW w:w="11341" w:type="dxa"/>
        <w:jc w:val="center"/>
        <w:tblLayout w:type="fixed"/>
        <w:tblLook w:val="04A0" w:firstRow="1" w:lastRow="0" w:firstColumn="1" w:lastColumn="0" w:noHBand="0" w:noVBand="1"/>
      </w:tblPr>
      <w:tblGrid>
        <w:gridCol w:w="1986"/>
        <w:gridCol w:w="1086"/>
        <w:gridCol w:w="1048"/>
        <w:gridCol w:w="1221"/>
        <w:gridCol w:w="1339"/>
        <w:gridCol w:w="1070"/>
        <w:gridCol w:w="1048"/>
        <w:gridCol w:w="1267"/>
        <w:gridCol w:w="1276"/>
      </w:tblGrid>
      <w:tr w:rsidR="00E6313A" w:rsidRPr="006F3533" w14:paraId="5060788D" w14:textId="77777777" w:rsidTr="00541E06">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986" w:type="dxa"/>
            <w:vMerge w:val="restart"/>
          </w:tcPr>
          <w:p w14:paraId="554CB65C"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Вид на сградата</w:t>
            </w:r>
          </w:p>
        </w:tc>
        <w:tc>
          <w:tcPr>
            <w:tcW w:w="9355" w:type="dxa"/>
            <w:gridSpan w:val="8"/>
            <w:noWrap/>
          </w:tcPr>
          <w:p w14:paraId="7AFCD411"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8"/>
                <w:szCs w:val="18"/>
                <w:lang w:val="bg-BG" w:eastAsia="bg-BG"/>
              </w:rPr>
            </w:pPr>
            <w:r w:rsidRPr="006F3533">
              <w:rPr>
                <w:rFonts w:eastAsia="Times New Roman" w:cs="Calibri"/>
                <w:sz w:val="18"/>
                <w:szCs w:val="18"/>
                <w:lang w:val="bg-BG" w:eastAsia="bg-BG"/>
              </w:rPr>
              <w:t xml:space="preserve">Обитавани сгради </w:t>
            </w:r>
          </w:p>
        </w:tc>
      </w:tr>
      <w:tr w:rsidR="00E6313A" w:rsidRPr="006F3533" w14:paraId="3561FDC1" w14:textId="77777777" w:rsidTr="00541E06">
        <w:trPr>
          <w:trHeight w:val="300"/>
          <w:jc w:val="center"/>
        </w:trPr>
        <w:tc>
          <w:tcPr>
            <w:cnfStyle w:val="001000000000" w:firstRow="0" w:lastRow="0" w:firstColumn="1" w:lastColumn="0" w:oddVBand="0" w:evenVBand="0" w:oddHBand="0" w:evenHBand="0" w:firstRowFirstColumn="0" w:firstRowLastColumn="0" w:lastRowFirstColumn="0" w:lastRowLastColumn="0"/>
            <w:tcW w:w="1986" w:type="dxa"/>
            <w:vMerge/>
            <w:shd w:val="clear" w:color="auto" w:fill="DEEAF6" w:themeFill="accent5" w:themeFillTint="33"/>
          </w:tcPr>
          <w:p w14:paraId="1FFD941D"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p>
        </w:tc>
        <w:tc>
          <w:tcPr>
            <w:tcW w:w="4694" w:type="dxa"/>
            <w:gridSpan w:val="4"/>
            <w:shd w:val="clear" w:color="auto" w:fill="DEEAF6" w:themeFill="accent5" w:themeFillTint="33"/>
          </w:tcPr>
          <w:p w14:paraId="5E27DCAC"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val="bg-BG" w:eastAsia="bg-BG"/>
              </w:rPr>
            </w:pPr>
            <w:r w:rsidRPr="006F3533">
              <w:rPr>
                <w:rFonts w:eastAsia="Times New Roman" w:cs="Calibri"/>
                <w:b/>
                <w:bCs/>
                <w:sz w:val="18"/>
                <w:szCs w:val="18"/>
                <w:lang w:val="bg-BG" w:eastAsia="bg-BG"/>
              </w:rPr>
              <w:t>към 2020 (по данни към 01.02.2011)</w:t>
            </w:r>
          </w:p>
        </w:tc>
        <w:tc>
          <w:tcPr>
            <w:tcW w:w="4661" w:type="dxa"/>
            <w:gridSpan w:val="4"/>
            <w:shd w:val="clear" w:color="auto" w:fill="DEEAF6" w:themeFill="accent5" w:themeFillTint="33"/>
          </w:tcPr>
          <w:p w14:paraId="3A499EE8"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val="bg-BG" w:eastAsia="bg-BG"/>
              </w:rPr>
            </w:pPr>
            <w:r w:rsidRPr="006F3533">
              <w:rPr>
                <w:rFonts w:eastAsia="Times New Roman" w:cs="Calibri"/>
                <w:b/>
                <w:bCs/>
                <w:sz w:val="18"/>
                <w:szCs w:val="18"/>
                <w:lang w:val="bg-BG" w:eastAsia="bg-BG"/>
              </w:rPr>
              <w:t>към 01.12.2025 г.</w:t>
            </w:r>
          </w:p>
        </w:tc>
      </w:tr>
      <w:tr w:rsidR="00E6313A" w:rsidRPr="006F3533" w14:paraId="69BCB265" w14:textId="77777777" w:rsidTr="00541E06">
        <w:trPr>
          <w:trHeight w:val="570"/>
          <w:jc w:val="center"/>
        </w:trPr>
        <w:tc>
          <w:tcPr>
            <w:cnfStyle w:val="001000000000" w:firstRow="0" w:lastRow="0" w:firstColumn="1" w:lastColumn="0" w:oddVBand="0" w:evenVBand="0" w:oddHBand="0" w:evenHBand="0" w:firstRowFirstColumn="0" w:firstRowLastColumn="0" w:lastRowFirstColumn="0" w:lastRowLastColumn="0"/>
            <w:tcW w:w="1986" w:type="dxa"/>
            <w:vMerge/>
          </w:tcPr>
          <w:p w14:paraId="0B5095EE"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p>
        </w:tc>
        <w:tc>
          <w:tcPr>
            <w:tcW w:w="1086" w:type="dxa"/>
          </w:tcPr>
          <w:p w14:paraId="2D94838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Сгради, бр.</w:t>
            </w:r>
          </w:p>
        </w:tc>
        <w:tc>
          <w:tcPr>
            <w:tcW w:w="1048" w:type="dxa"/>
          </w:tcPr>
          <w:p w14:paraId="3585E6F9"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Жилища, бр.</w:t>
            </w:r>
          </w:p>
        </w:tc>
        <w:tc>
          <w:tcPr>
            <w:tcW w:w="1221" w:type="dxa"/>
          </w:tcPr>
          <w:p w14:paraId="6CFAA2A4"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Полезна площ, м2</w:t>
            </w:r>
          </w:p>
        </w:tc>
        <w:tc>
          <w:tcPr>
            <w:tcW w:w="1339" w:type="dxa"/>
          </w:tcPr>
          <w:p w14:paraId="663E52A8"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РЗП, м2</w:t>
            </w:r>
          </w:p>
        </w:tc>
        <w:tc>
          <w:tcPr>
            <w:tcW w:w="1070" w:type="dxa"/>
          </w:tcPr>
          <w:p w14:paraId="7FF5D237"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Сгради, бр.</w:t>
            </w:r>
          </w:p>
        </w:tc>
        <w:tc>
          <w:tcPr>
            <w:tcW w:w="1048" w:type="dxa"/>
          </w:tcPr>
          <w:p w14:paraId="148E8A5C"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Жилища, бр.</w:t>
            </w:r>
          </w:p>
        </w:tc>
        <w:tc>
          <w:tcPr>
            <w:tcW w:w="1267" w:type="dxa"/>
          </w:tcPr>
          <w:p w14:paraId="3B5EA0FF"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Полезна площ, м2</w:t>
            </w:r>
          </w:p>
        </w:tc>
        <w:tc>
          <w:tcPr>
            <w:tcW w:w="1276" w:type="dxa"/>
          </w:tcPr>
          <w:p w14:paraId="38532B9B"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РЗП, м2</w:t>
            </w:r>
          </w:p>
        </w:tc>
      </w:tr>
      <w:tr w:rsidR="00E6313A" w:rsidRPr="006F3533" w14:paraId="59A73D3B" w14:textId="77777777" w:rsidTr="00541E06">
        <w:trPr>
          <w:trHeight w:val="585"/>
          <w:jc w:val="center"/>
        </w:trPr>
        <w:tc>
          <w:tcPr>
            <w:cnfStyle w:val="001000000000" w:firstRow="0" w:lastRow="0" w:firstColumn="1" w:lastColumn="0" w:oddVBand="0" w:evenVBand="0" w:oddHBand="0" w:evenHBand="0" w:firstRowFirstColumn="0" w:firstRowLastColumn="0" w:lastRowFirstColumn="0" w:lastRowLastColumn="0"/>
            <w:tcW w:w="1986" w:type="dxa"/>
            <w:shd w:val="clear" w:color="auto" w:fill="DEEAF6" w:themeFill="accent5" w:themeFillTint="33"/>
          </w:tcPr>
          <w:p w14:paraId="0714CBC6"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Къща (Еднофамилна жилищна сграда)</w:t>
            </w:r>
          </w:p>
        </w:tc>
        <w:tc>
          <w:tcPr>
            <w:tcW w:w="1086" w:type="dxa"/>
            <w:shd w:val="clear" w:color="auto" w:fill="DEEAF6" w:themeFill="accent5" w:themeFillTint="33"/>
            <w:noWrap/>
          </w:tcPr>
          <w:p w14:paraId="43DA20C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1 291 549</w:t>
            </w:r>
          </w:p>
        </w:tc>
        <w:tc>
          <w:tcPr>
            <w:tcW w:w="1048" w:type="dxa"/>
            <w:shd w:val="clear" w:color="auto" w:fill="DEEAF6" w:themeFill="accent5" w:themeFillTint="33"/>
            <w:noWrap/>
          </w:tcPr>
          <w:p w14:paraId="2229495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1 490 460</w:t>
            </w:r>
          </w:p>
        </w:tc>
        <w:tc>
          <w:tcPr>
            <w:tcW w:w="1221" w:type="dxa"/>
            <w:shd w:val="clear" w:color="auto" w:fill="DEEAF6" w:themeFill="accent5" w:themeFillTint="33"/>
            <w:noWrap/>
          </w:tcPr>
          <w:p w14:paraId="24EE710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118 318 032</w:t>
            </w:r>
          </w:p>
        </w:tc>
        <w:tc>
          <w:tcPr>
            <w:tcW w:w="1339" w:type="dxa"/>
            <w:shd w:val="clear" w:color="auto" w:fill="DEEAF6" w:themeFill="accent5" w:themeFillTint="33"/>
            <w:noWrap/>
          </w:tcPr>
          <w:p w14:paraId="6A731A1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118 318 032</w:t>
            </w:r>
          </w:p>
        </w:tc>
        <w:tc>
          <w:tcPr>
            <w:tcW w:w="1070" w:type="dxa"/>
            <w:shd w:val="clear" w:color="auto" w:fill="DEEAF6" w:themeFill="accent5" w:themeFillTint="33"/>
          </w:tcPr>
          <w:p w14:paraId="5CBDE56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1 083 800</w:t>
            </w:r>
          </w:p>
        </w:tc>
        <w:tc>
          <w:tcPr>
            <w:tcW w:w="1048" w:type="dxa"/>
            <w:shd w:val="clear" w:color="auto" w:fill="DEEAF6" w:themeFill="accent5" w:themeFillTint="33"/>
          </w:tcPr>
          <w:p w14:paraId="7C16D84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1 333 594</w:t>
            </w:r>
          </w:p>
        </w:tc>
        <w:tc>
          <w:tcPr>
            <w:tcW w:w="1267" w:type="dxa"/>
            <w:shd w:val="clear" w:color="auto" w:fill="DEEAF6" w:themeFill="accent5" w:themeFillTint="33"/>
          </w:tcPr>
          <w:p w14:paraId="1374855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125 833 282</w:t>
            </w:r>
          </w:p>
        </w:tc>
        <w:tc>
          <w:tcPr>
            <w:tcW w:w="1276" w:type="dxa"/>
            <w:shd w:val="clear" w:color="auto" w:fill="DEEAF6" w:themeFill="accent5" w:themeFillTint="33"/>
          </w:tcPr>
          <w:p w14:paraId="782C618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125 833 282</w:t>
            </w:r>
          </w:p>
        </w:tc>
      </w:tr>
      <w:tr w:rsidR="00E6313A" w:rsidRPr="006F3533" w14:paraId="4387A80A" w14:textId="77777777" w:rsidTr="00541E06">
        <w:trPr>
          <w:trHeight w:val="585"/>
          <w:jc w:val="center"/>
        </w:trPr>
        <w:tc>
          <w:tcPr>
            <w:cnfStyle w:val="001000000000" w:firstRow="0" w:lastRow="0" w:firstColumn="1" w:lastColumn="0" w:oddVBand="0" w:evenVBand="0" w:oddHBand="0" w:evenHBand="0" w:firstRowFirstColumn="0" w:firstRowLastColumn="0" w:lastRowFirstColumn="0" w:lastRowLastColumn="0"/>
            <w:tcW w:w="1986" w:type="dxa"/>
          </w:tcPr>
          <w:p w14:paraId="7FE4E68F"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Жилищен блок, кооперация (Многофамилна жилищна сграда)</w:t>
            </w:r>
          </w:p>
        </w:tc>
        <w:tc>
          <w:tcPr>
            <w:tcW w:w="1086" w:type="dxa"/>
            <w:noWrap/>
          </w:tcPr>
          <w:p w14:paraId="0B6DEBE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74 349</w:t>
            </w:r>
          </w:p>
        </w:tc>
        <w:tc>
          <w:tcPr>
            <w:tcW w:w="1048" w:type="dxa"/>
            <w:noWrap/>
          </w:tcPr>
          <w:p w14:paraId="12FF720E"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1 714 115</w:t>
            </w:r>
          </w:p>
        </w:tc>
        <w:tc>
          <w:tcPr>
            <w:tcW w:w="1221" w:type="dxa"/>
            <w:noWrap/>
          </w:tcPr>
          <w:p w14:paraId="6CC74FF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122 314 615</w:t>
            </w:r>
          </w:p>
        </w:tc>
        <w:tc>
          <w:tcPr>
            <w:tcW w:w="1339" w:type="dxa"/>
            <w:noWrap/>
          </w:tcPr>
          <w:p w14:paraId="3553782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134 030 503</w:t>
            </w:r>
          </w:p>
        </w:tc>
        <w:tc>
          <w:tcPr>
            <w:tcW w:w="1070" w:type="dxa"/>
          </w:tcPr>
          <w:p w14:paraId="5E34ECF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82 198</w:t>
            </w:r>
          </w:p>
        </w:tc>
        <w:tc>
          <w:tcPr>
            <w:tcW w:w="1048" w:type="dxa"/>
          </w:tcPr>
          <w:p w14:paraId="2F72E10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1 978 462</w:t>
            </w:r>
          </w:p>
        </w:tc>
        <w:tc>
          <w:tcPr>
            <w:tcW w:w="1267" w:type="dxa"/>
          </w:tcPr>
          <w:p w14:paraId="652F663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148 780 268</w:t>
            </w:r>
          </w:p>
        </w:tc>
        <w:tc>
          <w:tcPr>
            <w:tcW w:w="1276" w:type="dxa"/>
          </w:tcPr>
          <w:p w14:paraId="667221C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163 285 531</w:t>
            </w:r>
          </w:p>
        </w:tc>
      </w:tr>
      <w:tr w:rsidR="00E6313A" w:rsidRPr="006F3533" w14:paraId="0F48CEA0" w14:textId="77777777" w:rsidTr="00541E06">
        <w:trPr>
          <w:trHeight w:val="300"/>
          <w:jc w:val="center"/>
        </w:trPr>
        <w:tc>
          <w:tcPr>
            <w:cnfStyle w:val="001000000000" w:firstRow="0" w:lastRow="0" w:firstColumn="1" w:lastColumn="0" w:oddVBand="0" w:evenVBand="0" w:oddHBand="0" w:evenHBand="0" w:firstRowFirstColumn="0" w:firstRowLastColumn="0" w:lastRowFirstColumn="0" w:lastRowLastColumn="0"/>
            <w:tcW w:w="1986" w:type="dxa"/>
            <w:shd w:val="clear" w:color="auto" w:fill="DEEAF6" w:themeFill="accent5" w:themeFillTint="33"/>
          </w:tcPr>
          <w:p w14:paraId="4646570F" w14:textId="77777777" w:rsidR="00E6313A" w:rsidRPr="006F3533" w:rsidRDefault="00E6313A" w:rsidP="00541E06">
            <w:pPr>
              <w:spacing w:before="100" w:beforeAutospacing="1" w:after="100" w:afterAutospacing="1"/>
              <w:rPr>
                <w:rFonts w:eastAsia="Times New Roman" w:cs="Calibri"/>
                <w:b w:val="0"/>
                <w:bCs w:val="0"/>
                <w:sz w:val="18"/>
                <w:szCs w:val="18"/>
                <w:lang w:val="bg-BG" w:eastAsia="bg-BG"/>
              </w:rPr>
            </w:pPr>
            <w:r w:rsidRPr="006F3533">
              <w:rPr>
                <w:rFonts w:eastAsia="Times New Roman" w:cs="Calibri"/>
                <w:sz w:val="18"/>
                <w:szCs w:val="18"/>
                <w:lang w:val="bg-BG" w:eastAsia="bg-BG"/>
              </w:rPr>
              <w:t>Общо</w:t>
            </w:r>
          </w:p>
        </w:tc>
        <w:tc>
          <w:tcPr>
            <w:tcW w:w="1086" w:type="dxa"/>
            <w:shd w:val="clear" w:color="auto" w:fill="DEEAF6" w:themeFill="accent5" w:themeFillTint="33"/>
            <w:noWrap/>
          </w:tcPr>
          <w:p w14:paraId="1386A29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1 365 898</w:t>
            </w:r>
          </w:p>
        </w:tc>
        <w:tc>
          <w:tcPr>
            <w:tcW w:w="1048" w:type="dxa"/>
            <w:shd w:val="clear" w:color="auto" w:fill="DEEAF6" w:themeFill="accent5" w:themeFillTint="33"/>
            <w:noWrap/>
          </w:tcPr>
          <w:p w14:paraId="2F18EB1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3 204 575</w:t>
            </w:r>
          </w:p>
        </w:tc>
        <w:tc>
          <w:tcPr>
            <w:tcW w:w="1221" w:type="dxa"/>
            <w:shd w:val="clear" w:color="auto" w:fill="DEEAF6" w:themeFill="accent5" w:themeFillTint="33"/>
            <w:noWrap/>
          </w:tcPr>
          <w:p w14:paraId="69FF1EC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240 632 647</w:t>
            </w:r>
          </w:p>
        </w:tc>
        <w:tc>
          <w:tcPr>
            <w:tcW w:w="1339" w:type="dxa"/>
            <w:shd w:val="clear" w:color="auto" w:fill="DEEAF6" w:themeFill="accent5" w:themeFillTint="33"/>
            <w:noWrap/>
          </w:tcPr>
          <w:p w14:paraId="7B4CA13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252 348 535</w:t>
            </w:r>
          </w:p>
        </w:tc>
        <w:tc>
          <w:tcPr>
            <w:tcW w:w="1070" w:type="dxa"/>
            <w:shd w:val="clear" w:color="auto" w:fill="DEEAF6" w:themeFill="accent5" w:themeFillTint="33"/>
          </w:tcPr>
          <w:p w14:paraId="45D0BA07"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1 165 998</w:t>
            </w:r>
          </w:p>
        </w:tc>
        <w:tc>
          <w:tcPr>
            <w:tcW w:w="1048" w:type="dxa"/>
            <w:shd w:val="clear" w:color="auto" w:fill="DEEAF6" w:themeFill="accent5" w:themeFillTint="33"/>
          </w:tcPr>
          <w:p w14:paraId="737D87A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3 312 056</w:t>
            </w:r>
          </w:p>
        </w:tc>
        <w:tc>
          <w:tcPr>
            <w:tcW w:w="1267" w:type="dxa"/>
            <w:shd w:val="clear" w:color="auto" w:fill="DEEAF6" w:themeFill="accent5" w:themeFillTint="33"/>
          </w:tcPr>
          <w:p w14:paraId="31CA7EE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274 613 550</w:t>
            </w:r>
          </w:p>
        </w:tc>
        <w:tc>
          <w:tcPr>
            <w:tcW w:w="1276" w:type="dxa"/>
            <w:shd w:val="clear" w:color="auto" w:fill="DEEAF6" w:themeFill="accent5" w:themeFillTint="33"/>
          </w:tcPr>
          <w:p w14:paraId="4072CDA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val="bg-BG" w:eastAsia="bg-BG"/>
              </w:rPr>
            </w:pPr>
            <w:r w:rsidRPr="006F3533">
              <w:rPr>
                <w:rFonts w:eastAsia="Times New Roman" w:cs="Calibri"/>
                <w:sz w:val="18"/>
                <w:szCs w:val="18"/>
                <w:lang w:val="bg-BG" w:eastAsia="bg-BG"/>
              </w:rPr>
              <w:t>289 118 813</w:t>
            </w:r>
          </w:p>
        </w:tc>
      </w:tr>
    </w:tbl>
    <w:p w14:paraId="772B77C2"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Преброяване на населението и жилищния фонд 2011 г. и 2021 г.; Текуща статистика ,,Въведени в експлоатация новопостроени жилищни сгради“, 2025 г.</w:t>
      </w:r>
    </w:p>
    <w:p w14:paraId="599E510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 xml:space="preserve">Анализът на данните от таблицата разкрива различия в развитието на жилищния фонд през двата разглеждани периода. През 2020 г. (2011 г.) обитаваният жилищен фонд включва приблизително 1,365 млн. жилищни сгради и 3,204 млн. жилища, докато </w:t>
      </w:r>
      <w:r w:rsidRPr="006F3533">
        <w:rPr>
          <w:rFonts w:eastAsia="Times New Roman" w:cs="Times New Roman"/>
          <w:b/>
          <w:bCs/>
          <w:szCs w:val="24"/>
          <w:lang w:val="bg-BG" w:eastAsia="bg-BG"/>
        </w:rPr>
        <w:t>през 2025 г. броят на обитаваните сгради намалява до около 1,166 млн., а жилищата в тях нарастват до 3,312 млн.</w:t>
      </w:r>
      <w:r w:rsidRPr="006F3533">
        <w:rPr>
          <w:rFonts w:eastAsia="Times New Roman" w:cs="Times New Roman"/>
          <w:szCs w:val="24"/>
          <w:lang w:val="bg-BG" w:eastAsia="bg-BG"/>
        </w:rPr>
        <w:t xml:space="preserve"> Това съчетание от спад в броя на обитаваните сгради и увеличаване на броя на жилищата отразява процеси като обезлюдяване на малките населени места, нарастване дела на необитаваните еднофамилни къщи и продължаващо активно жилищно строителство в градовете, насочено предимно към многофамилни сгради.</w:t>
      </w:r>
    </w:p>
    <w:p w14:paraId="2998381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Еднофамилните жилищни сгради през разглеждания период намаляват като абсолютен брой. Въпреки това тяхната обща полезна площ се увеличава благодарение на новото индивидуално строителство в периферните градски зони и в определени общини с по-висока жилищна активност. За разлика от тях многофамилните жилищни сгради нарастват както по брой жилища, така и по полезна площ, което е в съответствие с тенденцията за концентриране на населението в градските центрове. Този сегмент придобива нарастващо значение за енергийната картина на страната: през 2025 г. делът на многофамилните сгради в общата полезна площ надхвърля 54%. Отчитането на тази структура показва, че те формират основния потенциал за енергийни спестявания и са ключов елемент в изпълнението на националните цели за ЕЕ.</w:t>
      </w:r>
    </w:p>
    <w:p w14:paraId="4FAB9D92"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Еднофамилните жилищни сгради също се нуждаят от целенасочена публична подкрепа, макар и в различен формат от този за многофамилните блокове, защото на тях се падат останалите 46% от общата полезна площ. До момента в България не са прилагани национални програми, които да подкрепят систематично енергийното обновяване на еднофамилни къщи – нито под формата на цялостно саниране, нито под формата на поетапно обновяване. Съществуващите инструменти, насочени основно към многофамилни жилищни сгради, не са били достъпни или приложими за индивидуални домакинства. Това води до липса на финансови стимули и до отлагане на жизненоважни мерки като топлоизолация на покриви, фасади, подмяна на дограма и обновяване на отоплителните системи. В контекста на енергийната бедност и високите относителни разходи за обновяване при този тип сгради включването на еднофамилните в рамките на бъдещи програми – дори само чрез поетапни мерки – е ключово условие за постигане на националните цели.</w:t>
      </w:r>
    </w:p>
    <w:p w14:paraId="05C8C92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заключение, динамиката на жилищния фонд изисква диференцирана политика:</w:t>
      </w:r>
    </w:p>
    <w:p w14:paraId="02D8975D" w14:textId="77777777" w:rsidR="00E6313A" w:rsidRPr="006F3533" w:rsidRDefault="00E6313A" w:rsidP="00551FED">
      <w:pPr>
        <w:numPr>
          <w:ilvl w:val="0"/>
          <w:numId w:val="112"/>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многофамилните жилищни сгради да останат водещ фокус на мащабните програми за дълбоко обновяване, поради големия обем жилища и високата ефективност на инвестициите;</w:t>
      </w:r>
    </w:p>
    <w:p w14:paraId="4A3369E1" w14:textId="77777777" w:rsidR="00E6313A" w:rsidRPr="006F3533" w:rsidRDefault="00E6313A" w:rsidP="00551FED">
      <w:pPr>
        <w:numPr>
          <w:ilvl w:val="0"/>
          <w:numId w:val="112"/>
        </w:numPr>
        <w:spacing w:before="100" w:beforeAutospacing="1" w:after="100" w:afterAutospacing="1" w:line="240" w:lineRule="auto"/>
        <w:ind w:firstLine="0"/>
        <w:contextualSpacing/>
        <w:jc w:val="both"/>
        <w:rPr>
          <w:rFonts w:eastAsia="Times New Roman" w:cs="Times New Roman"/>
          <w:szCs w:val="24"/>
          <w:lang w:val="bg-BG" w:eastAsia="bg-BG"/>
        </w:rPr>
      </w:pPr>
      <w:r w:rsidRPr="006F3533">
        <w:rPr>
          <w:rFonts w:eastAsia="Times New Roman" w:cs="Times New Roman"/>
          <w:szCs w:val="24"/>
          <w:lang w:val="bg-BG" w:eastAsia="bg-BG"/>
        </w:rPr>
        <w:t>еднофамилните жилищни сгради да бъдат обект на специализирани, поетапни и финансово достъпни програми, отчитащи индивидуалния характер на собствеността и по-високата инвестиционна тежест на ЕЕ мерките.</w:t>
      </w:r>
    </w:p>
    <w:p w14:paraId="3171C531" w14:textId="77777777" w:rsidR="00E6313A" w:rsidRPr="006F3533" w:rsidRDefault="00E6313A" w:rsidP="00E6313A">
      <w:pPr>
        <w:spacing w:before="100" w:beforeAutospacing="1" w:after="100" w:afterAutospacing="1" w:line="240" w:lineRule="auto"/>
        <w:ind w:left="1429"/>
        <w:contextualSpacing/>
        <w:jc w:val="both"/>
        <w:rPr>
          <w:rFonts w:eastAsia="Times New Roman" w:cs="Times New Roman"/>
          <w:szCs w:val="24"/>
          <w:lang w:val="bg-BG" w:eastAsia="bg-BG"/>
        </w:rPr>
      </w:pPr>
    </w:p>
    <w:p w14:paraId="74A6BB38" w14:textId="77777777" w:rsidR="00E6313A" w:rsidRPr="006F3533" w:rsidRDefault="00E6313A" w:rsidP="00E6313A">
      <w:pPr>
        <w:spacing w:before="100" w:beforeAutospacing="1" w:after="0"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Социални жилища</w:t>
      </w:r>
    </w:p>
    <w:p w14:paraId="3B694C0E" w14:textId="77777777" w:rsidR="00E6313A" w:rsidRPr="006F3533" w:rsidRDefault="00E6313A" w:rsidP="00E6313A">
      <w:pPr>
        <w:spacing w:after="0"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Анализът на жилищния сектор в България показва, че социалните жилища представляват едно от най-слабо изследваните и най-слабо структурирани направления на жилищната политика. Към момента в страната не съществува централизирана и публично достъпна „жилищна картотека“, която да обхваща всички лица и домакинства с призната жилищна нужда, както и наличния социален и общински жилищен фонд. Извън ограничените интервенции, реализирани по оперативните програми, липсва систематизирана информация за това кои жилища реално изпълняват социална функция, какви са техните ползватели и доколко отговарят на нормативните критерии за социално жилище. Това създава сериозни затруднения при оценката на реалните потребности и при планирането на целенасочени политики, включително в контекста на НПСС.</w:t>
      </w:r>
    </w:p>
    <w:p w14:paraId="5197808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Наличните данни показват, че социалните жилища, изградени или обновени целево, са почти изцяло резултат от проекти, финансирани по Оперативна програма „Регионално развитие“ 2007–2013 г. и по Оперативна програма „Региони в растеж“ 2014–2020 г.</w:t>
      </w:r>
    </w:p>
    <w:p w14:paraId="3C2B049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рамките на първата програма е финансирана схема ВG161РO001/1.2-02/2011 „Подкрепа за осигуряване на съвременни социални жилища за настаняване на уязвими, малцинствени и социално слаби групи от населението и други групи в неравностойно положение“, в рамките на която са реализирани общо четири договора с бенефициенти – общините Девня, Дупница, Видин и Столична община, като чрез тях са осигурени 334 индивидуални социални жилища. Допълнително, в град Видин са изградени 80 социални жилища, а в райони „Люлин“ и „Връбница“ на Столична община – още 71 жилища. Така общият брой социални жилища, реализирани по тази програма, може да бъде оценен на 485 жилища.</w:t>
      </w:r>
    </w:p>
    <w:p w14:paraId="595C52F3"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Чрез ОП „Региони в растеж“ 2014–2020 г., е осигурен финансов от около 14,2 млн. евро за изграждане на социални жилища за уязвими групи, включително ромското население, чрез който са изградени около 500 жилища.</w:t>
      </w:r>
    </w:p>
    <w:p w14:paraId="45E7074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Липсата на официална информация за полезната площ на изградените социални жилища налага използването на нормативно допустимите стандарти за тяхното оразмеряване. Съгласно действащите норми социалните жилища са с относително скромна площ: до 25 кв. м за едночленно домакинство, до 40 кв. м за двучленно и до 55 кв. м за домакинства с трима или четирима членове, като във всяко жилище се настанява едно семейство. При тези параметри може да се направи окрупнена експертна оценка, че средната полезна площ на едно социално жилище варира между 35 и 45 кв. м. Това означава, че всички социални жилища, реализирани по двете програмни рамки, представляват обща полезна площ от порядъка на 30–40 хил. кв. м – стойност, която е статистически пренебрежима спрямо общата полезна площ на жилищния фонд в страната, измервана в стотици милиони квадратни метри.</w:t>
      </w:r>
    </w:p>
    <w:p w14:paraId="4B0FD257"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Към това следва да се добави и съществуващият общински и държавен обитаван жилищен фонд, който възлиза на 32 857 жилища (по данни от последното преброяване през 2021 г.), но в действителност само малка част от тях изпълняват социална функция по смисъла на общинските наредби. Над половината от тези жилища са ведомствени или държавни и не са насочени към уязвими групи. Допълнително, този фонд е силно фрагментиран – непродадените общински жилища са разпръснати по единични </w:t>
      </w:r>
      <w:r w:rsidRPr="006F3533">
        <w:rPr>
          <w:rFonts w:eastAsia="Times New Roman" w:cs="Times New Roman"/>
          <w:szCs w:val="24"/>
          <w:lang w:val="bg-BG" w:eastAsia="bg-BG"/>
        </w:rPr>
        <w:lastRenderedPageBreak/>
        <w:t>апартаменти в различни многофамилни сгради, което ги прави трудно управляеми, неефективни за обновяване и неподходящи за целенасочена социална политика. Данни на НСОРБ показват, че една трета от общините в страната вече не разполагат с общински жилища, а в голяма част от останалите капацитетът е символичен.</w:t>
      </w:r>
    </w:p>
    <w:p w14:paraId="39052461" w14:textId="77777777" w:rsidR="00E6313A" w:rsidRPr="006F3533" w:rsidRDefault="00E6313A" w:rsidP="00E6313A">
      <w:pPr>
        <w:spacing w:line="240" w:lineRule="auto"/>
        <w:jc w:val="both"/>
        <w:rPr>
          <w:rFonts w:cs="Times New Roman"/>
          <w:i/>
          <w:iCs/>
          <w:color w:val="0070C0"/>
          <w:szCs w:val="24"/>
          <w:lang w:val="bg-BG"/>
        </w:rPr>
      </w:pPr>
      <w:bookmarkStart w:id="68" w:name="_Toc216777104"/>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13</w:t>
      </w:r>
      <w:r w:rsidRPr="006F3533">
        <w:rPr>
          <w:rFonts w:cs="Times New Roman"/>
          <w:i/>
          <w:iCs/>
          <w:color w:val="0070C0"/>
          <w:szCs w:val="24"/>
          <w:lang w:val="bg-BG"/>
        </w:rPr>
        <w:fldChar w:fldCharType="end"/>
      </w:r>
      <w:r w:rsidRPr="006F3533">
        <w:rPr>
          <w:rFonts w:cs="Times New Roman"/>
          <w:i/>
          <w:iCs/>
          <w:color w:val="0070C0"/>
          <w:szCs w:val="24"/>
          <w:lang w:val="bg-BG"/>
        </w:rPr>
        <w:t>: Определяне на броя, вида и площта на социалните жилища – базова година 2020 и прогнозна година 2025</w:t>
      </w:r>
      <w:bookmarkEnd w:id="68"/>
    </w:p>
    <w:tbl>
      <w:tblPr>
        <w:tblStyle w:val="GridTable4-Accent51"/>
        <w:tblW w:w="0" w:type="auto"/>
        <w:tblLook w:val="04A0" w:firstRow="1" w:lastRow="0" w:firstColumn="1" w:lastColumn="0" w:noHBand="0" w:noVBand="1"/>
      </w:tblPr>
      <w:tblGrid>
        <w:gridCol w:w="1838"/>
        <w:gridCol w:w="1979"/>
        <w:gridCol w:w="1915"/>
        <w:gridCol w:w="3330"/>
      </w:tblGrid>
      <w:tr w:rsidR="00E6313A" w:rsidRPr="006F3533" w14:paraId="11AFFFBD"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15516FBD" w14:textId="77777777" w:rsidR="00E6313A" w:rsidRPr="006F3533" w:rsidRDefault="00E6313A" w:rsidP="00541E06">
            <w:pPr>
              <w:spacing w:before="100" w:beforeAutospacing="1" w:after="100" w:afterAutospacing="1"/>
              <w:jc w:val="center"/>
              <w:rPr>
                <w:rFonts w:eastAsia="Times New Roman" w:cs="Times New Roman"/>
                <w:b w:val="0"/>
                <w:bCs w:val="0"/>
                <w:color w:val="FFFFFF"/>
                <w:sz w:val="20"/>
                <w:lang w:val="bg-BG" w:eastAsia="bg-BG"/>
              </w:rPr>
            </w:pPr>
            <w:r w:rsidRPr="006F3533">
              <w:rPr>
                <w:rFonts w:eastAsia="Times New Roman" w:cs="Times New Roman"/>
                <w:color w:val="FFFFFF"/>
                <w:sz w:val="20"/>
                <w:lang w:val="bg-BG" w:eastAsia="bg-BG"/>
              </w:rPr>
              <w:t xml:space="preserve">Период </w:t>
            </w:r>
          </w:p>
        </w:tc>
        <w:tc>
          <w:tcPr>
            <w:tcW w:w="1979" w:type="dxa"/>
          </w:tcPr>
          <w:p w14:paraId="7038589C"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lang w:val="bg-BG" w:eastAsia="bg-BG"/>
              </w:rPr>
            </w:pPr>
            <w:r w:rsidRPr="006F3533">
              <w:rPr>
                <w:rFonts w:eastAsia="Times New Roman" w:cs="Times New Roman"/>
                <w:color w:val="FFFFFF"/>
                <w:sz w:val="20"/>
                <w:lang w:val="bg-BG" w:eastAsia="bg-BG"/>
              </w:rPr>
              <w:t>Брой социални жилища, бр.</w:t>
            </w:r>
          </w:p>
        </w:tc>
        <w:tc>
          <w:tcPr>
            <w:tcW w:w="0" w:type="auto"/>
          </w:tcPr>
          <w:p w14:paraId="3CAC464B"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lang w:val="bg-BG" w:eastAsia="bg-BG"/>
              </w:rPr>
            </w:pPr>
            <w:r w:rsidRPr="006F3533">
              <w:rPr>
                <w:rFonts w:eastAsia="Times New Roman" w:cs="Times New Roman"/>
                <w:color w:val="FFFFFF"/>
                <w:sz w:val="20"/>
                <w:lang w:val="bg-BG" w:eastAsia="bg-BG"/>
              </w:rPr>
              <w:t>Полезна площ, кв. м</w:t>
            </w:r>
          </w:p>
        </w:tc>
        <w:tc>
          <w:tcPr>
            <w:tcW w:w="0" w:type="auto"/>
          </w:tcPr>
          <w:p w14:paraId="38117B32" w14:textId="77777777" w:rsidR="00E6313A" w:rsidRPr="006F3533" w:rsidRDefault="00E6313A" w:rsidP="00541E06">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lang w:val="bg-BG" w:eastAsia="bg-BG"/>
              </w:rPr>
            </w:pPr>
            <w:r w:rsidRPr="006F3533">
              <w:rPr>
                <w:rFonts w:eastAsia="Times New Roman" w:cs="Times New Roman"/>
                <w:color w:val="FFFFFF"/>
                <w:sz w:val="20"/>
                <w:lang w:val="bg-BG" w:eastAsia="bg-BG"/>
              </w:rPr>
              <w:t>Разгъната застроена площ (РЗП), кв. м</w:t>
            </w:r>
          </w:p>
        </w:tc>
      </w:tr>
      <w:tr w:rsidR="00E6313A" w:rsidRPr="006F3533" w14:paraId="1765D302" w14:textId="77777777" w:rsidTr="00541E06">
        <w:tc>
          <w:tcPr>
            <w:cnfStyle w:val="001000000000" w:firstRow="0" w:lastRow="0" w:firstColumn="1" w:lastColumn="0" w:oddVBand="0" w:evenVBand="0" w:oddHBand="0" w:evenHBand="0" w:firstRowFirstColumn="0" w:firstRowLastColumn="0" w:lastRowFirstColumn="0" w:lastRowLastColumn="0"/>
            <w:tcW w:w="1838" w:type="dxa"/>
            <w:shd w:val="clear" w:color="auto" w:fill="DEEAF6" w:themeFill="accent5" w:themeFillTint="33"/>
          </w:tcPr>
          <w:p w14:paraId="27F2AF95"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Към 2020 г.</w:t>
            </w:r>
          </w:p>
        </w:tc>
        <w:tc>
          <w:tcPr>
            <w:tcW w:w="1979" w:type="dxa"/>
            <w:shd w:val="clear" w:color="auto" w:fill="DEEAF6" w:themeFill="accent5" w:themeFillTint="33"/>
          </w:tcPr>
          <w:p w14:paraId="2446AA44"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~500</w:t>
            </w:r>
          </w:p>
        </w:tc>
        <w:tc>
          <w:tcPr>
            <w:tcW w:w="0" w:type="auto"/>
            <w:shd w:val="clear" w:color="auto" w:fill="DEEAF6" w:themeFill="accent5" w:themeFillTint="33"/>
          </w:tcPr>
          <w:p w14:paraId="45FEC2F4"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~20 000</w:t>
            </w:r>
          </w:p>
        </w:tc>
        <w:tc>
          <w:tcPr>
            <w:tcW w:w="0" w:type="auto"/>
            <w:shd w:val="clear" w:color="auto" w:fill="DEEAF6" w:themeFill="accent5" w:themeFillTint="33"/>
          </w:tcPr>
          <w:p w14:paraId="5989D2B8"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~22 000</w:t>
            </w:r>
          </w:p>
        </w:tc>
      </w:tr>
      <w:tr w:rsidR="00E6313A" w:rsidRPr="006F3533" w14:paraId="399F63A7" w14:textId="77777777" w:rsidTr="00541E06">
        <w:tc>
          <w:tcPr>
            <w:cnfStyle w:val="001000000000" w:firstRow="0" w:lastRow="0" w:firstColumn="1" w:lastColumn="0" w:oddVBand="0" w:evenVBand="0" w:oddHBand="0" w:evenHBand="0" w:firstRowFirstColumn="0" w:firstRowLastColumn="0" w:lastRowFirstColumn="0" w:lastRowLastColumn="0"/>
            <w:tcW w:w="1838" w:type="dxa"/>
          </w:tcPr>
          <w:p w14:paraId="385CB85D" w14:textId="77777777" w:rsidR="00E6313A" w:rsidRPr="006F3533" w:rsidRDefault="00E6313A" w:rsidP="00541E06">
            <w:pPr>
              <w:spacing w:before="100" w:beforeAutospacing="1" w:after="100" w:afterAutospacing="1"/>
              <w:rPr>
                <w:rFonts w:eastAsia="Times New Roman" w:cs="Times New Roman"/>
                <w:b w:val="0"/>
                <w:bCs w:val="0"/>
                <w:sz w:val="20"/>
                <w:lang w:val="bg-BG" w:eastAsia="bg-BG"/>
              </w:rPr>
            </w:pPr>
            <w:r w:rsidRPr="006F3533">
              <w:rPr>
                <w:rFonts w:eastAsia="Times New Roman" w:cs="Times New Roman"/>
                <w:sz w:val="20"/>
                <w:lang w:val="bg-BG" w:eastAsia="bg-BG"/>
              </w:rPr>
              <w:t xml:space="preserve">Към 2025 г. </w:t>
            </w:r>
          </w:p>
        </w:tc>
        <w:tc>
          <w:tcPr>
            <w:tcW w:w="1979" w:type="dxa"/>
          </w:tcPr>
          <w:p w14:paraId="581989F2"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~1 000</w:t>
            </w:r>
          </w:p>
        </w:tc>
        <w:tc>
          <w:tcPr>
            <w:tcW w:w="0" w:type="auto"/>
          </w:tcPr>
          <w:p w14:paraId="66CDF1A9"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~40 000</w:t>
            </w:r>
          </w:p>
        </w:tc>
        <w:tc>
          <w:tcPr>
            <w:tcW w:w="0" w:type="auto"/>
          </w:tcPr>
          <w:p w14:paraId="05BCDE0E" w14:textId="77777777" w:rsidR="00E6313A" w:rsidRPr="006F3533" w:rsidRDefault="00E6313A" w:rsidP="00541E06">
            <w:pPr>
              <w:spacing w:before="100"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val="bg-BG" w:eastAsia="bg-BG"/>
              </w:rPr>
            </w:pPr>
            <w:r w:rsidRPr="006F3533">
              <w:rPr>
                <w:rFonts w:eastAsia="Times New Roman" w:cs="Times New Roman"/>
                <w:sz w:val="20"/>
                <w:lang w:val="bg-BG" w:eastAsia="bg-BG"/>
              </w:rPr>
              <w:t>~44 000</w:t>
            </w:r>
          </w:p>
        </w:tc>
      </w:tr>
    </w:tbl>
    <w:p w14:paraId="32BEC9B9"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ИСУН; ИСУН2020</w:t>
      </w:r>
    </w:p>
    <w:p w14:paraId="5C4D7FB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Индикаторите за социалните жилища са определени на база наличната информация за реализирани проекти по Оперативна програма „Регионално развитие“ 2007–2013 г. и Оперативна програма „Региони в растеж“ 2014–2020 г., както и на експертни допускания поради липса на централизирана национална статистика за този сегмент. Полезната площ на жилищата е оценена в съответствие с действащите норми за социално настаняване, които предвиждат ограничена жилищна площ в зависимост от броя на членовете на домакинството. За преобразуване на полезната площ в разгъната застроена площ е приложен коефициент от 10% за общи части, тъй като социалните жилища се реализират в многофамилни сгради или сгради със сходна функционална структура, включваща общи комуникации, стълбища и обслужващи пространства.</w:t>
      </w:r>
    </w:p>
    <w:p w14:paraId="2428A01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От гледна точка на НПСС, този анализ показва, че социалните жилища следва да бъдат разглеждани не като количествено значим сегмент, а като качествен приоритет, изискващ специфичен подход. Ограниченият им брой, ясната публична собственост и социалната функция ги правят особено подходящи за целево и цялостно енергийно обновяване, което да намали разходите за енергия на най-уязвимите домакинства. За да бъде това възможно, е необходимо преодоляване на основния системен дефицит – липсата на пълна, актуална и публична информация за социалните жилища и за лицата с призната жилищна нужда, както и изграждане на дългосрочна национална жилищна политика, която да надгради ограничените програмни интервенции до момента.</w:t>
      </w:r>
    </w:p>
    <w:p w14:paraId="45915BD5" w14:textId="77777777" w:rsidR="00E6313A" w:rsidRPr="006F3533" w:rsidRDefault="00E6313A" w:rsidP="00E6313A">
      <w:pPr>
        <w:pStyle w:val="Heading2"/>
        <w:jc w:val="both"/>
        <w:rPr>
          <w:lang w:val="bg-BG"/>
        </w:rPr>
      </w:pPr>
      <w:bookmarkStart w:id="69" w:name="_Toc217837101"/>
      <w:bookmarkStart w:id="70" w:name="_Toc217888759"/>
      <w:r w:rsidRPr="006F3533">
        <w:rPr>
          <w:lang w:val="bg-BG"/>
        </w:rPr>
        <w:t>Разпределение на жилищните сгради по клас на енергопотребление</w:t>
      </w:r>
      <w:bookmarkEnd w:id="69"/>
      <w:bookmarkEnd w:id="70"/>
      <w:r w:rsidRPr="006F3533">
        <w:rPr>
          <w:lang w:val="bg-BG"/>
        </w:rPr>
        <w:tab/>
      </w:r>
    </w:p>
    <w:p w14:paraId="747CC1E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Разпределението на жилищните сгради по клас на енергопотребление е представено чрез информация, актуална към ноември 2025 г., поддържана в националната база данни за енергийните характеристики на сградите, поддържана от Агенцията за устойчиво енергийно развитие (АУЕР) -  база данни, актуализирана регулярно с резултатите от енергийни обследвания и издадените сертификати за енергийни характеристики (СЕХ) съгласно действащото национално законодателство. </w:t>
      </w:r>
    </w:p>
    <w:p w14:paraId="7128D992"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В таблица 14 (в частта за жилищни сгради) е включена информация само за жилищни сгради с валидни сертификати за енергийни характеристики към референтната година, в съответствие с изискванията на образеца за докладване на разпределението по класове на енергопотребление въз основа на валидни сертификати.</w:t>
      </w:r>
    </w:p>
    <w:p w14:paraId="472F97A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lastRenderedPageBreak/>
        <w:t>Националната база данни на АУЕР съдържа информация и за значителен брой жилищни сгради, включително такива със сертификати с изтекъл срок на валидност. Тези данни не са включени в таблица 14 - те се използват и анализират в последващите раздели на прегледа на жилищния фонд и по-нататък в плана - при идентифицирането на най-лошо представящите се сгради и при оценката на пълнотата на наличната информация. Представеното разпределение отразява единствено сертифицираната част от жилищния сграден фонд с валидни сертификати за енергийни характеристики и не може да се разглежда като пълно представяне на всички жилищни сгради в страната. Поради това резултатите от таблица 14 се използват в комбинация с информацията за всички сертифицирани жилищни сгради, включително със сертификати с изтекъл срок на валидност, които са представени и анализирани в следващите раздели на плана.</w:t>
      </w:r>
    </w:p>
    <w:p w14:paraId="07DA6F0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Разпределението по класове на енергопотребление е извършено в съответствие с националната скала за класове на енергопотребление за жилищни сгради, приложима към момента на издаване на сертификатите. За жилищните сгради в България са определени две скали – </w:t>
      </w:r>
      <w:r w:rsidRPr="006F3533">
        <w:rPr>
          <w:rFonts w:eastAsia="Times New Roman" w:cs="Times New Roman"/>
          <w:b/>
          <w:bCs/>
          <w:szCs w:val="24"/>
          <w:lang w:val="bg-BG"/>
        </w:rPr>
        <w:t>скала за многофамилни</w:t>
      </w:r>
      <w:r w:rsidRPr="006F3533">
        <w:rPr>
          <w:rFonts w:eastAsia="Times New Roman" w:cs="Times New Roman"/>
          <w:szCs w:val="24"/>
          <w:lang w:val="bg-BG"/>
        </w:rPr>
        <w:t xml:space="preserve"> жилищни сгради (МЖС), приложима и за общежития,  и </w:t>
      </w:r>
      <w:r w:rsidRPr="006F3533">
        <w:rPr>
          <w:rFonts w:eastAsia="Times New Roman" w:cs="Times New Roman"/>
          <w:b/>
          <w:bCs/>
          <w:szCs w:val="24"/>
          <w:lang w:val="bg-BG"/>
        </w:rPr>
        <w:t>скала за еднофамилни</w:t>
      </w:r>
      <w:r w:rsidRPr="006F3533">
        <w:rPr>
          <w:rFonts w:eastAsia="Times New Roman" w:cs="Times New Roman"/>
          <w:szCs w:val="24"/>
          <w:lang w:val="bg-BG"/>
        </w:rPr>
        <w:t xml:space="preserve"> къщи (ЕФК), като и в двата случая класификацията се основава на интегрирания показател „специфично потребление на първична </w:t>
      </w:r>
      <w:proofErr w:type="spellStart"/>
      <w:r w:rsidRPr="006F3533">
        <w:rPr>
          <w:rFonts w:eastAsia="Times New Roman" w:cs="Times New Roman"/>
          <w:szCs w:val="24"/>
          <w:lang w:val="bg-BG"/>
        </w:rPr>
        <w:t>невъзобновяема</w:t>
      </w:r>
      <w:proofErr w:type="spellEnd"/>
      <w:r w:rsidRPr="006F3533">
        <w:rPr>
          <w:rFonts w:eastAsia="Times New Roman" w:cs="Times New Roman"/>
          <w:szCs w:val="24"/>
          <w:lang w:val="bg-BG"/>
        </w:rPr>
        <w:t xml:space="preserve"> енергия на единица </w:t>
      </w:r>
      <w:proofErr w:type="spellStart"/>
      <w:r w:rsidRPr="006F3533">
        <w:rPr>
          <w:rFonts w:eastAsia="Times New Roman" w:cs="Times New Roman"/>
          <w:szCs w:val="24"/>
          <w:lang w:val="bg-BG"/>
        </w:rPr>
        <w:t>кондиционирана</w:t>
      </w:r>
      <w:proofErr w:type="spellEnd"/>
      <w:r w:rsidRPr="006F3533">
        <w:rPr>
          <w:rFonts w:eastAsia="Times New Roman" w:cs="Times New Roman"/>
          <w:szCs w:val="24"/>
          <w:lang w:val="bg-BG"/>
        </w:rPr>
        <w:t xml:space="preserve"> площ“.</w:t>
      </w:r>
    </w:p>
    <w:p w14:paraId="61E2860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Поради прилагането на две различни скали за класовете на енергопотребление при жилищните сгради, представеното разпределение в таблица 14 отразява обобщена, </w:t>
      </w:r>
      <w:proofErr w:type="spellStart"/>
      <w:r w:rsidRPr="006F3533">
        <w:rPr>
          <w:rFonts w:eastAsia="Times New Roman" w:cs="Times New Roman"/>
          <w:szCs w:val="24"/>
          <w:lang w:val="bg-BG"/>
        </w:rPr>
        <w:t>агрегирана</w:t>
      </w:r>
      <w:proofErr w:type="spellEnd"/>
      <w:r w:rsidRPr="006F3533">
        <w:rPr>
          <w:rFonts w:eastAsia="Times New Roman" w:cs="Times New Roman"/>
          <w:szCs w:val="24"/>
          <w:lang w:val="bg-BG"/>
        </w:rPr>
        <w:t xml:space="preserve"> картина за всички сертифицирани жилищни сгради с валидни сертификати и следва да се интерпретира като индикативно за общото енергийно състояние на сертифицираната част от жилищния сграден фонд.</w:t>
      </w:r>
    </w:p>
    <w:p w14:paraId="4A3CD1F9" w14:textId="77777777" w:rsidR="00E6313A" w:rsidRPr="006F3533" w:rsidRDefault="00E6313A" w:rsidP="00E6313A">
      <w:pPr>
        <w:spacing w:before="100" w:beforeAutospacing="1" w:after="100" w:afterAutospacing="1" w:line="240" w:lineRule="auto"/>
        <w:jc w:val="both"/>
        <w:rPr>
          <w:rFonts w:eastAsia="Calibri" w:cs="Times New Roman"/>
          <w:i/>
          <w:iCs/>
          <w:color w:val="0070C0"/>
          <w:szCs w:val="24"/>
          <w:lang w:val="bg-BG"/>
        </w:rPr>
      </w:pPr>
      <w:r w:rsidRPr="006F3533">
        <w:rPr>
          <w:rFonts w:eastAsia="Calibri" w:cs="Times New Roman"/>
          <w:i/>
          <w:iCs/>
          <w:color w:val="0070C0"/>
          <w:szCs w:val="24"/>
          <w:lang w:val="bg-BG"/>
        </w:rPr>
        <w:t xml:space="preserve">Таблица № </w:t>
      </w:r>
      <w:r w:rsidRPr="006F3533">
        <w:rPr>
          <w:rFonts w:eastAsia="Calibri" w:cs="Times New Roman"/>
          <w:i/>
          <w:iCs/>
          <w:color w:val="0070C0"/>
          <w:szCs w:val="24"/>
          <w:lang w:val="bg-BG"/>
        </w:rPr>
        <w:fldChar w:fldCharType="begin"/>
      </w:r>
      <w:r w:rsidRPr="006F3533">
        <w:rPr>
          <w:rFonts w:eastAsia="Calibri" w:cs="Times New Roman"/>
          <w:i/>
          <w:iCs/>
          <w:color w:val="0070C0"/>
          <w:szCs w:val="24"/>
          <w:lang w:val="bg-BG"/>
        </w:rPr>
        <w:instrText xml:space="preserve"> SEQ Таблица_№ \* ARABIC </w:instrText>
      </w:r>
      <w:r w:rsidRPr="006F3533">
        <w:rPr>
          <w:rFonts w:eastAsia="Calibri" w:cs="Times New Roman"/>
          <w:i/>
          <w:iCs/>
          <w:color w:val="0070C0"/>
          <w:szCs w:val="24"/>
          <w:lang w:val="bg-BG"/>
        </w:rPr>
        <w:fldChar w:fldCharType="separate"/>
      </w:r>
      <w:r w:rsidRPr="006F3533">
        <w:rPr>
          <w:rFonts w:eastAsia="Calibri" w:cs="Times New Roman"/>
          <w:i/>
          <w:iCs/>
          <w:noProof/>
          <w:color w:val="0070C0"/>
          <w:szCs w:val="24"/>
          <w:lang w:val="bg-BG"/>
        </w:rPr>
        <w:t>14</w:t>
      </w:r>
      <w:r w:rsidRPr="006F3533">
        <w:rPr>
          <w:rFonts w:eastAsia="Calibri" w:cs="Times New Roman"/>
          <w:i/>
          <w:iCs/>
          <w:color w:val="0070C0"/>
          <w:szCs w:val="24"/>
          <w:lang w:val="bg-BG"/>
        </w:rPr>
        <w:fldChar w:fldCharType="end"/>
      </w:r>
      <w:r w:rsidRPr="006F3533">
        <w:rPr>
          <w:rFonts w:eastAsia="Calibri" w:cs="Times New Roman"/>
          <w:i/>
          <w:iCs/>
          <w:color w:val="0070C0"/>
          <w:szCs w:val="24"/>
          <w:lang w:val="bg-BG"/>
        </w:rPr>
        <w:t>: Разпределение на сградите по клас на енергопотребление според валидните сертификати за енергийните характеристики</w:t>
      </w:r>
    </w:p>
    <w:tbl>
      <w:tblPr>
        <w:tblStyle w:val="GridTable4-Accent5"/>
        <w:tblW w:w="5000" w:type="pct"/>
        <w:tblLook w:val="04A0" w:firstRow="1" w:lastRow="0" w:firstColumn="1" w:lastColumn="0" w:noHBand="0" w:noVBand="1"/>
      </w:tblPr>
      <w:tblGrid>
        <w:gridCol w:w="1126"/>
        <w:gridCol w:w="1983"/>
        <w:gridCol w:w="1985"/>
        <w:gridCol w:w="1985"/>
        <w:gridCol w:w="1983"/>
      </w:tblGrid>
      <w:tr w:rsidR="00E6313A" w:rsidRPr="006F3533" w14:paraId="7E94E5E1"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1" w:type="pct"/>
          </w:tcPr>
          <w:p w14:paraId="1A501AF8"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EPC</w:t>
            </w:r>
          </w:p>
          <w:p w14:paraId="0E2769F3" w14:textId="77777777" w:rsidR="00E6313A" w:rsidRPr="006F3533" w:rsidRDefault="00E6313A" w:rsidP="00541E06">
            <w:pPr>
              <w:spacing w:before="100" w:beforeAutospacing="1" w:after="100" w:afterAutospacing="1"/>
              <w:jc w:val="both"/>
              <w:rPr>
                <w:rFonts w:cs="Times New Roman"/>
                <w:sz w:val="20"/>
                <w:szCs w:val="20"/>
                <w:lang w:val="bg-BG"/>
              </w:rPr>
            </w:pPr>
            <w:proofErr w:type="spellStart"/>
            <w:r w:rsidRPr="006F3533">
              <w:rPr>
                <w:rFonts w:cs="Times New Roman"/>
                <w:sz w:val="20"/>
                <w:szCs w:val="20"/>
                <w:lang w:val="bg-BG"/>
              </w:rPr>
              <w:t>Class</w:t>
            </w:r>
            <w:proofErr w:type="spellEnd"/>
          </w:p>
          <w:p w14:paraId="19183831" w14:textId="77777777" w:rsidR="00E6313A" w:rsidRPr="006F3533" w:rsidRDefault="00E6313A" w:rsidP="00541E06">
            <w:pPr>
              <w:spacing w:before="100" w:beforeAutospacing="1" w:after="100" w:afterAutospacing="1"/>
              <w:jc w:val="both"/>
              <w:rPr>
                <w:rFonts w:cs="Times New Roman"/>
                <w:sz w:val="20"/>
                <w:szCs w:val="20"/>
                <w:lang w:val="bg-BG"/>
              </w:rPr>
            </w:pPr>
          </w:p>
        </w:tc>
        <w:tc>
          <w:tcPr>
            <w:tcW w:w="1094" w:type="pct"/>
          </w:tcPr>
          <w:p w14:paraId="51306A05" w14:textId="77777777" w:rsidR="00E6313A" w:rsidRPr="006F3533" w:rsidRDefault="00E6313A" w:rsidP="00541E06">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Number</w:t>
            </w:r>
            <w:proofErr w:type="spellEnd"/>
            <w:r w:rsidRPr="006F3533">
              <w:rPr>
                <w:rFonts w:cs="Times New Roman"/>
                <w:sz w:val="20"/>
                <w:szCs w:val="20"/>
                <w:lang w:val="bg-BG"/>
              </w:rPr>
              <w:t xml:space="preserve"> </w:t>
            </w:r>
            <w:proofErr w:type="spellStart"/>
            <w:r w:rsidRPr="006F3533">
              <w:rPr>
                <w:rFonts w:cs="Times New Roman"/>
                <w:sz w:val="20"/>
                <w:szCs w:val="20"/>
                <w:lang w:val="bg-BG"/>
              </w:rPr>
              <w:t>of</w:t>
            </w:r>
            <w:proofErr w:type="spellEnd"/>
            <w:r w:rsidRPr="006F3533">
              <w:rPr>
                <w:rFonts w:cs="Times New Roman"/>
                <w:sz w:val="20"/>
                <w:szCs w:val="20"/>
                <w:lang w:val="bg-BG"/>
              </w:rPr>
              <w:t xml:space="preserve"> </w:t>
            </w:r>
            <w:proofErr w:type="spellStart"/>
            <w:r w:rsidRPr="006F3533">
              <w:rPr>
                <w:rFonts w:cs="Times New Roman"/>
                <w:sz w:val="20"/>
                <w:szCs w:val="20"/>
                <w:lang w:val="bg-BG"/>
              </w:rPr>
              <w:t>residential</w:t>
            </w:r>
            <w:proofErr w:type="spellEnd"/>
            <w:r w:rsidRPr="006F3533">
              <w:rPr>
                <w:rFonts w:cs="Times New Roman"/>
                <w:sz w:val="20"/>
                <w:szCs w:val="20"/>
                <w:lang w:val="bg-BG"/>
              </w:rPr>
              <w:t xml:space="preserve"> </w:t>
            </w:r>
            <w:proofErr w:type="spellStart"/>
            <w:r w:rsidRPr="006F3533">
              <w:rPr>
                <w:rFonts w:cs="Times New Roman"/>
                <w:sz w:val="20"/>
                <w:szCs w:val="20"/>
                <w:lang w:val="bg-BG"/>
              </w:rPr>
              <w:t>building</w:t>
            </w:r>
            <w:proofErr w:type="spellEnd"/>
            <w:r w:rsidRPr="006F3533">
              <w:rPr>
                <w:rFonts w:cs="Times New Roman"/>
                <w:sz w:val="20"/>
                <w:szCs w:val="20"/>
                <w:lang w:val="bg-BG"/>
              </w:rPr>
              <w:t xml:space="preserve"> </w:t>
            </w:r>
            <w:proofErr w:type="spellStart"/>
            <w:r w:rsidRPr="006F3533">
              <w:rPr>
                <w:rFonts w:cs="Times New Roman"/>
                <w:sz w:val="20"/>
                <w:szCs w:val="20"/>
                <w:lang w:val="bg-BG"/>
              </w:rPr>
              <w:t>or</w:t>
            </w:r>
            <w:proofErr w:type="spellEnd"/>
            <w:r w:rsidRPr="006F3533">
              <w:rPr>
                <w:rFonts w:cs="Times New Roman"/>
                <w:sz w:val="20"/>
                <w:szCs w:val="20"/>
                <w:lang w:val="bg-BG"/>
              </w:rPr>
              <w:t xml:space="preserve"> /</w:t>
            </w:r>
            <w:proofErr w:type="spellStart"/>
            <w:r w:rsidRPr="006F3533">
              <w:rPr>
                <w:rFonts w:cs="Times New Roman"/>
                <w:sz w:val="20"/>
                <w:szCs w:val="20"/>
                <w:lang w:val="bg-BG"/>
              </w:rPr>
              <w:t>building</w:t>
            </w:r>
            <w:proofErr w:type="spellEnd"/>
            <w:r w:rsidRPr="006F3533">
              <w:rPr>
                <w:rFonts w:cs="Times New Roman"/>
                <w:sz w:val="20"/>
                <w:szCs w:val="20"/>
                <w:lang w:val="bg-BG"/>
              </w:rPr>
              <w:t xml:space="preserve"> </w:t>
            </w:r>
            <w:proofErr w:type="spellStart"/>
            <w:r w:rsidRPr="006F3533">
              <w:rPr>
                <w:rFonts w:cs="Times New Roman"/>
                <w:sz w:val="20"/>
                <w:szCs w:val="20"/>
                <w:lang w:val="bg-BG"/>
              </w:rPr>
              <w:t>units</w:t>
            </w:r>
            <w:proofErr w:type="spellEnd"/>
            <w:r w:rsidRPr="006F3533">
              <w:rPr>
                <w:rFonts w:cs="Times New Roman"/>
                <w:sz w:val="20"/>
                <w:szCs w:val="20"/>
                <w:lang w:val="bg-BG"/>
              </w:rPr>
              <w:t xml:space="preserve"> </w:t>
            </w: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2025</w:t>
            </w:r>
          </w:p>
        </w:tc>
        <w:tc>
          <w:tcPr>
            <w:tcW w:w="1095" w:type="pct"/>
          </w:tcPr>
          <w:p w14:paraId="496020D3" w14:textId="77777777" w:rsidR="00E6313A" w:rsidRPr="006F3533" w:rsidRDefault="00E6313A" w:rsidP="00541E06">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Floor</w:t>
            </w:r>
            <w:proofErr w:type="spellEnd"/>
            <w:r w:rsidRPr="006F3533">
              <w:rPr>
                <w:rFonts w:cs="Times New Roman"/>
                <w:sz w:val="20"/>
                <w:szCs w:val="20"/>
                <w:lang w:val="bg-BG"/>
              </w:rPr>
              <w:t xml:space="preserve"> </w:t>
            </w:r>
            <w:proofErr w:type="spellStart"/>
            <w:r w:rsidRPr="006F3533">
              <w:rPr>
                <w:rFonts w:cs="Times New Roman"/>
                <w:sz w:val="20"/>
                <w:szCs w:val="20"/>
                <w:lang w:val="bg-BG"/>
              </w:rPr>
              <w:t>area</w:t>
            </w:r>
            <w:proofErr w:type="spellEnd"/>
            <w:r w:rsidRPr="006F3533">
              <w:rPr>
                <w:rFonts w:cs="Times New Roman"/>
                <w:sz w:val="20"/>
                <w:szCs w:val="20"/>
                <w:lang w:val="bg-BG"/>
              </w:rPr>
              <w:t xml:space="preserve"> </w:t>
            </w:r>
            <w:proofErr w:type="spellStart"/>
            <w:r w:rsidRPr="006F3533">
              <w:rPr>
                <w:rFonts w:cs="Times New Roman"/>
                <w:sz w:val="20"/>
                <w:szCs w:val="20"/>
                <w:lang w:val="bg-BG"/>
              </w:rPr>
              <w:t>residential</w:t>
            </w:r>
            <w:proofErr w:type="spellEnd"/>
          </w:p>
          <w:p w14:paraId="07D824C9" w14:textId="77777777" w:rsidR="00E6313A" w:rsidRPr="006F3533" w:rsidRDefault="00E6313A" w:rsidP="00541E06">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2025</w:t>
            </w:r>
          </w:p>
          <w:p w14:paraId="0A07D63D" w14:textId="77777777" w:rsidR="00E6313A" w:rsidRPr="006F3533" w:rsidRDefault="00E6313A" w:rsidP="00541E06">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m²</w:t>
            </w:r>
          </w:p>
        </w:tc>
        <w:tc>
          <w:tcPr>
            <w:tcW w:w="1095" w:type="pct"/>
          </w:tcPr>
          <w:p w14:paraId="69B2A3DF" w14:textId="77777777" w:rsidR="00E6313A" w:rsidRPr="006F3533" w:rsidRDefault="00E6313A" w:rsidP="00541E06">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Number</w:t>
            </w:r>
            <w:proofErr w:type="spellEnd"/>
            <w:r w:rsidRPr="006F3533">
              <w:rPr>
                <w:rFonts w:cs="Times New Roman"/>
                <w:sz w:val="20"/>
                <w:szCs w:val="20"/>
                <w:lang w:val="bg-BG"/>
              </w:rPr>
              <w:t xml:space="preserve"> </w:t>
            </w:r>
            <w:proofErr w:type="spellStart"/>
            <w:r w:rsidRPr="006F3533">
              <w:rPr>
                <w:rFonts w:cs="Times New Roman"/>
                <w:sz w:val="20"/>
                <w:szCs w:val="20"/>
                <w:lang w:val="bg-BG"/>
              </w:rPr>
              <w:t>of</w:t>
            </w:r>
            <w:proofErr w:type="spellEnd"/>
            <w:r w:rsidRPr="006F3533">
              <w:rPr>
                <w:rFonts w:cs="Times New Roman"/>
                <w:sz w:val="20"/>
                <w:szCs w:val="20"/>
                <w:lang w:val="bg-BG"/>
              </w:rPr>
              <w:t xml:space="preserve"> </w:t>
            </w:r>
            <w:proofErr w:type="spellStart"/>
            <w:r w:rsidRPr="006F3533">
              <w:rPr>
                <w:rFonts w:cs="Times New Roman"/>
                <w:sz w:val="20"/>
                <w:szCs w:val="20"/>
                <w:lang w:val="bg-BG"/>
              </w:rPr>
              <w:t>non-residential</w:t>
            </w:r>
            <w:proofErr w:type="spellEnd"/>
            <w:r w:rsidRPr="006F3533">
              <w:rPr>
                <w:rFonts w:cs="Times New Roman"/>
                <w:sz w:val="20"/>
                <w:szCs w:val="20"/>
                <w:lang w:val="bg-BG"/>
              </w:rPr>
              <w:t xml:space="preserve"> </w:t>
            </w:r>
            <w:proofErr w:type="spellStart"/>
            <w:r w:rsidRPr="006F3533">
              <w:rPr>
                <w:rFonts w:cs="Times New Roman"/>
                <w:sz w:val="20"/>
                <w:szCs w:val="20"/>
                <w:lang w:val="bg-BG"/>
              </w:rPr>
              <w:t>building</w:t>
            </w:r>
            <w:proofErr w:type="spellEnd"/>
            <w:r w:rsidRPr="006F3533">
              <w:rPr>
                <w:rFonts w:cs="Times New Roman"/>
                <w:sz w:val="20"/>
                <w:szCs w:val="20"/>
                <w:lang w:val="bg-BG"/>
              </w:rPr>
              <w:t xml:space="preserve"> </w:t>
            </w:r>
            <w:proofErr w:type="spellStart"/>
            <w:r w:rsidRPr="006F3533">
              <w:rPr>
                <w:rFonts w:cs="Times New Roman"/>
                <w:sz w:val="20"/>
                <w:szCs w:val="20"/>
                <w:lang w:val="bg-BG"/>
              </w:rPr>
              <w:t>or</w:t>
            </w:r>
            <w:proofErr w:type="spellEnd"/>
            <w:r w:rsidRPr="006F3533">
              <w:rPr>
                <w:rFonts w:cs="Times New Roman"/>
                <w:sz w:val="20"/>
                <w:szCs w:val="20"/>
                <w:lang w:val="bg-BG"/>
              </w:rPr>
              <w:t xml:space="preserve"> </w:t>
            </w: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2025</w:t>
            </w:r>
          </w:p>
        </w:tc>
        <w:tc>
          <w:tcPr>
            <w:tcW w:w="1094" w:type="pct"/>
          </w:tcPr>
          <w:p w14:paraId="05458752" w14:textId="77777777" w:rsidR="00E6313A" w:rsidRPr="006F3533" w:rsidRDefault="00E6313A" w:rsidP="00541E06">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Floor</w:t>
            </w:r>
            <w:proofErr w:type="spellEnd"/>
            <w:r w:rsidRPr="006F3533">
              <w:rPr>
                <w:rFonts w:cs="Times New Roman"/>
                <w:sz w:val="20"/>
                <w:szCs w:val="20"/>
                <w:lang w:val="bg-BG"/>
              </w:rPr>
              <w:t xml:space="preserve"> </w:t>
            </w:r>
            <w:proofErr w:type="spellStart"/>
            <w:r w:rsidRPr="006F3533">
              <w:rPr>
                <w:rFonts w:cs="Times New Roman"/>
                <w:sz w:val="20"/>
                <w:szCs w:val="20"/>
                <w:lang w:val="bg-BG"/>
              </w:rPr>
              <w:t>area</w:t>
            </w:r>
            <w:proofErr w:type="spellEnd"/>
            <w:r w:rsidRPr="006F3533">
              <w:rPr>
                <w:rFonts w:cs="Times New Roman"/>
                <w:sz w:val="20"/>
                <w:szCs w:val="20"/>
                <w:lang w:val="bg-BG"/>
              </w:rPr>
              <w:t xml:space="preserve"> </w:t>
            </w:r>
            <w:proofErr w:type="spellStart"/>
            <w:r w:rsidRPr="006F3533">
              <w:rPr>
                <w:rFonts w:cs="Times New Roman"/>
                <w:sz w:val="20"/>
                <w:szCs w:val="20"/>
                <w:lang w:val="bg-BG"/>
              </w:rPr>
              <w:t>non</w:t>
            </w:r>
            <w:proofErr w:type="spellEnd"/>
            <w:r w:rsidRPr="006F3533">
              <w:rPr>
                <w:rFonts w:cs="Times New Roman"/>
                <w:sz w:val="20"/>
                <w:szCs w:val="20"/>
                <w:lang w:val="bg-BG"/>
              </w:rPr>
              <w:t xml:space="preserve">- </w:t>
            </w:r>
            <w:proofErr w:type="spellStart"/>
            <w:r w:rsidRPr="006F3533">
              <w:rPr>
                <w:rFonts w:cs="Times New Roman"/>
                <w:sz w:val="20"/>
                <w:szCs w:val="20"/>
                <w:lang w:val="bg-BG"/>
              </w:rPr>
              <w:t>residential</w:t>
            </w:r>
            <w:proofErr w:type="spellEnd"/>
          </w:p>
          <w:p w14:paraId="5764F814" w14:textId="77777777" w:rsidR="00E6313A" w:rsidRPr="006F3533" w:rsidRDefault="00E6313A" w:rsidP="00541E06">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2025</w:t>
            </w:r>
          </w:p>
          <w:p w14:paraId="578E064F" w14:textId="77777777" w:rsidR="00E6313A" w:rsidRPr="006F3533" w:rsidRDefault="00E6313A" w:rsidP="00541E06">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m²</w:t>
            </w:r>
          </w:p>
        </w:tc>
      </w:tr>
      <w:tr w:rsidR="00E6313A" w:rsidRPr="006F3533" w14:paraId="47D33731"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1" w:type="pct"/>
          </w:tcPr>
          <w:p w14:paraId="3143D922"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 xml:space="preserve">A+ </w:t>
            </w:r>
          </w:p>
          <w:p w14:paraId="12EDB283"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w:t>
            </w:r>
            <w:proofErr w:type="spellStart"/>
            <w:r w:rsidRPr="006F3533">
              <w:rPr>
                <w:rFonts w:cs="Times New Roman"/>
                <w:sz w:val="20"/>
                <w:szCs w:val="20"/>
                <w:lang w:val="bg-BG"/>
              </w:rPr>
              <w:t>if</w:t>
            </w:r>
            <w:proofErr w:type="spellEnd"/>
            <w:r w:rsidRPr="006F3533">
              <w:rPr>
                <w:rFonts w:cs="Times New Roman"/>
                <w:sz w:val="20"/>
                <w:szCs w:val="20"/>
                <w:lang w:val="bg-BG"/>
              </w:rPr>
              <w:t xml:space="preserve"> </w:t>
            </w:r>
            <w:proofErr w:type="spellStart"/>
            <w:r w:rsidRPr="006F3533">
              <w:rPr>
                <w:rFonts w:cs="Times New Roman"/>
                <w:sz w:val="20"/>
                <w:szCs w:val="20"/>
                <w:lang w:val="bg-BG"/>
              </w:rPr>
              <w:t>relevant</w:t>
            </w:r>
            <w:proofErr w:type="spellEnd"/>
            <w:r w:rsidRPr="006F3533">
              <w:rPr>
                <w:rFonts w:cs="Times New Roman"/>
                <w:sz w:val="20"/>
                <w:szCs w:val="20"/>
                <w:lang w:val="bg-BG"/>
              </w:rPr>
              <w:t xml:space="preserve">) </w:t>
            </w:r>
          </w:p>
        </w:tc>
        <w:tc>
          <w:tcPr>
            <w:tcW w:w="1094" w:type="pct"/>
          </w:tcPr>
          <w:p w14:paraId="43E6182B"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0</w:t>
            </w:r>
          </w:p>
        </w:tc>
        <w:tc>
          <w:tcPr>
            <w:tcW w:w="1095" w:type="pct"/>
          </w:tcPr>
          <w:p w14:paraId="6D39F585"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0</w:t>
            </w:r>
          </w:p>
        </w:tc>
        <w:tc>
          <w:tcPr>
            <w:tcW w:w="1095" w:type="pct"/>
          </w:tcPr>
          <w:p w14:paraId="638CEF97"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0</w:t>
            </w:r>
          </w:p>
        </w:tc>
        <w:tc>
          <w:tcPr>
            <w:tcW w:w="1094" w:type="pct"/>
          </w:tcPr>
          <w:p w14:paraId="30D072DC"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0</w:t>
            </w:r>
          </w:p>
        </w:tc>
      </w:tr>
      <w:tr w:rsidR="00E6313A" w:rsidRPr="006F3533" w14:paraId="27790D18" w14:textId="77777777" w:rsidTr="00541E06">
        <w:tc>
          <w:tcPr>
            <w:cnfStyle w:val="001000000000" w:firstRow="0" w:lastRow="0" w:firstColumn="1" w:lastColumn="0" w:oddVBand="0" w:evenVBand="0" w:oddHBand="0" w:evenHBand="0" w:firstRowFirstColumn="0" w:firstRowLastColumn="0" w:lastRowFirstColumn="0" w:lastRowLastColumn="0"/>
            <w:tcW w:w="621" w:type="pct"/>
          </w:tcPr>
          <w:p w14:paraId="0CF92167"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 xml:space="preserve">A0 </w:t>
            </w:r>
          </w:p>
          <w:p w14:paraId="4C8334A6"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w:t>
            </w:r>
            <w:proofErr w:type="spellStart"/>
            <w:r w:rsidRPr="006F3533">
              <w:rPr>
                <w:rFonts w:cs="Times New Roman"/>
                <w:sz w:val="20"/>
                <w:szCs w:val="20"/>
                <w:lang w:val="bg-BG"/>
              </w:rPr>
              <w:t>if</w:t>
            </w:r>
            <w:proofErr w:type="spellEnd"/>
            <w:r w:rsidRPr="006F3533">
              <w:rPr>
                <w:rFonts w:cs="Times New Roman"/>
                <w:sz w:val="20"/>
                <w:szCs w:val="20"/>
                <w:lang w:val="bg-BG"/>
              </w:rPr>
              <w:t xml:space="preserve"> </w:t>
            </w:r>
            <w:proofErr w:type="spellStart"/>
            <w:r w:rsidRPr="006F3533">
              <w:rPr>
                <w:rFonts w:cs="Times New Roman"/>
                <w:sz w:val="20"/>
                <w:szCs w:val="20"/>
                <w:lang w:val="bg-BG"/>
              </w:rPr>
              <w:t>relevant</w:t>
            </w:r>
            <w:proofErr w:type="spellEnd"/>
            <w:r w:rsidRPr="006F3533">
              <w:rPr>
                <w:rFonts w:cs="Times New Roman"/>
                <w:sz w:val="20"/>
                <w:szCs w:val="20"/>
                <w:lang w:val="bg-BG"/>
              </w:rPr>
              <w:t>)</w:t>
            </w:r>
          </w:p>
        </w:tc>
        <w:tc>
          <w:tcPr>
            <w:tcW w:w="1094" w:type="pct"/>
          </w:tcPr>
          <w:p w14:paraId="6087A20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0</w:t>
            </w:r>
          </w:p>
        </w:tc>
        <w:tc>
          <w:tcPr>
            <w:tcW w:w="1095" w:type="pct"/>
          </w:tcPr>
          <w:p w14:paraId="4E603C63"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0</w:t>
            </w:r>
          </w:p>
        </w:tc>
        <w:tc>
          <w:tcPr>
            <w:tcW w:w="1095" w:type="pct"/>
          </w:tcPr>
          <w:p w14:paraId="5CF98B3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0</w:t>
            </w:r>
          </w:p>
        </w:tc>
        <w:tc>
          <w:tcPr>
            <w:tcW w:w="1094" w:type="pct"/>
          </w:tcPr>
          <w:p w14:paraId="6C5F84DD"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0</w:t>
            </w:r>
          </w:p>
        </w:tc>
      </w:tr>
      <w:tr w:rsidR="00E6313A" w:rsidRPr="006F3533" w14:paraId="35730821"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1" w:type="pct"/>
          </w:tcPr>
          <w:p w14:paraId="69F82077"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A</w:t>
            </w:r>
          </w:p>
        </w:tc>
        <w:tc>
          <w:tcPr>
            <w:tcW w:w="1094" w:type="pct"/>
          </w:tcPr>
          <w:p w14:paraId="6F0271C2"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320 </w:t>
            </w:r>
          </w:p>
        </w:tc>
        <w:tc>
          <w:tcPr>
            <w:tcW w:w="1095" w:type="pct"/>
          </w:tcPr>
          <w:p w14:paraId="4BD31B55"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251 780 </w:t>
            </w:r>
          </w:p>
        </w:tc>
        <w:tc>
          <w:tcPr>
            <w:tcW w:w="1095" w:type="pct"/>
          </w:tcPr>
          <w:p w14:paraId="7CCC6F75"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515</w:t>
            </w:r>
          </w:p>
        </w:tc>
        <w:tc>
          <w:tcPr>
            <w:tcW w:w="1094" w:type="pct"/>
          </w:tcPr>
          <w:p w14:paraId="49DCC4B4"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1 135 749</w:t>
            </w:r>
          </w:p>
        </w:tc>
      </w:tr>
      <w:tr w:rsidR="00E6313A" w:rsidRPr="006F3533" w14:paraId="648EAEDC" w14:textId="77777777" w:rsidTr="00541E06">
        <w:tc>
          <w:tcPr>
            <w:cnfStyle w:val="001000000000" w:firstRow="0" w:lastRow="0" w:firstColumn="1" w:lastColumn="0" w:oddVBand="0" w:evenVBand="0" w:oddHBand="0" w:evenHBand="0" w:firstRowFirstColumn="0" w:firstRowLastColumn="0" w:lastRowFirstColumn="0" w:lastRowLastColumn="0"/>
            <w:tcW w:w="621" w:type="pct"/>
          </w:tcPr>
          <w:p w14:paraId="190BB28E"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B</w:t>
            </w:r>
          </w:p>
        </w:tc>
        <w:tc>
          <w:tcPr>
            <w:tcW w:w="1094" w:type="pct"/>
          </w:tcPr>
          <w:p w14:paraId="70CDBFE2"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2 968 </w:t>
            </w:r>
          </w:p>
        </w:tc>
        <w:tc>
          <w:tcPr>
            <w:tcW w:w="1095" w:type="pct"/>
          </w:tcPr>
          <w:p w14:paraId="20473A3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4 042 836 </w:t>
            </w:r>
          </w:p>
        </w:tc>
        <w:tc>
          <w:tcPr>
            <w:tcW w:w="1095" w:type="pct"/>
          </w:tcPr>
          <w:p w14:paraId="67900B4B"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1 710</w:t>
            </w:r>
          </w:p>
        </w:tc>
        <w:tc>
          <w:tcPr>
            <w:tcW w:w="1094" w:type="pct"/>
          </w:tcPr>
          <w:p w14:paraId="1C0E1D81"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4 875 769</w:t>
            </w:r>
          </w:p>
        </w:tc>
      </w:tr>
      <w:tr w:rsidR="00E6313A" w:rsidRPr="006F3533" w14:paraId="17F8A69A"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1" w:type="pct"/>
          </w:tcPr>
          <w:p w14:paraId="50D71552"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C</w:t>
            </w:r>
          </w:p>
        </w:tc>
        <w:tc>
          <w:tcPr>
            <w:tcW w:w="1094" w:type="pct"/>
          </w:tcPr>
          <w:p w14:paraId="6659DE1A"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975 </w:t>
            </w:r>
          </w:p>
        </w:tc>
        <w:tc>
          <w:tcPr>
            <w:tcW w:w="1095" w:type="pct"/>
          </w:tcPr>
          <w:p w14:paraId="20AA7A31"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4 018 760 </w:t>
            </w:r>
          </w:p>
        </w:tc>
        <w:tc>
          <w:tcPr>
            <w:tcW w:w="1095" w:type="pct"/>
          </w:tcPr>
          <w:p w14:paraId="471E6F1C"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560</w:t>
            </w:r>
          </w:p>
        </w:tc>
        <w:tc>
          <w:tcPr>
            <w:tcW w:w="1094" w:type="pct"/>
          </w:tcPr>
          <w:p w14:paraId="75995FAF"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1 736 449</w:t>
            </w:r>
          </w:p>
        </w:tc>
      </w:tr>
      <w:tr w:rsidR="00E6313A" w:rsidRPr="006F3533" w14:paraId="3C4A3CDE" w14:textId="77777777" w:rsidTr="00541E06">
        <w:tc>
          <w:tcPr>
            <w:cnfStyle w:val="001000000000" w:firstRow="0" w:lastRow="0" w:firstColumn="1" w:lastColumn="0" w:oddVBand="0" w:evenVBand="0" w:oddHBand="0" w:evenHBand="0" w:firstRowFirstColumn="0" w:firstRowLastColumn="0" w:lastRowFirstColumn="0" w:lastRowLastColumn="0"/>
            <w:tcW w:w="621" w:type="pct"/>
          </w:tcPr>
          <w:p w14:paraId="391C1652"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D</w:t>
            </w:r>
          </w:p>
        </w:tc>
        <w:tc>
          <w:tcPr>
            <w:tcW w:w="1094" w:type="pct"/>
          </w:tcPr>
          <w:p w14:paraId="0591205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922 </w:t>
            </w:r>
          </w:p>
        </w:tc>
        <w:tc>
          <w:tcPr>
            <w:tcW w:w="1095" w:type="pct"/>
          </w:tcPr>
          <w:p w14:paraId="2B93115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4 581 955 </w:t>
            </w:r>
          </w:p>
        </w:tc>
        <w:tc>
          <w:tcPr>
            <w:tcW w:w="1095" w:type="pct"/>
          </w:tcPr>
          <w:p w14:paraId="440DC925"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324</w:t>
            </w:r>
          </w:p>
        </w:tc>
        <w:tc>
          <w:tcPr>
            <w:tcW w:w="1094" w:type="pct"/>
          </w:tcPr>
          <w:p w14:paraId="5FEA584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860 851</w:t>
            </w:r>
          </w:p>
        </w:tc>
      </w:tr>
      <w:tr w:rsidR="00E6313A" w:rsidRPr="006F3533" w14:paraId="5C44FFD7"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1" w:type="pct"/>
          </w:tcPr>
          <w:p w14:paraId="070DE1A6"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E</w:t>
            </w:r>
          </w:p>
        </w:tc>
        <w:tc>
          <w:tcPr>
            <w:tcW w:w="1094" w:type="pct"/>
          </w:tcPr>
          <w:p w14:paraId="3A965E58"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662 </w:t>
            </w:r>
          </w:p>
        </w:tc>
        <w:tc>
          <w:tcPr>
            <w:tcW w:w="1095" w:type="pct"/>
          </w:tcPr>
          <w:p w14:paraId="35AE22EC"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2 988 726 </w:t>
            </w:r>
          </w:p>
        </w:tc>
        <w:tc>
          <w:tcPr>
            <w:tcW w:w="1095" w:type="pct"/>
          </w:tcPr>
          <w:p w14:paraId="747E801D"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260</w:t>
            </w:r>
          </w:p>
        </w:tc>
        <w:tc>
          <w:tcPr>
            <w:tcW w:w="1094" w:type="pct"/>
          </w:tcPr>
          <w:p w14:paraId="3405C435"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650 918</w:t>
            </w:r>
          </w:p>
        </w:tc>
      </w:tr>
      <w:tr w:rsidR="00E6313A" w:rsidRPr="006F3533" w14:paraId="341AF323" w14:textId="77777777" w:rsidTr="00541E06">
        <w:tc>
          <w:tcPr>
            <w:cnfStyle w:val="001000000000" w:firstRow="0" w:lastRow="0" w:firstColumn="1" w:lastColumn="0" w:oddVBand="0" w:evenVBand="0" w:oddHBand="0" w:evenHBand="0" w:firstRowFirstColumn="0" w:firstRowLastColumn="0" w:lastRowFirstColumn="0" w:lastRowLastColumn="0"/>
            <w:tcW w:w="621" w:type="pct"/>
          </w:tcPr>
          <w:p w14:paraId="5E17CC19"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F</w:t>
            </w:r>
          </w:p>
        </w:tc>
        <w:tc>
          <w:tcPr>
            <w:tcW w:w="1094" w:type="pct"/>
          </w:tcPr>
          <w:p w14:paraId="51FDB1A0"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267 </w:t>
            </w:r>
          </w:p>
        </w:tc>
        <w:tc>
          <w:tcPr>
            <w:tcW w:w="1095" w:type="pct"/>
          </w:tcPr>
          <w:p w14:paraId="0C94191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1 104 321 </w:t>
            </w:r>
          </w:p>
        </w:tc>
        <w:tc>
          <w:tcPr>
            <w:tcW w:w="1095" w:type="pct"/>
          </w:tcPr>
          <w:p w14:paraId="2893A2F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158</w:t>
            </w:r>
          </w:p>
        </w:tc>
        <w:tc>
          <w:tcPr>
            <w:tcW w:w="1094" w:type="pct"/>
          </w:tcPr>
          <w:p w14:paraId="42E05B4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346 747</w:t>
            </w:r>
          </w:p>
        </w:tc>
      </w:tr>
      <w:tr w:rsidR="00E6313A" w:rsidRPr="006F3533" w14:paraId="33BB375D"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1" w:type="pct"/>
          </w:tcPr>
          <w:p w14:paraId="08EE439C"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G</w:t>
            </w:r>
          </w:p>
        </w:tc>
        <w:tc>
          <w:tcPr>
            <w:tcW w:w="1094" w:type="pct"/>
          </w:tcPr>
          <w:p w14:paraId="37A46C7F"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112 </w:t>
            </w:r>
          </w:p>
        </w:tc>
        <w:tc>
          <w:tcPr>
            <w:tcW w:w="1095" w:type="pct"/>
          </w:tcPr>
          <w:p w14:paraId="39E32026"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358 038 </w:t>
            </w:r>
          </w:p>
        </w:tc>
        <w:tc>
          <w:tcPr>
            <w:tcW w:w="1095" w:type="pct"/>
          </w:tcPr>
          <w:p w14:paraId="59552DBE"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262</w:t>
            </w:r>
          </w:p>
        </w:tc>
        <w:tc>
          <w:tcPr>
            <w:tcW w:w="1094" w:type="pct"/>
          </w:tcPr>
          <w:p w14:paraId="33C8A6FE"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371 179</w:t>
            </w:r>
          </w:p>
        </w:tc>
      </w:tr>
      <w:tr w:rsidR="00E6313A" w:rsidRPr="006F3533" w14:paraId="4AF49188" w14:textId="77777777" w:rsidTr="00541E06">
        <w:tc>
          <w:tcPr>
            <w:cnfStyle w:val="001000000000" w:firstRow="0" w:lastRow="0" w:firstColumn="1" w:lastColumn="0" w:oddVBand="0" w:evenVBand="0" w:oddHBand="0" w:evenHBand="0" w:firstRowFirstColumn="0" w:firstRowLastColumn="0" w:lastRowFirstColumn="0" w:lastRowLastColumn="0"/>
            <w:tcW w:w="621" w:type="pct"/>
          </w:tcPr>
          <w:p w14:paraId="3047C380" w14:textId="77777777" w:rsidR="00E6313A" w:rsidRPr="006F3533" w:rsidRDefault="00E6313A" w:rsidP="00541E06">
            <w:pPr>
              <w:spacing w:before="100" w:beforeAutospacing="1" w:after="100" w:afterAutospacing="1"/>
              <w:jc w:val="both"/>
              <w:rPr>
                <w:rFonts w:cs="Times New Roman"/>
                <w:sz w:val="20"/>
                <w:szCs w:val="20"/>
                <w:lang w:val="bg-BG"/>
              </w:rPr>
            </w:pPr>
            <w:proofErr w:type="spellStart"/>
            <w:r w:rsidRPr="006F3533">
              <w:rPr>
                <w:rFonts w:cs="Times New Roman"/>
                <w:sz w:val="20"/>
                <w:szCs w:val="20"/>
                <w:lang w:val="bg-BG"/>
              </w:rPr>
              <w:lastRenderedPageBreak/>
              <w:t>Without</w:t>
            </w:r>
            <w:proofErr w:type="spellEnd"/>
            <w:r w:rsidRPr="006F3533">
              <w:rPr>
                <w:rFonts w:cs="Times New Roman"/>
                <w:sz w:val="20"/>
                <w:szCs w:val="20"/>
                <w:lang w:val="bg-BG"/>
              </w:rPr>
              <w:t xml:space="preserve"> </w:t>
            </w:r>
            <w:proofErr w:type="spellStart"/>
            <w:r w:rsidRPr="006F3533">
              <w:rPr>
                <w:rFonts w:cs="Times New Roman"/>
                <w:sz w:val="20"/>
                <w:szCs w:val="20"/>
                <w:lang w:val="bg-BG"/>
              </w:rPr>
              <w:t>valid</w:t>
            </w:r>
            <w:proofErr w:type="spellEnd"/>
            <w:r w:rsidRPr="006F3533">
              <w:rPr>
                <w:rFonts w:cs="Times New Roman"/>
                <w:sz w:val="20"/>
                <w:szCs w:val="20"/>
                <w:lang w:val="bg-BG"/>
              </w:rPr>
              <w:t xml:space="preserve"> EPC</w:t>
            </w:r>
          </w:p>
        </w:tc>
        <w:tc>
          <w:tcPr>
            <w:tcW w:w="1094" w:type="pct"/>
          </w:tcPr>
          <w:p w14:paraId="4C23E1BC"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1 159 772</w:t>
            </w:r>
          </w:p>
        </w:tc>
        <w:tc>
          <w:tcPr>
            <w:tcW w:w="1095" w:type="pct"/>
          </w:tcPr>
          <w:p w14:paraId="1797DA24"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281 772 397</w:t>
            </w:r>
          </w:p>
        </w:tc>
        <w:tc>
          <w:tcPr>
            <w:tcW w:w="1095" w:type="pct"/>
          </w:tcPr>
          <w:p w14:paraId="37985FA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346 739</w:t>
            </w:r>
          </w:p>
        </w:tc>
        <w:tc>
          <w:tcPr>
            <w:tcW w:w="1094" w:type="pct"/>
          </w:tcPr>
          <w:p w14:paraId="6B9B96C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83 384 246</w:t>
            </w:r>
          </w:p>
        </w:tc>
      </w:tr>
      <w:tr w:rsidR="00E6313A" w:rsidRPr="006F3533" w14:paraId="0E194784"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1" w:type="pct"/>
          </w:tcPr>
          <w:p w14:paraId="237FF9A1" w14:textId="77777777" w:rsidR="00E6313A" w:rsidRPr="006F3533" w:rsidRDefault="00E6313A" w:rsidP="00541E06">
            <w:pPr>
              <w:spacing w:before="100" w:beforeAutospacing="1" w:after="100" w:afterAutospacing="1"/>
              <w:jc w:val="both"/>
              <w:rPr>
                <w:rFonts w:cs="Times New Roman"/>
                <w:sz w:val="20"/>
                <w:szCs w:val="20"/>
                <w:lang w:val="bg-BG"/>
              </w:rPr>
            </w:pPr>
            <w:r w:rsidRPr="006F3533">
              <w:rPr>
                <w:rFonts w:cs="Times New Roman"/>
                <w:sz w:val="20"/>
                <w:szCs w:val="20"/>
                <w:lang w:val="bg-BG"/>
              </w:rPr>
              <w:t xml:space="preserve">EPC </w:t>
            </w:r>
            <w:proofErr w:type="spellStart"/>
            <w:r w:rsidRPr="006F3533">
              <w:rPr>
                <w:rFonts w:cs="Times New Roman"/>
                <w:sz w:val="20"/>
                <w:szCs w:val="20"/>
                <w:lang w:val="bg-BG"/>
              </w:rPr>
              <w:t>not</w:t>
            </w:r>
            <w:proofErr w:type="spellEnd"/>
            <w:r w:rsidRPr="006F3533">
              <w:rPr>
                <w:rFonts w:cs="Times New Roman"/>
                <w:sz w:val="20"/>
                <w:szCs w:val="20"/>
                <w:lang w:val="bg-BG"/>
              </w:rPr>
              <w:t xml:space="preserve"> </w:t>
            </w:r>
            <w:proofErr w:type="spellStart"/>
            <w:r w:rsidRPr="006F3533">
              <w:rPr>
                <w:rFonts w:cs="Times New Roman"/>
                <w:sz w:val="20"/>
                <w:szCs w:val="20"/>
                <w:lang w:val="bg-BG"/>
              </w:rPr>
              <w:t>required</w:t>
            </w:r>
            <w:proofErr w:type="spellEnd"/>
          </w:p>
        </w:tc>
        <w:tc>
          <w:tcPr>
            <w:tcW w:w="1094" w:type="pct"/>
          </w:tcPr>
          <w:p w14:paraId="7F986C8D"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sz w:val="20"/>
                <w:szCs w:val="20"/>
                <w:lang w:val="bg-BG"/>
              </w:rPr>
            </w:pPr>
          </w:p>
        </w:tc>
        <w:tc>
          <w:tcPr>
            <w:tcW w:w="1095" w:type="pct"/>
          </w:tcPr>
          <w:p w14:paraId="15895FFA" w14:textId="77777777" w:rsidR="00E6313A" w:rsidRPr="006F3533" w:rsidRDefault="00E6313A" w:rsidP="00541E06">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c>
          <w:tcPr>
            <w:tcW w:w="1095" w:type="pct"/>
          </w:tcPr>
          <w:p w14:paraId="5233ABF2"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3 992</w:t>
            </w:r>
          </w:p>
        </w:tc>
        <w:tc>
          <w:tcPr>
            <w:tcW w:w="1094" w:type="pct"/>
          </w:tcPr>
          <w:p w14:paraId="2358509C" w14:textId="77777777" w:rsidR="00E6313A" w:rsidRPr="006F3533" w:rsidRDefault="00E6313A" w:rsidP="00541E06">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812 885</w:t>
            </w:r>
          </w:p>
        </w:tc>
      </w:tr>
      <w:tr w:rsidR="00E6313A" w:rsidRPr="006F3533" w14:paraId="693972F4" w14:textId="77777777" w:rsidTr="00541E06">
        <w:tc>
          <w:tcPr>
            <w:cnfStyle w:val="001000000000" w:firstRow="0" w:lastRow="0" w:firstColumn="1" w:lastColumn="0" w:oddVBand="0" w:evenVBand="0" w:oddHBand="0" w:evenHBand="0" w:firstRowFirstColumn="0" w:firstRowLastColumn="0" w:lastRowFirstColumn="0" w:lastRowLastColumn="0"/>
            <w:tcW w:w="621" w:type="pct"/>
          </w:tcPr>
          <w:p w14:paraId="7AD95A6E" w14:textId="77777777" w:rsidR="00E6313A" w:rsidRPr="006F3533" w:rsidRDefault="00E6313A" w:rsidP="00541E06">
            <w:pPr>
              <w:spacing w:before="100" w:beforeAutospacing="1" w:after="100" w:afterAutospacing="1"/>
              <w:jc w:val="both"/>
              <w:rPr>
                <w:rFonts w:cs="Times New Roman"/>
                <w:b w:val="0"/>
                <w:bCs w:val="0"/>
                <w:sz w:val="20"/>
                <w:szCs w:val="20"/>
                <w:lang w:val="bg-BG"/>
              </w:rPr>
            </w:pPr>
            <w:r w:rsidRPr="006F3533">
              <w:rPr>
                <w:rFonts w:cs="Times New Roman"/>
                <w:sz w:val="20"/>
                <w:szCs w:val="20"/>
                <w:lang w:val="bg-BG"/>
              </w:rPr>
              <w:t>Total</w:t>
            </w:r>
          </w:p>
        </w:tc>
        <w:tc>
          <w:tcPr>
            <w:tcW w:w="1094" w:type="pct"/>
          </w:tcPr>
          <w:p w14:paraId="7F6F3919"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1 165 998</w:t>
            </w:r>
          </w:p>
        </w:tc>
        <w:tc>
          <w:tcPr>
            <w:tcW w:w="1095" w:type="pct"/>
          </w:tcPr>
          <w:p w14:paraId="68EE801F"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b/>
                <w:bCs/>
                <w:color w:val="0070C0"/>
                <w:sz w:val="20"/>
                <w:szCs w:val="20"/>
                <w:lang w:val="bg-BG"/>
              </w:rPr>
            </w:pPr>
            <w:r w:rsidRPr="006F3533">
              <w:rPr>
                <w:rFonts w:cs="Times New Roman"/>
                <w:sz w:val="20"/>
                <w:szCs w:val="20"/>
                <w:lang w:val="bg-BG"/>
              </w:rPr>
              <w:t>299 118 813</w:t>
            </w:r>
          </w:p>
        </w:tc>
        <w:tc>
          <w:tcPr>
            <w:tcW w:w="1095" w:type="pct"/>
          </w:tcPr>
          <w:p w14:paraId="20B611D6"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b/>
                <w:bCs/>
                <w:color w:val="0070C0"/>
                <w:sz w:val="20"/>
                <w:szCs w:val="20"/>
                <w:lang w:val="bg-BG"/>
              </w:rPr>
            </w:pPr>
            <w:r w:rsidRPr="006F3533">
              <w:rPr>
                <w:rFonts w:cs="Times New Roman"/>
                <w:sz w:val="20"/>
                <w:szCs w:val="20"/>
                <w:lang w:val="bg-BG"/>
              </w:rPr>
              <w:t>354 520</w:t>
            </w:r>
          </w:p>
        </w:tc>
        <w:tc>
          <w:tcPr>
            <w:tcW w:w="1094" w:type="pct"/>
          </w:tcPr>
          <w:p w14:paraId="03D6F9CA" w14:textId="77777777" w:rsidR="00E6313A" w:rsidRPr="006F3533" w:rsidRDefault="00E6313A" w:rsidP="00541E06">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cs="Times New Roman"/>
                <w:b/>
                <w:bCs/>
                <w:color w:val="0070C0"/>
                <w:sz w:val="20"/>
                <w:szCs w:val="20"/>
                <w:lang w:val="bg-BG"/>
              </w:rPr>
            </w:pPr>
            <w:r w:rsidRPr="006F3533">
              <w:rPr>
                <w:rFonts w:cs="Times New Roman"/>
                <w:sz w:val="20"/>
                <w:szCs w:val="20"/>
                <w:lang w:val="bg-BG"/>
              </w:rPr>
              <w:t>94 174 793</w:t>
            </w:r>
          </w:p>
        </w:tc>
      </w:tr>
    </w:tbl>
    <w:p w14:paraId="5BFBD9CC" w14:textId="77777777" w:rsidR="00E6313A" w:rsidRPr="006F3533" w:rsidRDefault="00E6313A" w:rsidP="00E6313A">
      <w:pPr>
        <w:spacing w:after="100" w:afterAutospacing="1" w:line="240" w:lineRule="auto"/>
        <w:jc w:val="right"/>
        <w:rPr>
          <w:rFonts w:eastAsia="Calibri" w:cs="Times New Roman"/>
          <w:i/>
          <w:iCs/>
          <w:szCs w:val="24"/>
          <w:lang w:val="bg-BG" w:eastAsia="bg-BG"/>
        </w:rPr>
      </w:pPr>
      <w:bookmarkStart w:id="71" w:name="_Hlk217833783"/>
      <w:r w:rsidRPr="006F3533">
        <w:rPr>
          <w:rFonts w:eastAsia="Calibri" w:cs="Times New Roman"/>
          <w:i/>
          <w:iCs/>
          <w:szCs w:val="24"/>
          <w:lang w:val="bg-BG" w:eastAsia="bg-BG"/>
        </w:rPr>
        <w:t>Източник: База данни АУЕР, 2025 г.</w:t>
      </w:r>
    </w:p>
    <w:bookmarkEnd w:id="71"/>
    <w:p w14:paraId="67DF5B2C"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В таблицата е отразен високия дял на сградите без валиден сертификат спрямо общия брой/ общата РЗП на жилищните сгради - 99,5% по брой, респективно 94,2% по РЗП.</w:t>
      </w:r>
    </w:p>
    <w:p w14:paraId="7EB98EAE"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По-голямата част от жилищните сгради с валидни сертификати за енергийни характеристики са концентрирани в средните и по-ниските класове на енергопотребление. Най-значителен дял по брой заемат сградите в клас B (поради големия брой новопостроени както многофамилни, така и еднофамилни сгради, за които клас В е изискуем съгласно нормативната уредба), следвани от класове C и D.</w:t>
      </w:r>
    </w:p>
    <w:p w14:paraId="2FA3B86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Сградите с клас A представляват сравнително малък дял както по брой, така и по обща разгъната застроена площ, което отразява все още ограничения обхват на дълбокото енергийно обновяване в жилищния сектор. В същото време наличието на значителен брой жилищни сгради в класове Е, F и G потвърждава съществуването на ясно изразен сегмент от сгради с ниски енергийни характеристики, които представляват приоритетна цел за политики и мерки, включително за прилагане на минимални стандарти за енергийни характеристики.</w:t>
      </w:r>
    </w:p>
    <w:p w14:paraId="36E5FF64" w14:textId="77777777" w:rsidR="00E6313A" w:rsidRPr="006F3533" w:rsidRDefault="00E6313A" w:rsidP="00E6313A">
      <w:pPr>
        <w:pStyle w:val="Heading2"/>
        <w:jc w:val="both"/>
        <w:rPr>
          <w:lang w:val="bg-BG"/>
        </w:rPr>
      </w:pPr>
      <w:bookmarkStart w:id="72" w:name="_Toc217837102"/>
      <w:bookmarkStart w:id="73" w:name="_Toc217888760"/>
      <w:r w:rsidRPr="006F3533">
        <w:rPr>
          <w:lang w:val="bg-BG"/>
        </w:rPr>
        <w:t>Сгради с близко до нулево потребление на енергия (СБНПЕ)</w:t>
      </w:r>
      <w:bookmarkEnd w:id="72"/>
      <w:bookmarkEnd w:id="73"/>
      <w:r w:rsidRPr="006F3533">
        <w:rPr>
          <w:lang w:val="bg-BG"/>
        </w:rPr>
        <w:tab/>
      </w:r>
    </w:p>
    <w:p w14:paraId="30836D1B" w14:textId="77777777" w:rsidR="00E6313A" w:rsidRPr="006F3533" w:rsidRDefault="00E6313A" w:rsidP="00E6313A">
      <w:pPr>
        <w:spacing w:beforeAutospacing="1" w:afterAutospacing="1"/>
        <w:jc w:val="both"/>
        <w:rPr>
          <w:rFonts w:eastAsia="Times New Roman" w:cs="Times New Roman"/>
          <w:szCs w:val="24"/>
          <w:lang w:val="bg-BG" w:bidi="ar"/>
        </w:rPr>
      </w:pPr>
      <w:r w:rsidRPr="006F3533">
        <w:rPr>
          <w:rFonts w:eastAsia="Times New Roman" w:cs="Times New Roman"/>
          <w:szCs w:val="24"/>
          <w:lang w:val="bg-BG" w:bidi="ar"/>
        </w:rPr>
        <w:t>В съответствие с изискванията на образеца, информацията за сградите с близко до нулево потребление на енергия (СБНПЕ / NZEB) е предоставена общо за жилищни и нежилищни сгради. Тя е извлечена от националната база данни за енергийните характеристики на сградите, поддържана от Агенцията за устойчиво енергийно развитие (АУЕР). Данните, представени в таблицата, са актуални към ноември 2025 г. и обхващат всички сгради, за които в базата данни на АУЕР е налична информация, че отговарят на националната дефиниция за СБНПЕ.</w:t>
      </w:r>
    </w:p>
    <w:p w14:paraId="3CFD6D1D" w14:textId="77777777" w:rsidR="00E6313A" w:rsidRPr="006F3533" w:rsidRDefault="00E6313A" w:rsidP="00E6313A">
      <w:pPr>
        <w:spacing w:beforeAutospacing="1" w:afterAutospacing="1"/>
        <w:jc w:val="both"/>
        <w:rPr>
          <w:rFonts w:eastAsia="Times New Roman" w:cs="Times New Roman"/>
          <w:szCs w:val="24"/>
          <w:lang w:val="bg-BG" w:bidi="ar"/>
        </w:rPr>
      </w:pPr>
      <w:r w:rsidRPr="006F3533">
        <w:rPr>
          <w:rFonts w:eastAsia="Times New Roman" w:cs="Times New Roman"/>
          <w:szCs w:val="24"/>
          <w:lang w:val="bg-BG" w:bidi="ar"/>
        </w:rPr>
        <w:t>Националната дефиниция за сграда с близко до нулево потребление на енергия (СБНПЕ) е въведена в българското законодателство и е задължителна за всички нови сгради съгласно действащите нормативни изисквания. От началото на 2024 г. всички нови сгради, за които се издава разрешение за строеж, следва да отговарят на изискванията за СБНПЕ.</w:t>
      </w:r>
    </w:p>
    <w:p w14:paraId="614FD63D" w14:textId="77777777" w:rsidR="00E6313A" w:rsidRPr="006F3533" w:rsidRDefault="00E6313A" w:rsidP="00E6313A">
      <w:pPr>
        <w:spacing w:before="100" w:beforeAutospacing="1" w:after="100" w:afterAutospacing="1" w:line="240" w:lineRule="auto"/>
        <w:jc w:val="both"/>
        <w:rPr>
          <w:rFonts w:eastAsia="Calibri" w:cs="Times New Roman"/>
          <w:i/>
          <w:iCs/>
          <w:color w:val="0070C0"/>
          <w:szCs w:val="24"/>
          <w:lang w:val="bg-BG"/>
        </w:rPr>
      </w:pPr>
      <w:r w:rsidRPr="006F3533">
        <w:rPr>
          <w:rFonts w:eastAsia="Calibri" w:cs="Times New Roman"/>
          <w:i/>
          <w:iCs/>
          <w:color w:val="0070C0"/>
          <w:szCs w:val="24"/>
          <w:lang w:val="bg-BG"/>
        </w:rPr>
        <w:t xml:space="preserve">Таблица № </w:t>
      </w:r>
      <w:r w:rsidRPr="006F3533">
        <w:rPr>
          <w:rFonts w:eastAsia="Calibri" w:cs="Times New Roman"/>
          <w:i/>
          <w:iCs/>
          <w:color w:val="0070C0"/>
          <w:szCs w:val="24"/>
          <w:lang w:val="bg-BG"/>
        </w:rPr>
        <w:fldChar w:fldCharType="begin"/>
      </w:r>
      <w:r w:rsidRPr="006F3533">
        <w:rPr>
          <w:rFonts w:eastAsia="Calibri" w:cs="Times New Roman"/>
          <w:i/>
          <w:iCs/>
          <w:color w:val="0070C0"/>
          <w:szCs w:val="24"/>
          <w:lang w:val="bg-BG"/>
        </w:rPr>
        <w:instrText xml:space="preserve"> SEQ Таблица_№ \* ARABIC </w:instrText>
      </w:r>
      <w:r w:rsidRPr="006F3533">
        <w:rPr>
          <w:rFonts w:eastAsia="Calibri" w:cs="Times New Roman"/>
          <w:i/>
          <w:iCs/>
          <w:color w:val="0070C0"/>
          <w:szCs w:val="24"/>
          <w:lang w:val="bg-BG"/>
        </w:rPr>
        <w:fldChar w:fldCharType="separate"/>
      </w:r>
      <w:r w:rsidRPr="006F3533">
        <w:rPr>
          <w:rFonts w:eastAsia="Calibri" w:cs="Times New Roman"/>
          <w:i/>
          <w:iCs/>
          <w:noProof/>
          <w:color w:val="0070C0"/>
          <w:szCs w:val="24"/>
          <w:lang w:val="bg-BG"/>
        </w:rPr>
        <w:t>15</w:t>
      </w:r>
      <w:r w:rsidRPr="006F3533">
        <w:rPr>
          <w:rFonts w:eastAsia="Calibri" w:cs="Times New Roman"/>
          <w:i/>
          <w:iCs/>
          <w:color w:val="0070C0"/>
          <w:szCs w:val="24"/>
          <w:lang w:val="bg-BG"/>
        </w:rPr>
        <w:fldChar w:fldCharType="end"/>
      </w:r>
      <w:r w:rsidRPr="006F3533">
        <w:rPr>
          <w:rFonts w:eastAsia="Calibri" w:cs="Times New Roman"/>
          <w:i/>
          <w:iCs/>
          <w:color w:val="0070C0"/>
          <w:szCs w:val="24"/>
          <w:lang w:val="bg-BG"/>
        </w:rPr>
        <w:t>: Брой и площ на сградите съответстващи на националната дефиниция за СБНПЕ</w:t>
      </w:r>
    </w:p>
    <w:tbl>
      <w:tblPr>
        <w:tblStyle w:val="GridTable4-Accent5"/>
        <w:tblW w:w="5000" w:type="pct"/>
        <w:tblLook w:val="04A0" w:firstRow="1" w:lastRow="0" w:firstColumn="1" w:lastColumn="0" w:noHBand="0" w:noVBand="1"/>
      </w:tblPr>
      <w:tblGrid>
        <w:gridCol w:w="1400"/>
        <w:gridCol w:w="1588"/>
        <w:gridCol w:w="1682"/>
        <w:gridCol w:w="2242"/>
        <w:gridCol w:w="2150"/>
      </w:tblGrid>
      <w:tr w:rsidR="00E6313A" w:rsidRPr="006F3533" w14:paraId="45051C69" w14:textId="77777777" w:rsidTr="00541E0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0" w:type="pct"/>
          </w:tcPr>
          <w:p w14:paraId="4EDAC0CB" w14:textId="77777777" w:rsidR="00E6313A" w:rsidRPr="006F3533" w:rsidRDefault="00E6313A" w:rsidP="00541E06">
            <w:pPr>
              <w:pStyle w:val="NormalWeb"/>
              <w:spacing w:beforeAutospacing="0" w:afterAutospacing="0"/>
              <w:jc w:val="both"/>
              <w:rPr>
                <w:rFonts w:ascii="Aptos" w:hAnsi="Aptos"/>
                <w:sz w:val="20"/>
                <w:szCs w:val="20"/>
                <w:lang w:val="bg-BG"/>
              </w:rPr>
            </w:pPr>
            <w:r w:rsidRPr="006F3533">
              <w:rPr>
                <w:rFonts w:ascii="Aptos" w:hAnsi="Aptos"/>
                <w:sz w:val="20"/>
                <w:szCs w:val="20"/>
                <w:lang w:val="bg-BG"/>
              </w:rPr>
              <w:t xml:space="preserve">New </w:t>
            </w:r>
            <w:proofErr w:type="spellStart"/>
            <w:r w:rsidRPr="006F3533">
              <w:rPr>
                <w:rFonts w:ascii="Aptos" w:hAnsi="Aptos"/>
                <w:sz w:val="20"/>
                <w:szCs w:val="20"/>
                <w:lang w:val="bg-BG"/>
              </w:rPr>
              <w:t>or</w:t>
            </w:r>
            <w:proofErr w:type="spellEnd"/>
            <w:r w:rsidRPr="006F3533">
              <w:rPr>
                <w:rFonts w:ascii="Aptos" w:hAnsi="Aptos"/>
                <w:sz w:val="20"/>
                <w:szCs w:val="20"/>
                <w:lang w:val="bg-BG"/>
              </w:rPr>
              <w:t xml:space="preserve"> </w:t>
            </w:r>
            <w:proofErr w:type="spellStart"/>
            <w:r w:rsidRPr="006F3533">
              <w:rPr>
                <w:rFonts w:ascii="Aptos" w:hAnsi="Aptos"/>
                <w:sz w:val="20"/>
                <w:szCs w:val="20"/>
                <w:lang w:val="bg-BG"/>
              </w:rPr>
              <w:t>renovated</w:t>
            </w:r>
            <w:proofErr w:type="spellEnd"/>
          </w:p>
          <w:p w14:paraId="39231565" w14:textId="77777777" w:rsidR="00E6313A" w:rsidRPr="006F3533" w:rsidRDefault="00E6313A" w:rsidP="00541E06">
            <w:pPr>
              <w:pStyle w:val="NormalWeb"/>
              <w:spacing w:beforeAutospacing="0" w:afterAutospacing="0"/>
              <w:jc w:val="both"/>
              <w:rPr>
                <w:rFonts w:ascii="Aptos" w:hAnsi="Aptos"/>
                <w:sz w:val="20"/>
                <w:szCs w:val="20"/>
                <w:lang w:val="bg-BG"/>
              </w:rPr>
            </w:pPr>
          </w:p>
        </w:tc>
        <w:tc>
          <w:tcPr>
            <w:tcW w:w="850" w:type="pct"/>
          </w:tcPr>
          <w:p w14:paraId="11F8A1E1" w14:textId="77777777" w:rsidR="00E6313A" w:rsidRPr="006F3533" w:rsidRDefault="00E6313A" w:rsidP="00541E06">
            <w:pPr>
              <w:pStyle w:val="NormalWeb"/>
              <w:spacing w:beforeAutospacing="0" w:afterAutospacing="0"/>
              <w:jc w:val="both"/>
              <w:cnfStyle w:val="100000000000" w:firstRow="1" w:lastRow="0" w:firstColumn="0" w:lastColumn="0" w:oddVBand="0" w:evenVBand="0" w:oddHBand="0" w:evenHBand="0" w:firstRowFirstColumn="0" w:firstRowLastColumn="0" w:lastRowFirstColumn="0" w:lastRowLastColumn="0"/>
              <w:rPr>
                <w:rFonts w:ascii="Aptos" w:hAnsi="Aptos"/>
                <w:sz w:val="20"/>
                <w:szCs w:val="20"/>
                <w:lang w:val="bg-BG"/>
              </w:rPr>
            </w:pPr>
            <w:proofErr w:type="spellStart"/>
            <w:r w:rsidRPr="006F3533">
              <w:rPr>
                <w:rFonts w:ascii="Aptos" w:hAnsi="Aptos"/>
                <w:sz w:val="20"/>
                <w:szCs w:val="20"/>
                <w:lang w:val="bg-BG"/>
              </w:rPr>
              <w:t>Cumulative</w:t>
            </w:r>
            <w:proofErr w:type="spellEnd"/>
            <w:r w:rsidRPr="006F3533">
              <w:rPr>
                <w:rFonts w:ascii="Aptos" w:hAnsi="Aptos"/>
                <w:sz w:val="20"/>
                <w:szCs w:val="20"/>
                <w:lang w:val="bg-BG"/>
              </w:rPr>
              <w:t xml:space="preserve"> </w:t>
            </w:r>
            <w:proofErr w:type="spellStart"/>
            <w:r w:rsidRPr="006F3533">
              <w:rPr>
                <w:rFonts w:ascii="Aptos" w:hAnsi="Aptos"/>
                <w:sz w:val="20"/>
                <w:szCs w:val="20"/>
                <w:lang w:val="bg-BG"/>
              </w:rPr>
              <w:t>number</w:t>
            </w:r>
            <w:proofErr w:type="spellEnd"/>
            <w:r w:rsidRPr="006F3533">
              <w:rPr>
                <w:rFonts w:ascii="Aptos" w:hAnsi="Aptos"/>
                <w:sz w:val="20"/>
                <w:szCs w:val="20"/>
                <w:lang w:val="bg-BG"/>
              </w:rPr>
              <w:t xml:space="preserve"> </w:t>
            </w:r>
            <w:proofErr w:type="spellStart"/>
            <w:r w:rsidRPr="006F3533">
              <w:rPr>
                <w:rFonts w:ascii="Aptos" w:hAnsi="Aptos"/>
                <w:sz w:val="20"/>
                <w:szCs w:val="20"/>
                <w:lang w:val="bg-BG"/>
              </w:rPr>
              <w:t>of</w:t>
            </w:r>
            <w:proofErr w:type="spellEnd"/>
            <w:r w:rsidRPr="006F3533">
              <w:rPr>
                <w:rFonts w:ascii="Aptos" w:hAnsi="Aptos"/>
                <w:sz w:val="20"/>
                <w:szCs w:val="20"/>
                <w:lang w:val="bg-BG"/>
              </w:rPr>
              <w:t xml:space="preserve"> NZEB </w:t>
            </w:r>
            <w:proofErr w:type="spellStart"/>
            <w:r w:rsidRPr="006F3533">
              <w:rPr>
                <w:rFonts w:ascii="Aptos" w:hAnsi="Aptos"/>
                <w:sz w:val="20"/>
                <w:szCs w:val="20"/>
                <w:lang w:val="bg-BG"/>
              </w:rPr>
              <w:t>in</w:t>
            </w:r>
            <w:proofErr w:type="spellEnd"/>
          </w:p>
          <w:p w14:paraId="0A66F495" w14:textId="77777777" w:rsidR="00E6313A" w:rsidRPr="006F3533" w:rsidRDefault="00E6313A" w:rsidP="00541E06">
            <w:pPr>
              <w:pStyle w:val="NormalWeb"/>
              <w:spacing w:beforeAutospacing="0" w:afterAutospacing="0"/>
              <w:jc w:val="both"/>
              <w:cnfStyle w:val="100000000000" w:firstRow="1" w:lastRow="0" w:firstColumn="0" w:lastColumn="0" w:oddVBand="0" w:evenVBand="0" w:oddHBand="0" w:evenHBand="0" w:firstRowFirstColumn="0" w:firstRowLastColumn="0" w:lastRowFirstColumn="0" w:lastRowLastColumn="0"/>
              <w:rPr>
                <w:rFonts w:ascii="Aptos" w:hAnsi="Aptos"/>
                <w:sz w:val="20"/>
                <w:szCs w:val="20"/>
                <w:lang w:val="bg-BG"/>
              </w:rPr>
            </w:pPr>
            <w:proofErr w:type="spellStart"/>
            <w:r w:rsidRPr="006F3533">
              <w:rPr>
                <w:rFonts w:ascii="Aptos" w:hAnsi="Aptos"/>
                <w:sz w:val="20"/>
                <w:szCs w:val="20"/>
                <w:lang w:val="bg-BG"/>
              </w:rPr>
              <w:t>Year</w:t>
            </w:r>
            <w:proofErr w:type="spellEnd"/>
            <w:r w:rsidRPr="006F3533">
              <w:rPr>
                <w:rFonts w:ascii="Aptos" w:hAnsi="Aptos"/>
                <w:sz w:val="20"/>
                <w:szCs w:val="20"/>
                <w:lang w:val="bg-BG"/>
              </w:rPr>
              <w:t xml:space="preserve"> 2025</w:t>
            </w:r>
          </w:p>
        </w:tc>
        <w:tc>
          <w:tcPr>
            <w:tcW w:w="900" w:type="pct"/>
          </w:tcPr>
          <w:p w14:paraId="2AC1A251" w14:textId="77777777" w:rsidR="00E6313A" w:rsidRPr="006F3533" w:rsidRDefault="00E6313A" w:rsidP="00541E06">
            <w:pPr>
              <w:pStyle w:val="NormalWeb"/>
              <w:spacing w:beforeAutospacing="0" w:afterAutospacing="0"/>
              <w:jc w:val="both"/>
              <w:cnfStyle w:val="100000000000" w:firstRow="1" w:lastRow="0" w:firstColumn="0" w:lastColumn="0" w:oddVBand="0" w:evenVBand="0" w:oddHBand="0" w:evenHBand="0" w:firstRowFirstColumn="0" w:firstRowLastColumn="0" w:lastRowFirstColumn="0" w:lastRowLastColumn="0"/>
              <w:rPr>
                <w:rFonts w:ascii="Aptos" w:hAnsi="Aptos"/>
                <w:sz w:val="20"/>
                <w:szCs w:val="20"/>
                <w:lang w:val="bg-BG"/>
              </w:rPr>
            </w:pPr>
            <w:proofErr w:type="spellStart"/>
            <w:r w:rsidRPr="006F3533">
              <w:rPr>
                <w:rFonts w:ascii="Aptos" w:hAnsi="Aptos"/>
                <w:sz w:val="20"/>
                <w:szCs w:val="20"/>
                <w:lang w:val="bg-BG"/>
              </w:rPr>
              <w:t>Cumulative</w:t>
            </w:r>
            <w:proofErr w:type="spellEnd"/>
            <w:r w:rsidRPr="006F3533">
              <w:rPr>
                <w:rFonts w:ascii="Aptos" w:hAnsi="Aptos"/>
                <w:sz w:val="20"/>
                <w:szCs w:val="20"/>
                <w:lang w:val="bg-BG"/>
              </w:rPr>
              <w:t xml:space="preserve"> </w:t>
            </w:r>
            <w:proofErr w:type="spellStart"/>
            <w:r w:rsidRPr="006F3533">
              <w:rPr>
                <w:rFonts w:ascii="Aptos" w:hAnsi="Aptos"/>
                <w:sz w:val="20"/>
                <w:szCs w:val="20"/>
                <w:lang w:val="bg-BG"/>
              </w:rPr>
              <w:t>floor</w:t>
            </w:r>
            <w:proofErr w:type="spellEnd"/>
            <w:r w:rsidRPr="006F3533">
              <w:rPr>
                <w:rFonts w:ascii="Aptos" w:hAnsi="Aptos"/>
                <w:sz w:val="20"/>
                <w:szCs w:val="20"/>
                <w:lang w:val="bg-BG"/>
              </w:rPr>
              <w:t xml:space="preserve"> </w:t>
            </w:r>
            <w:proofErr w:type="spellStart"/>
            <w:r w:rsidRPr="006F3533">
              <w:rPr>
                <w:rFonts w:ascii="Aptos" w:hAnsi="Aptos"/>
                <w:sz w:val="20"/>
                <w:szCs w:val="20"/>
                <w:lang w:val="bg-BG"/>
              </w:rPr>
              <w:t>area</w:t>
            </w:r>
            <w:proofErr w:type="spellEnd"/>
            <w:r w:rsidRPr="006F3533">
              <w:rPr>
                <w:rFonts w:ascii="Aptos" w:hAnsi="Aptos"/>
                <w:sz w:val="20"/>
                <w:szCs w:val="20"/>
                <w:lang w:val="bg-BG"/>
              </w:rPr>
              <w:t xml:space="preserve"> </w:t>
            </w:r>
            <w:proofErr w:type="spellStart"/>
            <w:r w:rsidRPr="006F3533">
              <w:rPr>
                <w:rFonts w:ascii="Aptos" w:hAnsi="Aptos"/>
                <w:sz w:val="20"/>
                <w:szCs w:val="20"/>
                <w:lang w:val="bg-BG"/>
              </w:rPr>
              <w:t>of</w:t>
            </w:r>
            <w:proofErr w:type="spellEnd"/>
            <w:r w:rsidRPr="006F3533">
              <w:rPr>
                <w:rFonts w:ascii="Aptos" w:hAnsi="Aptos"/>
                <w:sz w:val="20"/>
                <w:szCs w:val="20"/>
                <w:lang w:val="bg-BG"/>
              </w:rPr>
              <w:t xml:space="preserve"> NZEB </w:t>
            </w:r>
            <w:proofErr w:type="spellStart"/>
            <w:r w:rsidRPr="006F3533">
              <w:rPr>
                <w:rFonts w:ascii="Aptos" w:hAnsi="Aptos"/>
                <w:sz w:val="20"/>
                <w:szCs w:val="20"/>
                <w:lang w:val="bg-BG"/>
              </w:rPr>
              <w:t>in</w:t>
            </w:r>
            <w:proofErr w:type="spellEnd"/>
            <w:r w:rsidRPr="006F3533">
              <w:rPr>
                <w:rFonts w:ascii="Aptos" w:hAnsi="Aptos"/>
                <w:sz w:val="20"/>
                <w:szCs w:val="20"/>
                <w:lang w:val="bg-BG"/>
              </w:rPr>
              <w:t xml:space="preserve"> </w:t>
            </w:r>
          </w:p>
          <w:p w14:paraId="617CBB04" w14:textId="77777777" w:rsidR="00E6313A" w:rsidRPr="006F3533" w:rsidRDefault="00E6313A" w:rsidP="00541E06">
            <w:pPr>
              <w:pStyle w:val="NormalWeb"/>
              <w:spacing w:beforeAutospacing="0" w:afterAutospacing="0"/>
              <w:jc w:val="both"/>
              <w:cnfStyle w:val="100000000000" w:firstRow="1" w:lastRow="0" w:firstColumn="0" w:lastColumn="0" w:oddVBand="0" w:evenVBand="0" w:oddHBand="0" w:evenHBand="0" w:firstRowFirstColumn="0" w:firstRowLastColumn="0" w:lastRowFirstColumn="0" w:lastRowLastColumn="0"/>
              <w:rPr>
                <w:rFonts w:ascii="Aptos" w:hAnsi="Aptos"/>
                <w:sz w:val="20"/>
                <w:szCs w:val="20"/>
                <w:lang w:val="bg-BG"/>
              </w:rPr>
            </w:pPr>
            <w:proofErr w:type="spellStart"/>
            <w:r w:rsidRPr="006F3533">
              <w:rPr>
                <w:rFonts w:ascii="Aptos" w:hAnsi="Aptos"/>
                <w:sz w:val="20"/>
                <w:szCs w:val="20"/>
                <w:lang w:val="bg-BG"/>
              </w:rPr>
              <w:t>Year</w:t>
            </w:r>
            <w:proofErr w:type="spellEnd"/>
            <w:r w:rsidRPr="006F3533">
              <w:rPr>
                <w:rFonts w:ascii="Aptos" w:hAnsi="Aptos"/>
                <w:sz w:val="20"/>
                <w:szCs w:val="20"/>
                <w:lang w:val="bg-BG"/>
              </w:rPr>
              <w:t xml:space="preserve"> 2025</w:t>
            </w:r>
          </w:p>
          <w:p w14:paraId="091F6E22" w14:textId="77777777" w:rsidR="00E6313A" w:rsidRPr="006F3533" w:rsidRDefault="00E6313A" w:rsidP="00541E06">
            <w:pPr>
              <w:pStyle w:val="NormalWeb"/>
              <w:spacing w:beforeAutospacing="0" w:afterAutospacing="0"/>
              <w:jc w:val="both"/>
              <w:cnfStyle w:val="100000000000" w:firstRow="1" w:lastRow="0" w:firstColumn="0" w:lastColumn="0" w:oddVBand="0" w:evenVBand="0" w:oddHBand="0" w:evenHBand="0" w:firstRowFirstColumn="0" w:firstRowLastColumn="0" w:lastRowFirstColumn="0" w:lastRowLastColumn="0"/>
              <w:rPr>
                <w:rFonts w:ascii="Aptos" w:hAnsi="Aptos"/>
                <w:sz w:val="20"/>
                <w:szCs w:val="20"/>
                <w:lang w:val="bg-BG"/>
              </w:rPr>
            </w:pPr>
            <w:r w:rsidRPr="006F3533">
              <w:rPr>
                <w:rFonts w:ascii="Aptos" w:hAnsi="Aptos"/>
                <w:sz w:val="20"/>
                <w:szCs w:val="20"/>
                <w:lang w:val="bg-BG"/>
              </w:rPr>
              <w:lastRenderedPageBreak/>
              <w:t>(m²)</w:t>
            </w:r>
          </w:p>
        </w:tc>
        <w:tc>
          <w:tcPr>
            <w:tcW w:w="1200" w:type="pct"/>
          </w:tcPr>
          <w:p w14:paraId="15D0D47D"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eastAsia="Calibri" w:cs="Times New Roman"/>
                <w:sz w:val="20"/>
                <w:szCs w:val="20"/>
                <w:lang w:val="bg-BG" w:bidi="ar"/>
              </w:rPr>
              <w:lastRenderedPageBreak/>
              <w:t>Cumulative</w:t>
            </w:r>
            <w:proofErr w:type="spellEnd"/>
            <w:r w:rsidRPr="006F3533">
              <w:rPr>
                <w:rFonts w:eastAsia="Calibri" w:cs="Times New Roman"/>
                <w:sz w:val="20"/>
                <w:szCs w:val="20"/>
                <w:lang w:val="bg-BG" w:bidi="ar"/>
              </w:rPr>
              <w:t xml:space="preserve"> </w:t>
            </w:r>
            <w:proofErr w:type="spellStart"/>
            <w:r w:rsidRPr="006F3533">
              <w:rPr>
                <w:rFonts w:eastAsia="Calibri" w:cs="Times New Roman"/>
                <w:sz w:val="20"/>
                <w:szCs w:val="20"/>
                <w:lang w:val="bg-BG" w:bidi="ar"/>
              </w:rPr>
              <w:t>number</w:t>
            </w:r>
            <w:proofErr w:type="spellEnd"/>
            <w:r w:rsidRPr="006F3533">
              <w:rPr>
                <w:rFonts w:eastAsia="Calibri" w:cs="Times New Roman"/>
                <w:sz w:val="20"/>
                <w:szCs w:val="20"/>
                <w:lang w:val="bg-BG" w:bidi="ar"/>
              </w:rPr>
              <w:t xml:space="preserve"> </w:t>
            </w:r>
            <w:proofErr w:type="spellStart"/>
            <w:r w:rsidRPr="006F3533">
              <w:rPr>
                <w:rFonts w:eastAsia="Calibri" w:cs="Times New Roman"/>
                <w:sz w:val="20"/>
                <w:szCs w:val="20"/>
                <w:lang w:val="bg-BG" w:bidi="ar"/>
              </w:rPr>
              <w:t>of</w:t>
            </w:r>
            <w:proofErr w:type="spellEnd"/>
            <w:r w:rsidRPr="006F3533">
              <w:rPr>
                <w:rFonts w:eastAsia="Calibri" w:cs="Times New Roman"/>
                <w:sz w:val="20"/>
                <w:szCs w:val="20"/>
                <w:lang w:val="bg-BG" w:bidi="ar"/>
              </w:rPr>
              <w:t xml:space="preserve"> ZEB </w:t>
            </w:r>
            <w:proofErr w:type="spellStart"/>
            <w:r w:rsidRPr="006F3533">
              <w:rPr>
                <w:rFonts w:eastAsia="Calibri" w:cs="Times New Roman"/>
                <w:sz w:val="20"/>
                <w:szCs w:val="20"/>
                <w:lang w:val="bg-BG" w:bidi="ar"/>
              </w:rPr>
              <w:t>in</w:t>
            </w:r>
            <w:proofErr w:type="spellEnd"/>
          </w:p>
          <w:p w14:paraId="0774737D"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eastAsia="Calibri" w:cs="Times New Roman"/>
                <w:sz w:val="20"/>
                <w:szCs w:val="20"/>
                <w:lang w:val="bg-BG" w:bidi="ar"/>
              </w:rPr>
              <w:t>Year</w:t>
            </w:r>
            <w:proofErr w:type="spellEnd"/>
            <w:r w:rsidRPr="006F3533">
              <w:rPr>
                <w:rFonts w:eastAsia="Calibri" w:cs="Times New Roman"/>
                <w:sz w:val="20"/>
                <w:szCs w:val="20"/>
                <w:lang w:val="bg-BG" w:bidi="ar"/>
              </w:rPr>
              <w:t xml:space="preserve"> 2025</w:t>
            </w:r>
          </w:p>
          <w:p w14:paraId="197F3F1B" w14:textId="77777777" w:rsidR="00E6313A" w:rsidRPr="006F3533" w:rsidRDefault="00E6313A" w:rsidP="00541E06">
            <w:pPr>
              <w:pStyle w:val="ListParagraph"/>
              <w:ind w:left="0"/>
              <w:contextualSpacing w:val="0"/>
              <w:jc w:val="both"/>
              <w:cnfStyle w:val="100000000000" w:firstRow="1" w:lastRow="0" w:firstColumn="0" w:lastColumn="0" w:oddVBand="0" w:evenVBand="0" w:oddHBand="0" w:evenHBand="0" w:firstRowFirstColumn="0" w:firstRowLastColumn="0" w:lastRowFirstColumn="0" w:lastRowLastColumn="0"/>
              <w:rPr>
                <w:sz w:val="20"/>
                <w:szCs w:val="20"/>
                <w:lang w:val="bg-BG"/>
              </w:rPr>
            </w:pPr>
            <w:r w:rsidRPr="006F3533">
              <w:rPr>
                <w:rFonts w:cs="Times New Roman"/>
                <w:sz w:val="20"/>
                <w:szCs w:val="20"/>
                <w:lang w:val="bg-BG"/>
              </w:rPr>
              <w:t>(</w:t>
            </w:r>
            <w:proofErr w:type="spellStart"/>
            <w:r w:rsidRPr="006F3533">
              <w:rPr>
                <w:rFonts w:cs="Times New Roman"/>
                <w:sz w:val="20"/>
                <w:szCs w:val="20"/>
                <w:lang w:val="bg-BG"/>
              </w:rPr>
              <w:t>applicable</w:t>
            </w:r>
            <w:proofErr w:type="spellEnd"/>
            <w:r w:rsidRPr="006F3533">
              <w:rPr>
                <w:rFonts w:cs="Times New Roman"/>
                <w:sz w:val="20"/>
                <w:szCs w:val="20"/>
                <w:lang w:val="bg-BG"/>
              </w:rPr>
              <w:t xml:space="preserve"> </w:t>
            </w:r>
            <w:proofErr w:type="spellStart"/>
            <w:r w:rsidRPr="006F3533">
              <w:rPr>
                <w:rFonts w:cs="Times New Roman"/>
                <w:sz w:val="20"/>
                <w:szCs w:val="20"/>
                <w:lang w:val="bg-BG"/>
              </w:rPr>
              <w:t>from</w:t>
            </w:r>
            <w:proofErr w:type="spellEnd"/>
            <w:r w:rsidRPr="006F3533">
              <w:rPr>
                <w:rFonts w:cs="Times New Roman"/>
                <w:sz w:val="20"/>
                <w:szCs w:val="20"/>
                <w:lang w:val="bg-BG"/>
              </w:rPr>
              <w:t xml:space="preserve"> 2030 </w:t>
            </w:r>
            <w:proofErr w:type="spellStart"/>
            <w:r w:rsidRPr="006F3533">
              <w:rPr>
                <w:rFonts w:cs="Times New Roman"/>
                <w:sz w:val="20"/>
                <w:szCs w:val="20"/>
                <w:lang w:val="bg-BG"/>
              </w:rPr>
              <w:t>onwards</w:t>
            </w:r>
            <w:proofErr w:type="spellEnd"/>
            <w:r w:rsidRPr="006F3533">
              <w:rPr>
                <w:rFonts w:cs="Times New Roman"/>
                <w:sz w:val="20"/>
                <w:szCs w:val="20"/>
                <w:lang w:val="bg-BG"/>
              </w:rPr>
              <w:t>)</w:t>
            </w:r>
          </w:p>
        </w:tc>
        <w:tc>
          <w:tcPr>
            <w:tcW w:w="1150" w:type="pct"/>
          </w:tcPr>
          <w:p w14:paraId="41A4A73B"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eastAsia="Calibri" w:cs="Times New Roman"/>
                <w:sz w:val="20"/>
                <w:szCs w:val="20"/>
                <w:lang w:val="bg-BG" w:bidi="ar"/>
              </w:rPr>
              <w:t>Cumulative</w:t>
            </w:r>
            <w:proofErr w:type="spellEnd"/>
            <w:r w:rsidRPr="006F3533">
              <w:rPr>
                <w:rFonts w:eastAsia="Calibri" w:cs="Times New Roman"/>
                <w:sz w:val="20"/>
                <w:szCs w:val="20"/>
                <w:lang w:val="bg-BG" w:bidi="ar"/>
              </w:rPr>
              <w:t xml:space="preserve"> </w:t>
            </w:r>
            <w:proofErr w:type="spellStart"/>
            <w:r w:rsidRPr="006F3533">
              <w:rPr>
                <w:rFonts w:eastAsia="Calibri" w:cs="Times New Roman"/>
                <w:sz w:val="20"/>
                <w:szCs w:val="20"/>
                <w:lang w:val="bg-BG" w:bidi="ar"/>
              </w:rPr>
              <w:t>floor</w:t>
            </w:r>
            <w:proofErr w:type="spellEnd"/>
            <w:r w:rsidRPr="006F3533">
              <w:rPr>
                <w:rFonts w:eastAsia="Calibri" w:cs="Times New Roman"/>
                <w:sz w:val="20"/>
                <w:szCs w:val="20"/>
                <w:lang w:val="bg-BG" w:bidi="ar"/>
              </w:rPr>
              <w:t xml:space="preserve"> </w:t>
            </w:r>
            <w:proofErr w:type="spellStart"/>
            <w:r w:rsidRPr="006F3533">
              <w:rPr>
                <w:rFonts w:eastAsia="Calibri" w:cs="Times New Roman"/>
                <w:sz w:val="20"/>
                <w:szCs w:val="20"/>
                <w:lang w:val="bg-BG" w:bidi="ar"/>
              </w:rPr>
              <w:t>area</w:t>
            </w:r>
            <w:proofErr w:type="spellEnd"/>
            <w:r w:rsidRPr="006F3533">
              <w:rPr>
                <w:rFonts w:eastAsia="Calibri" w:cs="Times New Roman"/>
                <w:sz w:val="20"/>
                <w:szCs w:val="20"/>
                <w:lang w:val="bg-BG" w:bidi="ar"/>
              </w:rPr>
              <w:t xml:space="preserve"> </w:t>
            </w:r>
            <w:proofErr w:type="spellStart"/>
            <w:r w:rsidRPr="006F3533">
              <w:rPr>
                <w:rFonts w:eastAsia="Calibri" w:cs="Times New Roman"/>
                <w:sz w:val="20"/>
                <w:szCs w:val="20"/>
                <w:lang w:val="bg-BG" w:bidi="ar"/>
              </w:rPr>
              <w:t>of</w:t>
            </w:r>
            <w:proofErr w:type="spellEnd"/>
            <w:r w:rsidRPr="006F3533">
              <w:rPr>
                <w:rFonts w:eastAsia="Calibri" w:cs="Times New Roman"/>
                <w:sz w:val="20"/>
                <w:szCs w:val="20"/>
                <w:lang w:val="bg-BG" w:bidi="ar"/>
              </w:rPr>
              <w:t xml:space="preserve"> ZEB </w:t>
            </w:r>
            <w:proofErr w:type="spellStart"/>
            <w:r w:rsidRPr="006F3533">
              <w:rPr>
                <w:rFonts w:eastAsia="Calibri" w:cs="Times New Roman"/>
                <w:sz w:val="20"/>
                <w:szCs w:val="20"/>
                <w:lang w:val="bg-BG" w:bidi="ar"/>
              </w:rPr>
              <w:t>in</w:t>
            </w:r>
            <w:proofErr w:type="spellEnd"/>
            <w:r w:rsidRPr="006F3533">
              <w:rPr>
                <w:rFonts w:eastAsia="Calibri" w:cs="Times New Roman"/>
                <w:sz w:val="20"/>
                <w:szCs w:val="20"/>
                <w:lang w:val="bg-BG" w:bidi="ar"/>
              </w:rPr>
              <w:t xml:space="preserve"> </w:t>
            </w:r>
            <w:proofErr w:type="spellStart"/>
            <w:r w:rsidRPr="006F3533">
              <w:rPr>
                <w:rFonts w:eastAsia="Calibri" w:cs="Times New Roman"/>
                <w:sz w:val="20"/>
                <w:szCs w:val="20"/>
                <w:lang w:val="bg-BG" w:bidi="ar"/>
              </w:rPr>
              <w:t>Year</w:t>
            </w:r>
            <w:proofErr w:type="spellEnd"/>
            <w:r w:rsidRPr="006F3533">
              <w:rPr>
                <w:rFonts w:eastAsia="Calibri" w:cs="Times New Roman"/>
                <w:sz w:val="20"/>
                <w:szCs w:val="20"/>
                <w:lang w:val="bg-BG" w:bidi="ar"/>
              </w:rPr>
              <w:t xml:space="preserve"> 2025 </w:t>
            </w:r>
          </w:p>
          <w:p w14:paraId="64B053A7"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eastAsia="Calibri" w:cs="Times New Roman"/>
                <w:sz w:val="20"/>
                <w:szCs w:val="20"/>
                <w:lang w:val="bg-BG" w:bidi="ar"/>
              </w:rPr>
              <w:t>(m²)</w:t>
            </w:r>
          </w:p>
          <w:p w14:paraId="5B8629F9" w14:textId="77777777" w:rsidR="00E6313A" w:rsidRPr="006F3533" w:rsidRDefault="00E6313A" w:rsidP="00541E06">
            <w:pPr>
              <w:pStyle w:val="ListParagraph"/>
              <w:ind w:left="0"/>
              <w:contextualSpacing w:val="0"/>
              <w:jc w:val="both"/>
              <w:cnfStyle w:val="100000000000" w:firstRow="1" w:lastRow="0" w:firstColumn="0" w:lastColumn="0" w:oddVBand="0" w:evenVBand="0" w:oddHBand="0" w:evenHBand="0" w:firstRowFirstColumn="0" w:firstRowLastColumn="0" w:lastRowFirstColumn="0" w:lastRowLastColumn="0"/>
              <w:rPr>
                <w:sz w:val="20"/>
                <w:szCs w:val="20"/>
                <w:lang w:val="bg-BG"/>
              </w:rPr>
            </w:pPr>
            <w:r w:rsidRPr="006F3533">
              <w:rPr>
                <w:rFonts w:cs="Times New Roman"/>
                <w:sz w:val="20"/>
                <w:szCs w:val="20"/>
                <w:lang w:val="bg-BG"/>
              </w:rPr>
              <w:t>(</w:t>
            </w:r>
            <w:proofErr w:type="spellStart"/>
            <w:r w:rsidRPr="006F3533">
              <w:rPr>
                <w:rFonts w:cs="Times New Roman"/>
                <w:sz w:val="20"/>
                <w:szCs w:val="20"/>
                <w:lang w:val="bg-BG"/>
              </w:rPr>
              <w:t>applicable</w:t>
            </w:r>
            <w:proofErr w:type="spellEnd"/>
            <w:r w:rsidRPr="006F3533">
              <w:rPr>
                <w:rFonts w:cs="Times New Roman"/>
                <w:sz w:val="20"/>
                <w:szCs w:val="20"/>
                <w:lang w:val="bg-BG"/>
              </w:rPr>
              <w:t xml:space="preserve"> </w:t>
            </w:r>
            <w:proofErr w:type="spellStart"/>
            <w:r w:rsidRPr="006F3533">
              <w:rPr>
                <w:rFonts w:cs="Times New Roman"/>
                <w:sz w:val="20"/>
                <w:szCs w:val="20"/>
                <w:lang w:val="bg-BG"/>
              </w:rPr>
              <w:t>from</w:t>
            </w:r>
            <w:proofErr w:type="spellEnd"/>
            <w:r w:rsidRPr="006F3533">
              <w:rPr>
                <w:rFonts w:cs="Times New Roman"/>
                <w:sz w:val="20"/>
                <w:szCs w:val="20"/>
                <w:lang w:val="bg-BG"/>
              </w:rPr>
              <w:t xml:space="preserve"> 2030 </w:t>
            </w:r>
            <w:proofErr w:type="spellStart"/>
            <w:r w:rsidRPr="006F3533">
              <w:rPr>
                <w:rFonts w:cs="Times New Roman"/>
                <w:sz w:val="20"/>
                <w:szCs w:val="20"/>
                <w:lang w:val="bg-BG"/>
              </w:rPr>
              <w:t>onwards</w:t>
            </w:r>
            <w:proofErr w:type="spellEnd"/>
            <w:r w:rsidRPr="006F3533">
              <w:rPr>
                <w:rFonts w:cs="Times New Roman"/>
                <w:sz w:val="20"/>
                <w:szCs w:val="20"/>
                <w:lang w:val="bg-BG"/>
              </w:rPr>
              <w:t>)</w:t>
            </w:r>
          </w:p>
        </w:tc>
      </w:tr>
      <w:tr w:rsidR="00E6313A" w:rsidRPr="006F3533" w14:paraId="2B6AA1B3"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0" w:type="pct"/>
          </w:tcPr>
          <w:p w14:paraId="701FB1A6" w14:textId="77777777" w:rsidR="00E6313A" w:rsidRPr="006F3533" w:rsidRDefault="00E6313A" w:rsidP="00541E06">
            <w:pPr>
              <w:pStyle w:val="NormalWeb"/>
              <w:spacing w:beforeAutospacing="0" w:afterAutospacing="0"/>
              <w:jc w:val="both"/>
              <w:rPr>
                <w:rFonts w:ascii="Aptos" w:hAnsi="Aptos"/>
                <w:sz w:val="20"/>
                <w:szCs w:val="20"/>
                <w:lang w:val="bg-BG"/>
              </w:rPr>
            </w:pPr>
            <w:r w:rsidRPr="006F3533">
              <w:rPr>
                <w:rFonts w:ascii="Aptos" w:hAnsi="Aptos"/>
                <w:sz w:val="20"/>
                <w:szCs w:val="20"/>
                <w:lang w:val="bg-BG"/>
              </w:rPr>
              <w:t>New</w:t>
            </w:r>
          </w:p>
        </w:tc>
        <w:tc>
          <w:tcPr>
            <w:tcW w:w="850" w:type="pct"/>
          </w:tcPr>
          <w:p w14:paraId="0AEF0E6A" w14:textId="77777777" w:rsidR="00E6313A" w:rsidRPr="006F3533" w:rsidRDefault="00E6313A" w:rsidP="00541E06">
            <w:pPr>
              <w:pStyle w:val="NormalWeb"/>
              <w:spacing w:beforeAutospacing="0" w:afterAutospacing="0"/>
              <w:jc w:val="both"/>
              <w:cnfStyle w:val="000000100000" w:firstRow="0" w:lastRow="0" w:firstColumn="0" w:lastColumn="0" w:oddVBand="0" w:evenVBand="0" w:oddHBand="1" w:evenHBand="0" w:firstRowFirstColumn="0" w:firstRowLastColumn="0" w:lastRowFirstColumn="0" w:lastRowLastColumn="0"/>
              <w:rPr>
                <w:rFonts w:ascii="Aptos" w:hAnsi="Aptos"/>
                <w:sz w:val="20"/>
                <w:szCs w:val="20"/>
                <w:lang w:val="bg-BG"/>
              </w:rPr>
            </w:pPr>
            <w:proofErr w:type="spellStart"/>
            <w:r w:rsidRPr="006F3533">
              <w:rPr>
                <w:rFonts w:ascii="Aptos" w:hAnsi="Aptos"/>
                <w:sz w:val="20"/>
                <w:szCs w:val="20"/>
                <w:lang w:val="bg-BG"/>
              </w:rPr>
              <w:t>n.a</w:t>
            </w:r>
            <w:proofErr w:type="spellEnd"/>
          </w:p>
        </w:tc>
        <w:tc>
          <w:tcPr>
            <w:tcW w:w="900" w:type="pct"/>
          </w:tcPr>
          <w:p w14:paraId="1008BB92" w14:textId="77777777" w:rsidR="00E6313A" w:rsidRPr="006F3533" w:rsidRDefault="00E6313A" w:rsidP="00541E06">
            <w:pPr>
              <w:pStyle w:val="NormalWeb"/>
              <w:spacing w:beforeAutospacing="0" w:afterAutospacing="0"/>
              <w:jc w:val="both"/>
              <w:cnfStyle w:val="000000100000" w:firstRow="0" w:lastRow="0" w:firstColumn="0" w:lastColumn="0" w:oddVBand="0" w:evenVBand="0" w:oddHBand="1" w:evenHBand="0" w:firstRowFirstColumn="0" w:firstRowLastColumn="0" w:lastRowFirstColumn="0" w:lastRowLastColumn="0"/>
              <w:rPr>
                <w:rFonts w:ascii="Aptos" w:hAnsi="Aptos"/>
                <w:sz w:val="20"/>
                <w:szCs w:val="20"/>
                <w:lang w:val="bg-BG"/>
              </w:rPr>
            </w:pPr>
            <w:proofErr w:type="spellStart"/>
            <w:r w:rsidRPr="006F3533">
              <w:rPr>
                <w:rFonts w:ascii="Aptos" w:hAnsi="Aptos"/>
                <w:sz w:val="20"/>
                <w:szCs w:val="20"/>
                <w:lang w:val="bg-BG"/>
              </w:rPr>
              <w:t>n.a</w:t>
            </w:r>
            <w:proofErr w:type="spellEnd"/>
          </w:p>
        </w:tc>
        <w:tc>
          <w:tcPr>
            <w:tcW w:w="1200" w:type="pct"/>
          </w:tcPr>
          <w:p w14:paraId="3A109952" w14:textId="77777777" w:rsidR="00E6313A" w:rsidRPr="006F3533" w:rsidRDefault="00E6313A" w:rsidP="00541E06">
            <w:pPr>
              <w:pStyle w:val="NormalWeb"/>
              <w:spacing w:beforeAutospacing="0" w:afterAutospacing="0"/>
              <w:jc w:val="both"/>
              <w:cnfStyle w:val="000000100000" w:firstRow="0" w:lastRow="0" w:firstColumn="0" w:lastColumn="0" w:oddVBand="0" w:evenVBand="0" w:oddHBand="1" w:evenHBand="0" w:firstRowFirstColumn="0" w:firstRowLastColumn="0" w:lastRowFirstColumn="0" w:lastRowLastColumn="0"/>
              <w:rPr>
                <w:rFonts w:ascii="Aptos" w:hAnsi="Aptos"/>
                <w:sz w:val="20"/>
                <w:szCs w:val="20"/>
                <w:lang w:val="bg-BG"/>
              </w:rPr>
            </w:pPr>
            <w:r w:rsidRPr="006F3533">
              <w:rPr>
                <w:rFonts w:ascii="Aptos" w:hAnsi="Aptos"/>
                <w:sz w:val="20"/>
                <w:szCs w:val="20"/>
                <w:lang w:val="bg-BG"/>
              </w:rPr>
              <w:t>0</w:t>
            </w:r>
          </w:p>
        </w:tc>
        <w:tc>
          <w:tcPr>
            <w:tcW w:w="1150" w:type="pct"/>
          </w:tcPr>
          <w:p w14:paraId="29D6AAFE" w14:textId="77777777" w:rsidR="00E6313A" w:rsidRPr="006F3533" w:rsidRDefault="00E6313A" w:rsidP="00541E06">
            <w:pPr>
              <w:pStyle w:val="NormalWeb"/>
              <w:spacing w:beforeAutospacing="0" w:afterAutospacing="0"/>
              <w:jc w:val="both"/>
              <w:cnfStyle w:val="000000100000" w:firstRow="0" w:lastRow="0" w:firstColumn="0" w:lastColumn="0" w:oddVBand="0" w:evenVBand="0" w:oddHBand="1" w:evenHBand="0" w:firstRowFirstColumn="0" w:firstRowLastColumn="0" w:lastRowFirstColumn="0" w:lastRowLastColumn="0"/>
              <w:rPr>
                <w:rFonts w:ascii="Aptos" w:hAnsi="Aptos"/>
                <w:sz w:val="20"/>
                <w:szCs w:val="20"/>
                <w:lang w:val="bg-BG"/>
              </w:rPr>
            </w:pPr>
            <w:r w:rsidRPr="006F3533">
              <w:rPr>
                <w:rFonts w:ascii="Aptos" w:hAnsi="Aptos"/>
                <w:sz w:val="20"/>
                <w:szCs w:val="20"/>
                <w:lang w:val="bg-BG"/>
              </w:rPr>
              <w:t>0</w:t>
            </w:r>
          </w:p>
        </w:tc>
      </w:tr>
      <w:tr w:rsidR="00E6313A" w:rsidRPr="006F3533" w14:paraId="46CA5AA0"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750" w:type="pct"/>
          </w:tcPr>
          <w:p w14:paraId="34CA182F" w14:textId="77777777" w:rsidR="00E6313A" w:rsidRPr="006F3533" w:rsidRDefault="00E6313A" w:rsidP="00541E06">
            <w:pPr>
              <w:pStyle w:val="NormalWeb"/>
              <w:spacing w:beforeAutospacing="0" w:afterAutospacing="0"/>
              <w:jc w:val="both"/>
              <w:rPr>
                <w:rFonts w:ascii="Aptos" w:hAnsi="Aptos"/>
                <w:sz w:val="20"/>
                <w:szCs w:val="20"/>
                <w:lang w:val="bg-BG"/>
              </w:rPr>
            </w:pPr>
            <w:proofErr w:type="spellStart"/>
            <w:r w:rsidRPr="006F3533">
              <w:rPr>
                <w:rFonts w:ascii="Aptos" w:hAnsi="Aptos"/>
                <w:sz w:val="20"/>
                <w:szCs w:val="20"/>
                <w:lang w:val="bg-BG"/>
              </w:rPr>
              <w:t>Renovated</w:t>
            </w:r>
            <w:proofErr w:type="spellEnd"/>
            <w:r w:rsidRPr="006F3533">
              <w:rPr>
                <w:rFonts w:ascii="Aptos" w:hAnsi="Aptos"/>
                <w:sz w:val="20"/>
                <w:szCs w:val="20"/>
                <w:lang w:val="bg-BG"/>
              </w:rPr>
              <w:t xml:space="preserve"> </w:t>
            </w:r>
          </w:p>
          <w:p w14:paraId="480E99D7" w14:textId="77777777" w:rsidR="00E6313A" w:rsidRPr="006F3533" w:rsidRDefault="00E6313A" w:rsidP="00541E06">
            <w:pPr>
              <w:pStyle w:val="NormalWeb"/>
              <w:spacing w:beforeAutospacing="0" w:afterAutospacing="0"/>
              <w:jc w:val="both"/>
              <w:rPr>
                <w:rFonts w:ascii="Aptos" w:hAnsi="Aptos"/>
                <w:sz w:val="20"/>
                <w:szCs w:val="20"/>
                <w:lang w:val="bg-BG"/>
              </w:rPr>
            </w:pPr>
            <w:r w:rsidRPr="006F3533">
              <w:rPr>
                <w:rFonts w:ascii="Aptos" w:hAnsi="Aptos"/>
                <w:sz w:val="20"/>
                <w:szCs w:val="20"/>
                <w:lang w:val="bg-BG"/>
              </w:rPr>
              <w:t>(</w:t>
            </w:r>
            <w:proofErr w:type="spellStart"/>
            <w:r w:rsidRPr="006F3533">
              <w:rPr>
                <w:rFonts w:ascii="Aptos" w:hAnsi="Aptos"/>
                <w:sz w:val="20"/>
                <w:szCs w:val="20"/>
                <w:lang w:val="bg-BG"/>
              </w:rPr>
              <w:t>if</w:t>
            </w:r>
            <w:proofErr w:type="spellEnd"/>
            <w:r w:rsidRPr="006F3533">
              <w:rPr>
                <w:rFonts w:ascii="Aptos" w:hAnsi="Aptos"/>
                <w:sz w:val="20"/>
                <w:szCs w:val="20"/>
                <w:lang w:val="bg-BG"/>
              </w:rPr>
              <w:t xml:space="preserve"> </w:t>
            </w:r>
            <w:proofErr w:type="spellStart"/>
            <w:r w:rsidRPr="006F3533">
              <w:rPr>
                <w:rFonts w:ascii="Aptos" w:hAnsi="Aptos"/>
                <w:sz w:val="20"/>
                <w:szCs w:val="20"/>
                <w:lang w:val="bg-BG"/>
              </w:rPr>
              <w:t>any</w:t>
            </w:r>
            <w:proofErr w:type="spellEnd"/>
            <w:r w:rsidRPr="006F3533">
              <w:rPr>
                <w:rFonts w:ascii="Aptos" w:hAnsi="Aptos"/>
                <w:sz w:val="20"/>
                <w:szCs w:val="20"/>
                <w:lang w:val="bg-BG"/>
              </w:rPr>
              <w:t>)</w:t>
            </w:r>
          </w:p>
        </w:tc>
        <w:tc>
          <w:tcPr>
            <w:tcW w:w="850" w:type="pct"/>
          </w:tcPr>
          <w:p w14:paraId="7330B3FB" w14:textId="77777777" w:rsidR="00E6313A" w:rsidRPr="006F3533" w:rsidRDefault="00E6313A" w:rsidP="00541E06">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Aptos" w:hAnsi="Aptos"/>
                <w:sz w:val="20"/>
                <w:szCs w:val="20"/>
                <w:lang w:val="bg-BG"/>
              </w:rPr>
            </w:pPr>
            <w:r w:rsidRPr="006F3533">
              <w:rPr>
                <w:rFonts w:ascii="Aptos" w:hAnsi="Aptos"/>
                <w:sz w:val="20"/>
                <w:szCs w:val="20"/>
                <w:lang w:val="bg-BG"/>
              </w:rPr>
              <w:t>44</w:t>
            </w:r>
          </w:p>
        </w:tc>
        <w:tc>
          <w:tcPr>
            <w:tcW w:w="900" w:type="pct"/>
          </w:tcPr>
          <w:p w14:paraId="2E758D16" w14:textId="77777777" w:rsidR="00E6313A" w:rsidRPr="006F3533" w:rsidRDefault="00E6313A" w:rsidP="00541E06">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Aptos" w:hAnsi="Aptos"/>
                <w:sz w:val="20"/>
                <w:szCs w:val="20"/>
                <w:lang w:val="bg-BG"/>
              </w:rPr>
            </w:pPr>
            <w:r w:rsidRPr="006F3533">
              <w:rPr>
                <w:rFonts w:ascii="Aptos" w:hAnsi="Aptos"/>
                <w:sz w:val="20"/>
                <w:szCs w:val="20"/>
                <w:lang w:val="bg-BG"/>
              </w:rPr>
              <w:t>86 674</w:t>
            </w:r>
          </w:p>
        </w:tc>
        <w:tc>
          <w:tcPr>
            <w:tcW w:w="1200" w:type="pct"/>
          </w:tcPr>
          <w:p w14:paraId="6EB243DB" w14:textId="77777777" w:rsidR="00E6313A" w:rsidRPr="006F3533" w:rsidRDefault="00E6313A" w:rsidP="00541E06">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Aptos" w:hAnsi="Aptos"/>
                <w:sz w:val="20"/>
                <w:szCs w:val="20"/>
                <w:lang w:val="bg-BG"/>
              </w:rPr>
            </w:pPr>
            <w:r w:rsidRPr="006F3533">
              <w:rPr>
                <w:rFonts w:ascii="Aptos" w:hAnsi="Aptos"/>
                <w:sz w:val="20"/>
                <w:szCs w:val="20"/>
                <w:lang w:val="bg-BG"/>
              </w:rPr>
              <w:t>0</w:t>
            </w:r>
          </w:p>
        </w:tc>
        <w:tc>
          <w:tcPr>
            <w:tcW w:w="1150" w:type="pct"/>
          </w:tcPr>
          <w:p w14:paraId="47E2119C" w14:textId="77777777" w:rsidR="00E6313A" w:rsidRPr="006F3533" w:rsidRDefault="00E6313A" w:rsidP="00541E06">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Aptos" w:hAnsi="Aptos"/>
                <w:sz w:val="20"/>
                <w:szCs w:val="20"/>
                <w:lang w:val="bg-BG"/>
              </w:rPr>
            </w:pPr>
            <w:r w:rsidRPr="006F3533">
              <w:rPr>
                <w:rFonts w:ascii="Aptos" w:hAnsi="Aptos"/>
                <w:sz w:val="20"/>
                <w:szCs w:val="20"/>
                <w:lang w:val="bg-BG"/>
              </w:rPr>
              <w:t>0</w:t>
            </w:r>
          </w:p>
        </w:tc>
      </w:tr>
      <w:tr w:rsidR="00E6313A" w:rsidRPr="006F3533" w14:paraId="02CF797A"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0" w:type="pct"/>
          </w:tcPr>
          <w:p w14:paraId="5C037481" w14:textId="77777777" w:rsidR="00E6313A" w:rsidRPr="006F3533" w:rsidRDefault="00E6313A" w:rsidP="00541E06">
            <w:pPr>
              <w:pStyle w:val="NormalWeb"/>
              <w:spacing w:beforeAutospacing="0" w:afterAutospacing="0"/>
              <w:jc w:val="both"/>
              <w:rPr>
                <w:rFonts w:ascii="Aptos" w:hAnsi="Aptos"/>
                <w:sz w:val="20"/>
                <w:szCs w:val="20"/>
                <w:lang w:val="bg-BG"/>
              </w:rPr>
            </w:pPr>
            <w:r w:rsidRPr="006F3533">
              <w:rPr>
                <w:rFonts w:ascii="Aptos" w:hAnsi="Aptos"/>
                <w:sz w:val="20"/>
                <w:szCs w:val="20"/>
                <w:lang w:val="bg-BG"/>
              </w:rPr>
              <w:t>Total</w:t>
            </w:r>
          </w:p>
        </w:tc>
        <w:tc>
          <w:tcPr>
            <w:tcW w:w="850" w:type="pct"/>
          </w:tcPr>
          <w:p w14:paraId="0B99648A" w14:textId="77777777" w:rsidR="00E6313A" w:rsidRPr="006F3533" w:rsidRDefault="00E6313A" w:rsidP="00541E06">
            <w:pPr>
              <w:pStyle w:val="NormalWeb"/>
              <w:spacing w:beforeAutospacing="0" w:afterAutospacing="0"/>
              <w:jc w:val="both"/>
              <w:cnfStyle w:val="000000100000" w:firstRow="0" w:lastRow="0" w:firstColumn="0" w:lastColumn="0" w:oddVBand="0" w:evenVBand="0" w:oddHBand="1" w:evenHBand="0" w:firstRowFirstColumn="0" w:firstRowLastColumn="0" w:lastRowFirstColumn="0" w:lastRowLastColumn="0"/>
              <w:rPr>
                <w:rFonts w:ascii="Aptos" w:hAnsi="Aptos"/>
                <w:color w:val="0070C0"/>
                <w:sz w:val="20"/>
                <w:szCs w:val="20"/>
                <w:lang w:val="bg-BG"/>
              </w:rPr>
            </w:pPr>
            <w:r w:rsidRPr="006F3533">
              <w:rPr>
                <w:rFonts w:ascii="Aptos" w:hAnsi="Aptos"/>
                <w:color w:val="0070C0"/>
                <w:sz w:val="20"/>
                <w:szCs w:val="20"/>
                <w:lang w:val="bg-BG"/>
              </w:rPr>
              <w:t>44</w:t>
            </w:r>
          </w:p>
        </w:tc>
        <w:tc>
          <w:tcPr>
            <w:tcW w:w="900" w:type="pct"/>
          </w:tcPr>
          <w:p w14:paraId="16B2B649" w14:textId="77777777" w:rsidR="00E6313A" w:rsidRPr="006F3533" w:rsidRDefault="00E6313A" w:rsidP="00541E06">
            <w:pPr>
              <w:pStyle w:val="NormalWeb"/>
              <w:spacing w:beforeAutospacing="0" w:afterAutospacing="0"/>
              <w:jc w:val="both"/>
              <w:cnfStyle w:val="000000100000" w:firstRow="0" w:lastRow="0" w:firstColumn="0" w:lastColumn="0" w:oddVBand="0" w:evenVBand="0" w:oddHBand="1" w:evenHBand="0" w:firstRowFirstColumn="0" w:firstRowLastColumn="0" w:lastRowFirstColumn="0" w:lastRowLastColumn="0"/>
              <w:rPr>
                <w:rFonts w:ascii="Aptos" w:hAnsi="Aptos"/>
                <w:color w:val="0070C0"/>
                <w:sz w:val="20"/>
                <w:szCs w:val="20"/>
                <w:lang w:val="bg-BG"/>
              </w:rPr>
            </w:pPr>
            <w:r w:rsidRPr="006F3533">
              <w:rPr>
                <w:rFonts w:ascii="Aptos" w:hAnsi="Aptos"/>
                <w:color w:val="0070C0"/>
                <w:sz w:val="20"/>
                <w:szCs w:val="20"/>
                <w:lang w:val="bg-BG"/>
              </w:rPr>
              <w:t>86 674</w:t>
            </w:r>
          </w:p>
        </w:tc>
        <w:tc>
          <w:tcPr>
            <w:tcW w:w="1200" w:type="pct"/>
          </w:tcPr>
          <w:p w14:paraId="6107D22E" w14:textId="77777777" w:rsidR="00E6313A" w:rsidRPr="006F3533" w:rsidRDefault="00E6313A" w:rsidP="00541E06">
            <w:pPr>
              <w:pStyle w:val="NormalWeb"/>
              <w:spacing w:beforeAutospacing="0" w:afterAutospacing="0"/>
              <w:jc w:val="both"/>
              <w:cnfStyle w:val="000000100000" w:firstRow="0" w:lastRow="0" w:firstColumn="0" w:lastColumn="0" w:oddVBand="0" w:evenVBand="0" w:oddHBand="1" w:evenHBand="0" w:firstRowFirstColumn="0" w:firstRowLastColumn="0" w:lastRowFirstColumn="0" w:lastRowLastColumn="0"/>
              <w:rPr>
                <w:rFonts w:ascii="Aptos" w:hAnsi="Aptos"/>
                <w:color w:val="0070C0"/>
                <w:sz w:val="20"/>
                <w:szCs w:val="20"/>
                <w:lang w:val="bg-BG"/>
              </w:rPr>
            </w:pPr>
            <w:r w:rsidRPr="006F3533">
              <w:rPr>
                <w:rFonts w:ascii="Aptos" w:hAnsi="Aptos"/>
                <w:color w:val="0070C0"/>
                <w:sz w:val="20"/>
                <w:szCs w:val="20"/>
                <w:lang w:val="bg-BG"/>
              </w:rPr>
              <w:t>0</w:t>
            </w:r>
          </w:p>
        </w:tc>
        <w:tc>
          <w:tcPr>
            <w:tcW w:w="1150" w:type="pct"/>
          </w:tcPr>
          <w:p w14:paraId="04170961" w14:textId="77777777" w:rsidR="00E6313A" w:rsidRPr="006F3533" w:rsidRDefault="00E6313A" w:rsidP="00541E06">
            <w:pPr>
              <w:pStyle w:val="NormalWeb"/>
              <w:spacing w:beforeAutospacing="0" w:afterAutospacing="0"/>
              <w:jc w:val="both"/>
              <w:cnfStyle w:val="000000100000" w:firstRow="0" w:lastRow="0" w:firstColumn="0" w:lastColumn="0" w:oddVBand="0" w:evenVBand="0" w:oddHBand="1" w:evenHBand="0" w:firstRowFirstColumn="0" w:firstRowLastColumn="0" w:lastRowFirstColumn="0" w:lastRowLastColumn="0"/>
              <w:rPr>
                <w:rFonts w:ascii="Aptos" w:hAnsi="Aptos"/>
                <w:color w:val="0070C0"/>
                <w:sz w:val="20"/>
                <w:szCs w:val="20"/>
                <w:lang w:val="bg-BG"/>
              </w:rPr>
            </w:pPr>
            <w:r w:rsidRPr="006F3533">
              <w:rPr>
                <w:rFonts w:ascii="Aptos" w:hAnsi="Aptos"/>
                <w:color w:val="0070C0"/>
                <w:sz w:val="20"/>
                <w:szCs w:val="20"/>
                <w:lang w:val="bg-BG"/>
              </w:rPr>
              <w:t>0</w:t>
            </w:r>
          </w:p>
        </w:tc>
      </w:tr>
    </w:tbl>
    <w:p w14:paraId="6C73E960"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База данни АУЕР, 2025 г.</w:t>
      </w:r>
    </w:p>
    <w:p w14:paraId="35CD0096" w14:textId="77777777" w:rsidR="00E6313A" w:rsidRPr="006F3533" w:rsidRDefault="00E6313A" w:rsidP="00E6313A">
      <w:pPr>
        <w:spacing w:beforeAutospacing="1" w:afterAutospacing="1"/>
        <w:jc w:val="both"/>
        <w:rPr>
          <w:rFonts w:eastAsia="Times New Roman" w:cs="Times New Roman"/>
          <w:szCs w:val="24"/>
          <w:lang w:val="bg-BG" w:bidi="ar"/>
        </w:rPr>
      </w:pPr>
    </w:p>
    <w:p w14:paraId="149C5CE0" w14:textId="77777777" w:rsidR="00E6313A" w:rsidRPr="006F3533" w:rsidRDefault="00E6313A" w:rsidP="00E6313A">
      <w:pPr>
        <w:spacing w:beforeAutospacing="1" w:afterAutospacing="1"/>
        <w:jc w:val="both"/>
        <w:rPr>
          <w:rFonts w:eastAsia="Times New Roman" w:cs="Times New Roman"/>
          <w:szCs w:val="24"/>
          <w:lang w:val="bg-BG" w:bidi="ar"/>
        </w:rPr>
      </w:pPr>
      <w:r w:rsidRPr="006F3533">
        <w:rPr>
          <w:rFonts w:eastAsia="Times New Roman" w:cs="Times New Roman"/>
          <w:szCs w:val="24"/>
          <w:lang w:val="bg-BG" w:bidi="ar"/>
        </w:rPr>
        <w:t>От общия брой сгради с близко до нулево потребление на енергия (44 бр.) 10 са жилищните сгради (с 13 140 м2 РЗП).</w:t>
      </w:r>
    </w:p>
    <w:p w14:paraId="4DA3C3CF"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bidi="ar"/>
        </w:rPr>
        <w:t>Представените в таблицата данни отразяват само сградите, за които е издаден сертификат за енергийни характеристики, удостоверяващ съответствие с изискванията за СБНПЕ. Те следва да се разглеждат като минимално потвърден обем на сградите, които отговарят на изискванията за СБНПЕ, а не като пълно представяне на всички нови сгради, построени след въвеждането на задължителното изискване.</w:t>
      </w:r>
    </w:p>
    <w:p w14:paraId="1E9BAC26"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bidi="ar"/>
        </w:rPr>
        <w:t>Данните от таблицата включват само съществуващи сгради, които са постигнали изискванията за СБНПЕ в резултат на дълбоко енергийно обновяване. Относително малкият брой и обща площ на отчетените СБНПЕ е отражение на ограничения обхват на наличните сертификационни данни и на факта, че процесът на въвеждане на новите изисквания за СБНПЕ за нови сгради е сравнително скорошен.</w:t>
      </w:r>
    </w:p>
    <w:p w14:paraId="55280060" w14:textId="77777777" w:rsidR="00E6313A" w:rsidRPr="006F3533" w:rsidRDefault="00E6313A" w:rsidP="00E6313A">
      <w:pPr>
        <w:pStyle w:val="Heading2"/>
        <w:jc w:val="both"/>
        <w:rPr>
          <w:lang w:val="bg-BG"/>
        </w:rPr>
      </w:pPr>
      <w:bookmarkStart w:id="74" w:name="_Toc217837103"/>
      <w:bookmarkStart w:id="75" w:name="_Toc217888761"/>
      <w:r w:rsidRPr="006F3533">
        <w:rPr>
          <w:lang w:val="bg-BG"/>
        </w:rPr>
        <w:t>Сгради с най-лоши енергийни характеристики (включително дефиниция)</w:t>
      </w:r>
      <w:bookmarkEnd w:id="74"/>
      <w:bookmarkEnd w:id="75"/>
      <w:r w:rsidRPr="006F3533">
        <w:rPr>
          <w:lang w:val="bg-BG"/>
        </w:rPr>
        <w:tab/>
      </w:r>
    </w:p>
    <w:p w14:paraId="7AA34328" w14:textId="77777777" w:rsidR="00E6313A" w:rsidRPr="007A72F2" w:rsidRDefault="00E6313A" w:rsidP="007A72F2">
      <w:pPr>
        <w:rPr>
          <w:b/>
          <w:bCs/>
          <w:lang w:val="bg-BG"/>
        </w:rPr>
      </w:pPr>
      <w:bookmarkStart w:id="76" w:name="_Toc217832147"/>
      <w:bookmarkStart w:id="77" w:name="_Toc217837104"/>
      <w:r w:rsidRPr="007A72F2">
        <w:rPr>
          <w:b/>
          <w:bCs/>
          <w:lang w:val="bg-BG"/>
        </w:rPr>
        <w:t>Дефиниция:</w:t>
      </w:r>
      <w:bookmarkEnd w:id="76"/>
      <w:bookmarkEnd w:id="77"/>
    </w:p>
    <w:tbl>
      <w:tblPr>
        <w:tblStyle w:val="TableGrid"/>
        <w:tblW w:w="0" w:type="auto"/>
        <w:tblLook w:val="04A0" w:firstRow="1" w:lastRow="0" w:firstColumn="1" w:lastColumn="0" w:noHBand="0" w:noVBand="1"/>
      </w:tblPr>
      <w:tblGrid>
        <w:gridCol w:w="9062"/>
      </w:tblGrid>
      <w:tr w:rsidR="00E6313A" w:rsidRPr="006F3533" w14:paraId="416EDAD6" w14:textId="77777777" w:rsidTr="00541E06">
        <w:tc>
          <w:tcPr>
            <w:tcW w:w="9350" w:type="dxa"/>
          </w:tcPr>
          <w:p w14:paraId="64543F07" w14:textId="77777777" w:rsidR="00E6313A" w:rsidRPr="006F3533" w:rsidRDefault="00E6313A" w:rsidP="007A72F2">
            <w:pPr>
              <w:spacing w:after="120"/>
              <w:rPr>
                <w:lang w:val="bg-BG"/>
              </w:rPr>
            </w:pPr>
            <w:bookmarkStart w:id="78" w:name="_Toc217832148"/>
            <w:bookmarkStart w:id="79" w:name="_Toc217837105"/>
            <w:r w:rsidRPr="006F3533">
              <w:rPr>
                <w:lang w:val="bg-BG"/>
              </w:rPr>
              <w:t>Жилищните  сгради с най-лоши енергийни характеристики са:</w:t>
            </w:r>
            <w:bookmarkEnd w:id="78"/>
            <w:bookmarkEnd w:id="79"/>
          </w:p>
          <w:p w14:paraId="0F02E628" w14:textId="70E60D61" w:rsidR="00E6313A" w:rsidRPr="006F3533" w:rsidRDefault="007A72F2" w:rsidP="007A72F2">
            <w:pPr>
              <w:spacing w:after="120"/>
              <w:rPr>
                <w:lang w:val="bg-BG"/>
              </w:rPr>
            </w:pPr>
            <w:bookmarkStart w:id="80" w:name="_Toc217832149"/>
            <w:bookmarkStart w:id="81" w:name="_Toc217837106"/>
            <w:r>
              <w:rPr>
                <w:lang w:val="bg-BG"/>
              </w:rPr>
              <w:t>А</w:t>
            </w:r>
            <w:r w:rsidR="00E6313A" w:rsidRPr="006F3533">
              <w:rPr>
                <w:lang w:val="bg-BG"/>
              </w:rPr>
              <w:t xml:space="preserve">) Многофамилните жилищни сгради попадащи в класове Е, F и G по скала на класовете за енергопотребление за МЖС – т.е. с разход на първична </w:t>
            </w:r>
            <w:proofErr w:type="spellStart"/>
            <w:r w:rsidR="00E6313A" w:rsidRPr="006F3533">
              <w:rPr>
                <w:lang w:val="bg-BG"/>
              </w:rPr>
              <w:t>невъзобновяема</w:t>
            </w:r>
            <w:proofErr w:type="spellEnd"/>
            <w:r w:rsidR="00E6313A" w:rsidRPr="006F3533">
              <w:rPr>
                <w:lang w:val="bg-BG"/>
              </w:rPr>
              <w:t xml:space="preserve"> енергия, надхвърлящ 290 </w:t>
            </w:r>
            <w:proofErr w:type="spellStart"/>
            <w:r w:rsidR="00E6313A" w:rsidRPr="006F3533">
              <w:rPr>
                <w:lang w:val="bg-BG"/>
              </w:rPr>
              <w:t>kWh</w:t>
            </w:r>
            <w:proofErr w:type="spellEnd"/>
            <w:r w:rsidR="00E6313A" w:rsidRPr="006F3533">
              <w:rPr>
                <w:lang w:val="bg-BG"/>
              </w:rPr>
              <w:t>/m2y;</w:t>
            </w:r>
            <w:bookmarkEnd w:id="80"/>
            <w:bookmarkEnd w:id="81"/>
          </w:p>
          <w:p w14:paraId="7D44549C" w14:textId="38186D1C" w:rsidR="00E6313A" w:rsidRPr="006F3533" w:rsidRDefault="007A72F2" w:rsidP="007A72F2">
            <w:pPr>
              <w:spacing w:after="120"/>
              <w:rPr>
                <w:lang w:val="bg-BG"/>
              </w:rPr>
            </w:pPr>
            <w:bookmarkStart w:id="82" w:name="_Toc217832150"/>
            <w:bookmarkStart w:id="83" w:name="_Toc217837107"/>
            <w:r>
              <w:rPr>
                <w:lang w:val="bg-BG"/>
              </w:rPr>
              <w:t>Б</w:t>
            </w:r>
            <w:r w:rsidR="00E6313A" w:rsidRPr="006F3533">
              <w:rPr>
                <w:lang w:val="bg-BG"/>
              </w:rPr>
              <w:t xml:space="preserve">) Еднофамилните жилищни сгради (еднофамилни къщи), попадащи в клас G по скала на класовете за енергопотребление за ЕФК – с разход на първична </w:t>
            </w:r>
            <w:proofErr w:type="spellStart"/>
            <w:r w:rsidR="00E6313A" w:rsidRPr="006F3533">
              <w:rPr>
                <w:lang w:val="bg-BG"/>
              </w:rPr>
              <w:t>невъзобновяема</w:t>
            </w:r>
            <w:proofErr w:type="spellEnd"/>
            <w:r w:rsidR="00E6313A" w:rsidRPr="006F3533">
              <w:rPr>
                <w:lang w:val="bg-BG"/>
              </w:rPr>
              <w:t xml:space="preserve"> енергия, надхвърлящ 360 </w:t>
            </w:r>
            <w:proofErr w:type="spellStart"/>
            <w:r w:rsidR="00E6313A" w:rsidRPr="006F3533">
              <w:rPr>
                <w:lang w:val="bg-BG"/>
              </w:rPr>
              <w:t>kWh</w:t>
            </w:r>
            <w:proofErr w:type="spellEnd"/>
            <w:r w:rsidR="00E6313A" w:rsidRPr="006F3533">
              <w:rPr>
                <w:lang w:val="bg-BG"/>
              </w:rPr>
              <w:t>/m2y.</w:t>
            </w:r>
            <w:bookmarkEnd w:id="82"/>
            <w:bookmarkEnd w:id="83"/>
          </w:p>
        </w:tc>
      </w:tr>
    </w:tbl>
    <w:p w14:paraId="54CE0873"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 xml:space="preserve">А) Многофамилни жилищни сгради (МЖС) с най-лоши енергийни характеристики. </w:t>
      </w:r>
    </w:p>
    <w:p w14:paraId="7F271344"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Основанията за избор Е–F–G като „най-лошо представящи се“ многофамилни жилищни сгради (МЖС) са както следва:</w:t>
      </w:r>
    </w:p>
    <w:p w14:paraId="191B22B3"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 xml:space="preserve">1. Националната база данни, поддържана от АУЕР. Многофамилните жилищни сгради,  бяха основен фокус на програмите за обновяване (2007–2025 г.).Вследствие, в България </w:t>
      </w:r>
      <w:r w:rsidRPr="006F3533">
        <w:rPr>
          <w:rFonts w:eastAsia="Times New Roman" w:cs="Times New Roman"/>
          <w:szCs w:val="24"/>
          <w:lang w:val="bg-BG"/>
        </w:rPr>
        <w:lastRenderedPageBreak/>
        <w:t xml:space="preserve">има голяма и достъпна база данни от EPC (сертификати) за МЖС, поддържана от АУЕР, която дава реалната картина на енергийното представяне на този тип сгради. Най-ниските енергийни класове с най-големи разходи (специфична първична енергия) са именно E, F и G. Техният праг при МЖС започва около 290 </w:t>
      </w:r>
      <w:proofErr w:type="spellStart"/>
      <w:r w:rsidRPr="006F3533">
        <w:rPr>
          <w:rFonts w:eastAsia="Times New Roman" w:cs="Times New Roman"/>
          <w:szCs w:val="24"/>
          <w:lang w:val="bg-BG"/>
        </w:rPr>
        <w:t>kWh</w:t>
      </w:r>
      <w:proofErr w:type="spellEnd"/>
      <w:r w:rsidRPr="006F3533">
        <w:rPr>
          <w:rFonts w:eastAsia="Times New Roman" w:cs="Times New Roman"/>
          <w:szCs w:val="24"/>
          <w:lang w:val="bg-BG"/>
        </w:rPr>
        <w:t>/m²·год, което ясно ги отделя от класовете на енергопотребление A–D.</w:t>
      </w:r>
    </w:p>
    <w:p w14:paraId="410EDE68"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2. По смисъла на нормативно установената скала на класове на енергопотребление за многофамилните жилищни сгради/ общежития, най-долните класове са най-неефективни. Най-лошите сгради се дефинират чрез долния край на EPC скалата, защото EPC скалите са подредени нормативно от най-енергийно ефективните към най-неефективните. Обичайно това са класове E–G (при A–G скала, каквато е в България).</w:t>
      </w:r>
    </w:p>
    <w:p w14:paraId="72770A27"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3. Институционална приемственост - практиката от предходната Дългосрочна национална стратегия за подпомагане на обновяването на националния фонд от жилищни и нежилищни сгради (2020 г.). В цитираната Стратегия именно E–F–G са определени като най-лошо представящи се (към онзи момент скалата за МЖС и ЕФК е обща). Всички програми (НПЕЕМЖС, ПРР и др.) работеха именно с този профил на "неефективни" МЖС.</w:t>
      </w:r>
    </w:p>
    <w:p w14:paraId="5BCD7A38"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Резултатите от анализа на 8 604 сертифицирани МЖС (</w:t>
      </w:r>
      <w:proofErr w:type="spellStart"/>
      <w:r w:rsidRPr="006F3533">
        <w:rPr>
          <w:rFonts w:eastAsia="Times New Roman" w:cs="Times New Roman"/>
          <w:szCs w:val="24"/>
          <w:lang w:val="bg-BG"/>
        </w:rPr>
        <w:t>вкл</w:t>
      </w:r>
      <w:proofErr w:type="spellEnd"/>
      <w:r w:rsidRPr="006F3533">
        <w:rPr>
          <w:rFonts w:eastAsia="Times New Roman" w:cs="Times New Roman"/>
          <w:szCs w:val="24"/>
          <w:lang w:val="bg-BG"/>
        </w:rPr>
        <w:t xml:space="preserve"> такива с изтекли сертификати, както бе отбелязано по горе в т. „Разпределение на жилищните сгради по клас на енергопотребление “показват следното разпределение по класове (от общо 82 137 </w:t>
      </w:r>
      <w:proofErr w:type="spellStart"/>
      <w:r w:rsidRPr="006F3533">
        <w:rPr>
          <w:rFonts w:eastAsia="Times New Roman" w:cs="Times New Roman"/>
          <w:szCs w:val="24"/>
          <w:lang w:val="bg-BG"/>
        </w:rPr>
        <w:t>бр</w:t>
      </w:r>
      <w:proofErr w:type="spellEnd"/>
      <w:r w:rsidRPr="006F3533">
        <w:rPr>
          <w:rFonts w:eastAsia="Times New Roman" w:cs="Times New Roman"/>
          <w:szCs w:val="24"/>
          <w:lang w:val="bg-BG"/>
        </w:rPr>
        <w:t xml:space="preserve"> МЖС с обща РЗП 163 174 481 м2):</w:t>
      </w:r>
    </w:p>
    <w:p w14:paraId="74D6A084"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А – 964  с РЗП 1 615 116 м2;</w:t>
      </w:r>
    </w:p>
    <w:p w14:paraId="68D8D08D"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В - 31 109 с РЗП 27 950 316 м2;</w:t>
      </w:r>
    </w:p>
    <w:p w14:paraId="60C5A0F0"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С - 9 806 с РЗП 23 004 528 м2;</w:t>
      </w:r>
    </w:p>
    <w:p w14:paraId="18BC10B9"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D - 10 694 с РЗП 30 619 869 м2;</w:t>
      </w:r>
    </w:p>
    <w:p w14:paraId="01DA5484"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Е - 14 667 с РЗП 41 839 542 м2;</w:t>
      </w:r>
    </w:p>
    <w:p w14:paraId="2FE8EE1F"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F - 9 730 с РЗП 27 487 768 м2;</w:t>
      </w:r>
    </w:p>
    <w:p w14:paraId="1603EE83"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G - 5 166 с РЗП 10 657 342.</w:t>
      </w:r>
    </w:p>
    <w:p w14:paraId="2FE1DA81"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Най лошо представящите се многофамилни жилищни сгради (МЖС), съгласно дефиницията по-горе, са сградите, попадащи в класовете Е-F-G на енергопотребление по скалата за МЖС– 29 562 бр. с РЗП общо 79 984 652 м2, представляващи 35,99% по брой и 49,02% по РЗП за МЖС.</w:t>
      </w:r>
    </w:p>
    <w:p w14:paraId="06884236"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Б) Основанията за избор на клас G като „най-лошо представящ се“ за еднофамилни къщи (ЕФК):</w:t>
      </w:r>
    </w:p>
    <w:p w14:paraId="3460BFB3"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lastRenderedPageBreak/>
        <w:t>1. Няма налична надеждна статистика от налични обследвания за съществуващи еднофамилни сгради. ЕФК са  със собствена скала за енергийни класове (при съставянето на предходната стратегия през 2020 г сгради с най-лоши показатели са определени всички сгради с класове E, F и G, но към онзи момент скалата за класовете е била една и съща за МЖС и ЕФК.</w:t>
      </w:r>
    </w:p>
    <w:p w14:paraId="7EA704B3"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 xml:space="preserve">2. ЕФК имат относително по-големи топлинни загуби поради: 1) по-голяма площ на ограждащите конструкции на единица жилищна площ; 2) по-голяма обвивка/обем/м² спрямо отопляемия обем; 3) по-слабо групово отопление (по-ниска ефективност спрямо централно отопление в МЖС); 4) по-ниска вероятност за предишни енергоспестяващи мерки (ЕСМ); 5) по-ниска плътност на застрояване, респективно по-големи загуби. При сравнението на една ЕФК с РЗП 115 м2 (средностатистическа стойност по данните на НСИ) и една МЖС с РЗП 1000 м2, анализът показва, че отнесено към 1 м2 РЗП, ЕФК има в общия случай до 30% външни стени, 40-70% повече дограма и в пъти повече покрив (определени случаи до 300% и повече). </w:t>
      </w:r>
    </w:p>
    <w:p w14:paraId="686C3C96"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 xml:space="preserve">3. Анализът при сравнението на </w:t>
      </w:r>
      <w:proofErr w:type="spellStart"/>
      <w:r w:rsidRPr="006F3533">
        <w:rPr>
          <w:rFonts w:eastAsia="Times New Roman" w:cs="Times New Roman"/>
          <w:szCs w:val="24"/>
          <w:lang w:val="bg-BG"/>
        </w:rPr>
        <w:t>необновени</w:t>
      </w:r>
      <w:proofErr w:type="spellEnd"/>
      <w:r w:rsidRPr="006F3533">
        <w:rPr>
          <w:rFonts w:eastAsia="Times New Roman" w:cs="Times New Roman"/>
          <w:szCs w:val="24"/>
          <w:lang w:val="bg-BG"/>
        </w:rPr>
        <w:t xml:space="preserve"> ЕФК със сходни </w:t>
      </w:r>
      <w:proofErr w:type="spellStart"/>
      <w:r w:rsidRPr="006F3533">
        <w:rPr>
          <w:rFonts w:eastAsia="Times New Roman" w:cs="Times New Roman"/>
          <w:szCs w:val="24"/>
          <w:lang w:val="bg-BG"/>
        </w:rPr>
        <w:t>необновени</w:t>
      </w:r>
      <w:proofErr w:type="spellEnd"/>
      <w:r w:rsidRPr="006F3533">
        <w:rPr>
          <w:rFonts w:eastAsia="Times New Roman" w:cs="Times New Roman"/>
          <w:szCs w:val="24"/>
          <w:lang w:val="bg-BG"/>
        </w:rPr>
        <w:t xml:space="preserve"> МЖС показва, че специфичният разход на първична </w:t>
      </w:r>
      <w:proofErr w:type="spellStart"/>
      <w:r w:rsidRPr="006F3533">
        <w:rPr>
          <w:rFonts w:eastAsia="Times New Roman" w:cs="Times New Roman"/>
          <w:szCs w:val="24"/>
          <w:lang w:val="bg-BG"/>
        </w:rPr>
        <w:t>невъзобновяема</w:t>
      </w:r>
      <w:proofErr w:type="spellEnd"/>
      <w:r w:rsidRPr="006F3533">
        <w:rPr>
          <w:rFonts w:eastAsia="Times New Roman" w:cs="Times New Roman"/>
          <w:szCs w:val="24"/>
          <w:lang w:val="bg-BG"/>
        </w:rPr>
        <w:t xml:space="preserve"> енергия на ЕФК е значително по-висок от този на МЖС и може да се приеме от порядъка на 24-25%. Прагът от 290 </w:t>
      </w:r>
      <w:proofErr w:type="spellStart"/>
      <w:r w:rsidRPr="006F3533">
        <w:rPr>
          <w:rFonts w:eastAsia="Times New Roman" w:cs="Times New Roman"/>
          <w:szCs w:val="24"/>
          <w:lang w:val="bg-BG"/>
        </w:rPr>
        <w:t>kWh</w:t>
      </w:r>
      <w:proofErr w:type="spellEnd"/>
      <w:r w:rsidRPr="006F3533">
        <w:rPr>
          <w:rFonts w:eastAsia="Times New Roman" w:cs="Times New Roman"/>
          <w:szCs w:val="24"/>
          <w:lang w:val="bg-BG"/>
        </w:rPr>
        <w:t xml:space="preserve">/m2 на най-лошо представящите се МЖС, завишен с 24,14%, е 360 </w:t>
      </w:r>
      <w:proofErr w:type="spellStart"/>
      <w:r w:rsidRPr="006F3533">
        <w:rPr>
          <w:rFonts w:eastAsia="Times New Roman" w:cs="Times New Roman"/>
          <w:szCs w:val="24"/>
          <w:lang w:val="bg-BG"/>
        </w:rPr>
        <w:t>kWh</w:t>
      </w:r>
      <w:proofErr w:type="spellEnd"/>
      <w:r w:rsidRPr="006F3533">
        <w:rPr>
          <w:rFonts w:eastAsia="Times New Roman" w:cs="Times New Roman"/>
          <w:szCs w:val="24"/>
          <w:lang w:val="bg-BG"/>
        </w:rPr>
        <w:t>/m2, което представлява долната граница на клас G по скалата на ЕФК.</w:t>
      </w:r>
    </w:p>
    <w:p w14:paraId="1B5D468C"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Въз основа на горните формулировки и технически обосновани допускания, данните за ЕФК показват следното разпределение по класове на енергопотребление (от общо</w:t>
      </w:r>
    </w:p>
    <w:p w14:paraId="64682C98"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резултатите от анализа на 8 604 сертифицирани МЖС (</w:t>
      </w:r>
      <w:proofErr w:type="spellStart"/>
      <w:r w:rsidRPr="006F3533">
        <w:rPr>
          <w:rFonts w:eastAsia="Times New Roman" w:cs="Times New Roman"/>
          <w:szCs w:val="24"/>
          <w:lang w:val="bg-BG"/>
        </w:rPr>
        <w:t>вкл</w:t>
      </w:r>
      <w:proofErr w:type="spellEnd"/>
      <w:r w:rsidRPr="006F3533">
        <w:rPr>
          <w:rFonts w:eastAsia="Times New Roman" w:cs="Times New Roman"/>
          <w:szCs w:val="24"/>
          <w:lang w:val="bg-BG"/>
        </w:rPr>
        <w:t xml:space="preserve"> такива с изтекли сертификати, както бе отбелязано по горе в т. „Разпределение на жилищните сгради по клас на енергопотребление “показват следното разпределение по класове (от общо 979 960 </w:t>
      </w:r>
      <w:proofErr w:type="spellStart"/>
      <w:r w:rsidRPr="006F3533">
        <w:rPr>
          <w:rFonts w:eastAsia="Times New Roman" w:cs="Times New Roman"/>
          <w:szCs w:val="24"/>
          <w:lang w:val="bg-BG"/>
        </w:rPr>
        <w:t>бр</w:t>
      </w:r>
      <w:proofErr w:type="spellEnd"/>
      <w:r w:rsidRPr="006F3533">
        <w:rPr>
          <w:rFonts w:eastAsia="Times New Roman" w:cs="Times New Roman"/>
          <w:szCs w:val="24"/>
          <w:lang w:val="bg-BG"/>
        </w:rPr>
        <w:t xml:space="preserve"> ЕФК с обща РЗП 113 922 177 м2):</w:t>
      </w:r>
    </w:p>
    <w:p w14:paraId="0B83A4DB"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А – 2 432 с РЗП 222 193 м2;</w:t>
      </w:r>
    </w:p>
    <w:p w14:paraId="54580CAC"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В - 74 571 бр. с РЗП 8 371 079 м2;</w:t>
      </w:r>
    </w:p>
    <w:p w14:paraId="50EAF548"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С - 68 897 бр. с РЗП 7 430 094 м2;</w:t>
      </w:r>
    </w:p>
    <w:p w14:paraId="60D099FB"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D - 89 161 бр. с РЗП 10 764 701 м2;</w:t>
      </w:r>
    </w:p>
    <w:p w14:paraId="3DB00F52"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Е - 166 164 бр. с РЗП 19 381 499 м2;</w:t>
      </w:r>
    </w:p>
    <w:p w14:paraId="26488E2A"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F - 127 257 бр. с РЗП 16 944 289 м2;</w:t>
      </w:r>
    </w:p>
    <w:p w14:paraId="48829EC6"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t>Клас G - 451 479 бр. с РЗП 50 808 321.</w:t>
      </w:r>
    </w:p>
    <w:p w14:paraId="5611F0A3" w14:textId="77777777" w:rsidR="00E6313A" w:rsidRPr="006F3533" w:rsidRDefault="00E6313A" w:rsidP="00E6313A">
      <w:pPr>
        <w:spacing w:beforeAutospacing="1" w:afterAutospacing="1"/>
        <w:jc w:val="both"/>
        <w:rPr>
          <w:rFonts w:eastAsia="Times New Roman" w:cs="Times New Roman"/>
          <w:szCs w:val="24"/>
          <w:lang w:val="bg-BG"/>
        </w:rPr>
      </w:pPr>
      <w:r w:rsidRPr="006F3533">
        <w:rPr>
          <w:rFonts w:eastAsia="Times New Roman" w:cs="Times New Roman"/>
          <w:szCs w:val="24"/>
          <w:lang w:val="bg-BG"/>
        </w:rPr>
        <w:lastRenderedPageBreak/>
        <w:t>Най лошо представящите се еднофамилни жилищни сгради (ЕФК), съгласно дефиницията по-горе, са сградите, попадащи в клас G на енергопотребление по скалата за ЕФК– 451 479 бр. с РЗП общо 50 808 321 м2, представляващи 46,07% по брой и 44,60% по РЗП за  ЕФК.</w:t>
      </w:r>
    </w:p>
    <w:p w14:paraId="09498DD6" w14:textId="77777777" w:rsidR="00E6313A" w:rsidRPr="006F3533" w:rsidRDefault="00E6313A" w:rsidP="00E6313A">
      <w:pPr>
        <w:spacing w:line="240" w:lineRule="auto"/>
        <w:jc w:val="both"/>
        <w:rPr>
          <w:rFonts w:eastAsia="Calibri" w:cs="Times New Roman"/>
          <w:i/>
          <w:iCs/>
          <w:color w:val="0070C0"/>
          <w:szCs w:val="24"/>
          <w:lang w:val="bg-BG"/>
        </w:rPr>
      </w:pPr>
      <w:r w:rsidRPr="006F3533">
        <w:rPr>
          <w:rFonts w:eastAsia="Calibri" w:cs="Times New Roman"/>
          <w:i/>
          <w:iCs/>
          <w:color w:val="0070C0"/>
          <w:szCs w:val="24"/>
          <w:lang w:val="bg-BG"/>
        </w:rPr>
        <w:t xml:space="preserve">Таблица № </w:t>
      </w:r>
      <w:r w:rsidRPr="006F3533">
        <w:rPr>
          <w:rFonts w:eastAsia="Calibri" w:cs="Times New Roman"/>
          <w:i/>
          <w:iCs/>
          <w:color w:val="0070C0"/>
          <w:szCs w:val="24"/>
          <w:lang w:val="bg-BG"/>
        </w:rPr>
        <w:fldChar w:fldCharType="begin"/>
      </w:r>
      <w:r w:rsidRPr="006F3533">
        <w:rPr>
          <w:rFonts w:eastAsia="Calibri" w:cs="Times New Roman"/>
          <w:i/>
          <w:iCs/>
          <w:color w:val="0070C0"/>
          <w:szCs w:val="24"/>
          <w:lang w:val="bg-BG"/>
        </w:rPr>
        <w:instrText xml:space="preserve"> SEQ Таблица_№ \* ARABIC </w:instrText>
      </w:r>
      <w:r w:rsidRPr="006F3533">
        <w:rPr>
          <w:rFonts w:eastAsia="Calibri" w:cs="Times New Roman"/>
          <w:i/>
          <w:iCs/>
          <w:color w:val="0070C0"/>
          <w:szCs w:val="24"/>
          <w:lang w:val="bg-BG"/>
        </w:rPr>
        <w:fldChar w:fldCharType="separate"/>
      </w:r>
      <w:r w:rsidRPr="006F3533">
        <w:rPr>
          <w:rFonts w:eastAsia="Calibri" w:cs="Times New Roman"/>
          <w:i/>
          <w:iCs/>
          <w:noProof/>
          <w:color w:val="0070C0"/>
          <w:szCs w:val="24"/>
          <w:lang w:val="bg-BG"/>
        </w:rPr>
        <w:t>16</w:t>
      </w:r>
      <w:r w:rsidRPr="006F3533">
        <w:rPr>
          <w:rFonts w:eastAsia="Calibri" w:cs="Times New Roman"/>
          <w:i/>
          <w:iCs/>
          <w:color w:val="0070C0"/>
          <w:szCs w:val="24"/>
          <w:lang w:val="bg-BG"/>
        </w:rPr>
        <w:fldChar w:fldCharType="end"/>
      </w:r>
      <w:r w:rsidRPr="006F3533">
        <w:rPr>
          <w:rFonts w:eastAsia="Calibri" w:cs="Times New Roman"/>
          <w:i/>
          <w:iCs/>
          <w:color w:val="0070C0"/>
          <w:szCs w:val="24"/>
          <w:lang w:val="bg-BG"/>
        </w:rPr>
        <w:t>. Брой и площ на сградите с най-лоши енергийни характеристики</w:t>
      </w:r>
    </w:p>
    <w:tbl>
      <w:tblPr>
        <w:tblStyle w:val="GridTable4-Accent5"/>
        <w:tblW w:w="5000" w:type="pct"/>
        <w:tblLook w:val="04A0" w:firstRow="1" w:lastRow="0" w:firstColumn="1" w:lastColumn="0" w:noHBand="0" w:noVBand="1"/>
      </w:tblPr>
      <w:tblGrid>
        <w:gridCol w:w="3020"/>
        <w:gridCol w:w="1432"/>
        <w:gridCol w:w="1432"/>
        <w:gridCol w:w="1589"/>
        <w:gridCol w:w="1589"/>
      </w:tblGrid>
      <w:tr w:rsidR="00E6313A" w:rsidRPr="006F3533" w14:paraId="5CC0E886"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vMerge w:val="restart"/>
          </w:tcPr>
          <w:p w14:paraId="65D2FE71" w14:textId="77777777" w:rsidR="00E6313A" w:rsidRPr="006F3533" w:rsidRDefault="00E6313A" w:rsidP="00541E06">
            <w:pPr>
              <w:contextualSpacing/>
              <w:jc w:val="both"/>
              <w:rPr>
                <w:rFonts w:eastAsia="Calibri" w:cs="Times New Roman"/>
                <w:sz w:val="20"/>
                <w:szCs w:val="20"/>
                <w:lang w:val="bg-BG"/>
              </w:rPr>
            </w:pPr>
            <w:proofErr w:type="spellStart"/>
            <w:r w:rsidRPr="006F3533">
              <w:rPr>
                <w:rFonts w:eastAsia="Calibri" w:cs="Times New Roman"/>
                <w:sz w:val="20"/>
                <w:szCs w:val="20"/>
                <w:lang w:val="bg-BG"/>
              </w:rPr>
              <w:t>Worst</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performing</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buildings</w:t>
            </w:r>
            <w:proofErr w:type="spellEnd"/>
          </w:p>
        </w:tc>
        <w:tc>
          <w:tcPr>
            <w:tcW w:w="1580" w:type="pct"/>
            <w:gridSpan w:val="2"/>
          </w:tcPr>
          <w:p w14:paraId="6A781BA0"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Number</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of</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buildings</w:t>
            </w:r>
            <w:proofErr w:type="spellEnd"/>
            <w:r w:rsidRPr="006F3533">
              <w:rPr>
                <w:rFonts w:eastAsia="Calibri" w:cs="Times New Roman"/>
                <w:sz w:val="20"/>
                <w:szCs w:val="20"/>
                <w:lang w:val="bg-BG"/>
              </w:rPr>
              <w:t xml:space="preserve"> </w:t>
            </w:r>
          </w:p>
        </w:tc>
        <w:tc>
          <w:tcPr>
            <w:tcW w:w="1753" w:type="pct"/>
            <w:gridSpan w:val="2"/>
          </w:tcPr>
          <w:p w14:paraId="1CC8BC84"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Floor</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area</w:t>
            </w:r>
            <w:proofErr w:type="spellEnd"/>
            <w:r w:rsidRPr="006F3533">
              <w:rPr>
                <w:rFonts w:eastAsia="Calibri" w:cs="Times New Roman"/>
                <w:sz w:val="20"/>
                <w:szCs w:val="20"/>
                <w:lang w:val="bg-BG"/>
              </w:rPr>
              <w:t xml:space="preserve"> </w:t>
            </w:r>
          </w:p>
          <w:p w14:paraId="5BF4E34D"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(m²)</w:t>
            </w:r>
          </w:p>
        </w:tc>
      </w:tr>
      <w:tr w:rsidR="00E6313A" w:rsidRPr="006F3533" w14:paraId="16F29022"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vMerge/>
          </w:tcPr>
          <w:p w14:paraId="6FA53791" w14:textId="77777777" w:rsidR="00E6313A" w:rsidRPr="006F3533" w:rsidRDefault="00E6313A" w:rsidP="00541E06">
            <w:pPr>
              <w:contextualSpacing/>
              <w:jc w:val="both"/>
              <w:rPr>
                <w:rFonts w:eastAsia="Calibri" w:cs="Times New Roman"/>
                <w:sz w:val="20"/>
                <w:szCs w:val="20"/>
                <w:lang w:val="bg-BG"/>
              </w:rPr>
            </w:pPr>
          </w:p>
        </w:tc>
        <w:tc>
          <w:tcPr>
            <w:tcW w:w="790" w:type="pct"/>
          </w:tcPr>
          <w:p w14:paraId="30519C2E"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Year</w:t>
            </w:r>
            <w:proofErr w:type="spellEnd"/>
            <w:r w:rsidRPr="006F3533">
              <w:rPr>
                <w:rFonts w:eastAsia="Calibri" w:cs="Times New Roman"/>
                <w:sz w:val="20"/>
                <w:szCs w:val="20"/>
                <w:lang w:val="bg-BG"/>
              </w:rPr>
              <w:t xml:space="preserve"> </w:t>
            </w:r>
          </w:p>
          <w:p w14:paraId="45E156C5"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X-2</w:t>
            </w:r>
          </w:p>
        </w:tc>
        <w:tc>
          <w:tcPr>
            <w:tcW w:w="790" w:type="pct"/>
          </w:tcPr>
          <w:p w14:paraId="70CA9709"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2020</w:t>
            </w:r>
          </w:p>
        </w:tc>
        <w:tc>
          <w:tcPr>
            <w:tcW w:w="877" w:type="pct"/>
          </w:tcPr>
          <w:p w14:paraId="27111B73"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Year</w:t>
            </w:r>
            <w:proofErr w:type="spellEnd"/>
            <w:r w:rsidRPr="006F3533">
              <w:rPr>
                <w:rFonts w:eastAsia="Calibri" w:cs="Times New Roman"/>
                <w:sz w:val="20"/>
                <w:szCs w:val="20"/>
                <w:lang w:val="bg-BG"/>
              </w:rPr>
              <w:t xml:space="preserve"> </w:t>
            </w:r>
          </w:p>
          <w:p w14:paraId="5656C2E6"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X-2</w:t>
            </w:r>
          </w:p>
        </w:tc>
        <w:tc>
          <w:tcPr>
            <w:tcW w:w="877" w:type="pct"/>
          </w:tcPr>
          <w:p w14:paraId="597FCD44"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2020</w:t>
            </w:r>
          </w:p>
        </w:tc>
      </w:tr>
      <w:tr w:rsidR="00E6313A" w:rsidRPr="006F3533" w14:paraId="58843AF8" w14:textId="77777777" w:rsidTr="00541E06">
        <w:tc>
          <w:tcPr>
            <w:cnfStyle w:val="001000000000" w:firstRow="0" w:lastRow="0" w:firstColumn="1" w:lastColumn="0" w:oddVBand="0" w:evenVBand="0" w:oddHBand="0" w:evenHBand="0" w:firstRowFirstColumn="0" w:firstRowLastColumn="0" w:lastRowFirstColumn="0" w:lastRowLastColumn="0"/>
            <w:tcW w:w="1666" w:type="pct"/>
          </w:tcPr>
          <w:p w14:paraId="72902770" w14:textId="77777777" w:rsidR="00E6313A" w:rsidRPr="006F3533" w:rsidRDefault="00E6313A" w:rsidP="00541E06">
            <w:pPr>
              <w:contextualSpacing/>
              <w:jc w:val="both"/>
              <w:rPr>
                <w:rFonts w:eastAsia="Calibri" w:cs="Times New Roman"/>
                <w:sz w:val="20"/>
                <w:szCs w:val="20"/>
                <w:lang w:val="bg-BG"/>
              </w:rPr>
            </w:pPr>
            <w:proofErr w:type="spellStart"/>
            <w:r w:rsidRPr="006F3533">
              <w:rPr>
                <w:rFonts w:eastAsia="Calibri" w:cs="Times New Roman"/>
                <w:sz w:val="20"/>
                <w:szCs w:val="20"/>
                <w:lang w:val="bg-BG"/>
              </w:rPr>
              <w:t>Residential</w:t>
            </w:r>
            <w:proofErr w:type="spellEnd"/>
          </w:p>
        </w:tc>
        <w:tc>
          <w:tcPr>
            <w:tcW w:w="790" w:type="pct"/>
          </w:tcPr>
          <w:p w14:paraId="1F45F1A5"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481 041</w:t>
            </w:r>
          </w:p>
        </w:tc>
        <w:tc>
          <w:tcPr>
            <w:tcW w:w="790" w:type="pct"/>
          </w:tcPr>
          <w:p w14:paraId="59540774"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1 242 967</w:t>
            </w:r>
          </w:p>
        </w:tc>
        <w:tc>
          <w:tcPr>
            <w:tcW w:w="877" w:type="pct"/>
          </w:tcPr>
          <w:p w14:paraId="07AED60B"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130 792 972</w:t>
            </w:r>
          </w:p>
        </w:tc>
        <w:tc>
          <w:tcPr>
            <w:tcW w:w="877" w:type="pct"/>
          </w:tcPr>
          <w:p w14:paraId="595622DC"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221 365 475</w:t>
            </w:r>
          </w:p>
        </w:tc>
      </w:tr>
      <w:tr w:rsidR="00E6313A" w:rsidRPr="006F3533" w14:paraId="6E0D1DB7"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63D72F42" w14:textId="77777777" w:rsidR="00E6313A" w:rsidRPr="006F3533" w:rsidRDefault="00E6313A" w:rsidP="00541E06">
            <w:pPr>
              <w:contextualSpacing/>
              <w:jc w:val="both"/>
              <w:rPr>
                <w:rFonts w:eastAsia="Calibri" w:cs="Times New Roman"/>
                <w:sz w:val="20"/>
                <w:szCs w:val="20"/>
                <w:lang w:val="bg-BG"/>
              </w:rPr>
            </w:pPr>
            <w:proofErr w:type="spellStart"/>
            <w:r w:rsidRPr="006F3533">
              <w:rPr>
                <w:rFonts w:eastAsia="Calibri" w:cs="Times New Roman"/>
                <w:sz w:val="20"/>
                <w:szCs w:val="20"/>
                <w:lang w:val="bg-BG"/>
              </w:rPr>
              <w:t>Non-Residential</w:t>
            </w:r>
            <w:proofErr w:type="spellEnd"/>
          </w:p>
        </w:tc>
        <w:tc>
          <w:tcPr>
            <w:tcW w:w="790" w:type="pct"/>
          </w:tcPr>
          <w:p w14:paraId="513CD7C8"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tc>
        <w:tc>
          <w:tcPr>
            <w:tcW w:w="790" w:type="pct"/>
          </w:tcPr>
          <w:p w14:paraId="262F0792"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tc>
        <w:tc>
          <w:tcPr>
            <w:tcW w:w="877" w:type="pct"/>
          </w:tcPr>
          <w:p w14:paraId="754245CD"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tc>
        <w:tc>
          <w:tcPr>
            <w:tcW w:w="877" w:type="pct"/>
          </w:tcPr>
          <w:p w14:paraId="0A7CBA8B"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tc>
      </w:tr>
      <w:tr w:rsidR="00E6313A" w:rsidRPr="006F3533" w14:paraId="04A24929" w14:textId="77777777" w:rsidTr="00541E06">
        <w:tc>
          <w:tcPr>
            <w:cnfStyle w:val="001000000000" w:firstRow="0" w:lastRow="0" w:firstColumn="1" w:lastColumn="0" w:oddVBand="0" w:evenVBand="0" w:oddHBand="0" w:evenHBand="0" w:firstRowFirstColumn="0" w:firstRowLastColumn="0" w:lastRowFirstColumn="0" w:lastRowLastColumn="0"/>
            <w:tcW w:w="1666" w:type="pct"/>
          </w:tcPr>
          <w:p w14:paraId="0839F0AB" w14:textId="77777777" w:rsidR="00E6313A" w:rsidRPr="006F3533" w:rsidRDefault="00E6313A" w:rsidP="00541E06">
            <w:pPr>
              <w:contextualSpacing/>
              <w:jc w:val="both"/>
              <w:rPr>
                <w:rFonts w:eastAsia="Calibri" w:cs="Times New Roman"/>
                <w:sz w:val="20"/>
                <w:szCs w:val="20"/>
                <w:lang w:val="bg-BG"/>
              </w:rPr>
            </w:pPr>
            <w:r w:rsidRPr="006F3533">
              <w:rPr>
                <w:rFonts w:eastAsia="Calibri" w:cs="Times New Roman"/>
                <w:sz w:val="20"/>
                <w:szCs w:val="20"/>
                <w:lang w:val="bg-BG"/>
              </w:rPr>
              <w:t>Total</w:t>
            </w:r>
          </w:p>
        </w:tc>
        <w:tc>
          <w:tcPr>
            <w:tcW w:w="790" w:type="pct"/>
          </w:tcPr>
          <w:p w14:paraId="31D274E9"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p>
        </w:tc>
        <w:tc>
          <w:tcPr>
            <w:tcW w:w="790" w:type="pct"/>
          </w:tcPr>
          <w:p w14:paraId="71DBEF99"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p>
        </w:tc>
        <w:tc>
          <w:tcPr>
            <w:tcW w:w="877" w:type="pct"/>
          </w:tcPr>
          <w:p w14:paraId="1D83C26F"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p>
        </w:tc>
        <w:tc>
          <w:tcPr>
            <w:tcW w:w="877" w:type="pct"/>
          </w:tcPr>
          <w:p w14:paraId="62C6EDEB"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p>
        </w:tc>
      </w:tr>
    </w:tbl>
    <w:p w14:paraId="60DD55E0" w14:textId="77777777" w:rsidR="00E6313A" w:rsidRPr="006F3533" w:rsidRDefault="00E6313A" w:rsidP="00E6313A">
      <w:pPr>
        <w:spacing w:after="100" w:afterAutospacing="1" w:line="240" w:lineRule="auto"/>
        <w:jc w:val="right"/>
        <w:rPr>
          <w:rFonts w:eastAsia="Calibri" w:cs="Times New Roman"/>
          <w:i/>
          <w:iCs/>
          <w:szCs w:val="24"/>
          <w:lang w:val="bg-BG" w:eastAsia="bg-BG"/>
        </w:rPr>
      </w:pPr>
      <w:bookmarkStart w:id="84" w:name="_Hlk217833858"/>
      <w:r w:rsidRPr="006F3533">
        <w:rPr>
          <w:rFonts w:eastAsia="Calibri" w:cs="Times New Roman"/>
          <w:i/>
          <w:iCs/>
          <w:szCs w:val="24"/>
          <w:lang w:val="bg-BG" w:eastAsia="bg-BG"/>
        </w:rPr>
        <w:t>Източник: База данни АУЕР, 2025 г., собствени изчисления</w:t>
      </w:r>
    </w:p>
    <w:p w14:paraId="2634641E" w14:textId="77777777" w:rsidR="00E6313A" w:rsidRPr="006F3533" w:rsidRDefault="00E6313A" w:rsidP="00E6313A">
      <w:pPr>
        <w:pStyle w:val="Heading2"/>
        <w:jc w:val="both"/>
        <w:rPr>
          <w:lang w:val="bg-BG"/>
        </w:rPr>
      </w:pPr>
      <w:bookmarkStart w:id="85" w:name="_Toc217837108"/>
      <w:bookmarkStart w:id="86" w:name="_Toc217888762"/>
      <w:bookmarkEnd w:id="84"/>
      <w:r w:rsidRPr="006F3533">
        <w:rPr>
          <w:lang w:val="bg-BG"/>
        </w:rPr>
        <w:t>Брой на сертификатите за енергийните характеристики на жилищните сгради по типове сгради</w:t>
      </w:r>
      <w:bookmarkEnd w:id="85"/>
      <w:bookmarkEnd w:id="86"/>
    </w:p>
    <w:p w14:paraId="42F1A266"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Представената информация е само за валидните сертификати за енергийни характеристики, регистрирани в базата данни на АУЕР към референтната година X-2 (данни, актуални към ноември 2025 г.). Сертификатите с изтекъл срок на валидност не са включени в таблицата, тъй като не отразяват актуалното енергийно състояние на съответните сгради към момента. Базата данни се актуализира въз основа на постъпващите енергийни обследвания и издадени сертификати за енергийни характеристики съгласно изискванията на националното законодателство.</w:t>
      </w:r>
    </w:p>
    <w:p w14:paraId="4AEFF22E"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Към момента в регистъра на АУЕР са налични </w:t>
      </w:r>
      <w:r w:rsidRPr="006F3533">
        <w:rPr>
          <w:rFonts w:eastAsia="Times New Roman" w:cs="Times New Roman"/>
          <w:b/>
          <w:bCs/>
          <w:szCs w:val="24"/>
          <w:lang w:val="bg-BG"/>
        </w:rPr>
        <w:t>6 226 валидни сертификата</w:t>
      </w:r>
      <w:r w:rsidRPr="006F3533">
        <w:rPr>
          <w:rFonts w:eastAsia="Times New Roman" w:cs="Times New Roman"/>
          <w:szCs w:val="24"/>
          <w:lang w:val="bg-BG"/>
        </w:rPr>
        <w:t xml:space="preserve"> за енергийните характеристики на жилищни сгради, което представлява около 0,5% от общия жилищен фонд по брой. Покритието при еднофамилните къщи е под 0,1%, като наличните сертификати се отнасят предимно за новопостроени сгради и не са представителни за съществуващия фонд. При многофамилните жилищни сгради покритието е по-високо (около 6,5%), основно вследствие на реализирани публични програми за обновяване. Това ограничава възможността данните от регистъра да бъдат използвани за статистическо определяне на най-лошо представящите се сгради, особено при еднофамилните къщи.</w:t>
      </w:r>
    </w:p>
    <w:p w14:paraId="722AA15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Базата на АУЕР отразява административно и програмно обусловеното сертифициране на ограничен набор от жилищния фонд, а не статистически представителна картина на енергийните характеристики на съществуващите жилищни сгради.</w:t>
      </w:r>
    </w:p>
    <w:p w14:paraId="687D074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Наличието на ограничен брой сертификати в регистъра на АУЕР е показател за дефицит на данни, особено при еднофамилните къщи, което налага използването на алтернативни аналитични подходи при планирането на политики за енергийно обновяване.</w:t>
      </w:r>
    </w:p>
    <w:p w14:paraId="1F8E473B"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p>
    <w:p w14:paraId="304F5AA2" w14:textId="77777777" w:rsidR="00E6313A" w:rsidRPr="006F3533" w:rsidRDefault="00E6313A" w:rsidP="00E6313A">
      <w:pPr>
        <w:spacing w:line="240" w:lineRule="auto"/>
        <w:contextualSpacing/>
        <w:jc w:val="both"/>
        <w:rPr>
          <w:rFonts w:eastAsia="Calibri" w:cs="Times New Roman"/>
          <w:i/>
          <w:iCs/>
          <w:color w:val="0070C0"/>
          <w:szCs w:val="24"/>
          <w:lang w:val="bg-BG"/>
        </w:rPr>
      </w:pPr>
    </w:p>
    <w:p w14:paraId="6F54B52B" w14:textId="77777777" w:rsidR="00E6313A" w:rsidRPr="006F3533" w:rsidRDefault="00E6313A" w:rsidP="00E6313A">
      <w:pPr>
        <w:spacing w:line="240" w:lineRule="auto"/>
        <w:contextualSpacing/>
        <w:jc w:val="both"/>
        <w:rPr>
          <w:rFonts w:eastAsia="Calibri" w:cs="Times New Roman"/>
          <w:i/>
          <w:iCs/>
          <w:color w:val="0070C0"/>
          <w:szCs w:val="24"/>
          <w:lang w:val="bg-BG"/>
        </w:rPr>
      </w:pPr>
      <w:r w:rsidRPr="006F3533">
        <w:rPr>
          <w:rFonts w:eastAsia="Calibri" w:cs="Times New Roman"/>
          <w:i/>
          <w:iCs/>
          <w:color w:val="0070C0"/>
          <w:szCs w:val="24"/>
          <w:lang w:val="bg-BG"/>
        </w:rPr>
        <w:t xml:space="preserve">Таблица № </w:t>
      </w:r>
      <w:r w:rsidRPr="006F3533">
        <w:rPr>
          <w:rFonts w:eastAsia="Calibri" w:cs="Times New Roman"/>
          <w:i/>
          <w:iCs/>
          <w:color w:val="0070C0"/>
          <w:szCs w:val="24"/>
          <w:lang w:val="bg-BG"/>
        </w:rPr>
        <w:fldChar w:fldCharType="begin"/>
      </w:r>
      <w:r w:rsidRPr="006F3533">
        <w:rPr>
          <w:rFonts w:eastAsia="Calibri" w:cs="Times New Roman"/>
          <w:i/>
          <w:iCs/>
          <w:color w:val="0070C0"/>
          <w:szCs w:val="24"/>
          <w:lang w:val="bg-BG"/>
        </w:rPr>
        <w:instrText xml:space="preserve"> SEQ Таблица_№ \* ARABIC </w:instrText>
      </w:r>
      <w:r w:rsidRPr="006F3533">
        <w:rPr>
          <w:rFonts w:eastAsia="Calibri" w:cs="Times New Roman"/>
          <w:i/>
          <w:iCs/>
          <w:color w:val="0070C0"/>
          <w:szCs w:val="24"/>
          <w:lang w:val="bg-BG"/>
        </w:rPr>
        <w:fldChar w:fldCharType="separate"/>
      </w:r>
      <w:r w:rsidRPr="006F3533">
        <w:rPr>
          <w:rFonts w:eastAsia="Calibri" w:cs="Times New Roman"/>
          <w:i/>
          <w:iCs/>
          <w:noProof/>
          <w:color w:val="0070C0"/>
          <w:szCs w:val="24"/>
          <w:lang w:val="bg-BG"/>
        </w:rPr>
        <w:t>17</w:t>
      </w:r>
      <w:r w:rsidRPr="006F3533">
        <w:rPr>
          <w:rFonts w:eastAsia="Calibri" w:cs="Times New Roman"/>
          <w:i/>
          <w:iCs/>
          <w:color w:val="0070C0"/>
          <w:szCs w:val="24"/>
          <w:lang w:val="bg-BG"/>
        </w:rPr>
        <w:fldChar w:fldCharType="end"/>
      </w:r>
      <w:r w:rsidRPr="006F3533">
        <w:rPr>
          <w:rFonts w:eastAsia="Calibri" w:cs="Times New Roman"/>
          <w:i/>
          <w:iCs/>
          <w:color w:val="0070C0"/>
          <w:szCs w:val="24"/>
          <w:lang w:val="bg-BG"/>
        </w:rPr>
        <w:t>: Брой на валидните сертификати за енергийните характеристики на сгради по типове сгради</w:t>
      </w:r>
    </w:p>
    <w:p w14:paraId="1FB714EE" w14:textId="77777777" w:rsidR="00E6313A" w:rsidRPr="006F3533" w:rsidRDefault="00E6313A" w:rsidP="00E6313A">
      <w:pPr>
        <w:spacing w:line="240" w:lineRule="auto"/>
        <w:contextualSpacing/>
        <w:jc w:val="both"/>
        <w:rPr>
          <w:rFonts w:eastAsia="Calibri" w:cs="Times New Roman"/>
          <w:i/>
          <w:iCs/>
          <w:color w:val="0070C0"/>
          <w:szCs w:val="24"/>
          <w:lang w:val="bg-BG"/>
        </w:rPr>
      </w:pPr>
    </w:p>
    <w:tbl>
      <w:tblPr>
        <w:tblStyle w:val="GridTable4-Accent5"/>
        <w:tblW w:w="5000" w:type="pct"/>
        <w:tblLook w:val="04A0" w:firstRow="1" w:lastRow="0" w:firstColumn="1" w:lastColumn="0" w:noHBand="0" w:noVBand="1"/>
      </w:tblPr>
      <w:tblGrid>
        <w:gridCol w:w="1007"/>
        <w:gridCol w:w="4027"/>
        <w:gridCol w:w="1173"/>
        <w:gridCol w:w="2855"/>
      </w:tblGrid>
      <w:tr w:rsidR="00E6313A" w:rsidRPr="006F3533" w14:paraId="58C90C37" w14:textId="77777777" w:rsidTr="00541E0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4DAAADED" w14:textId="77777777" w:rsidR="00E6313A" w:rsidRPr="006F3533" w:rsidRDefault="00E6313A" w:rsidP="00541E06">
            <w:pPr>
              <w:contextualSpacing/>
              <w:jc w:val="both"/>
              <w:rPr>
                <w:rFonts w:eastAsia="Calibri" w:cs="Times New Roman"/>
                <w:sz w:val="20"/>
                <w:szCs w:val="20"/>
                <w:lang w:val="bg-BG"/>
              </w:rPr>
            </w:pPr>
            <w:proofErr w:type="spellStart"/>
            <w:r w:rsidRPr="006F3533">
              <w:rPr>
                <w:rFonts w:eastAsia="Calibri" w:cs="Times New Roman"/>
                <w:sz w:val="20"/>
                <w:szCs w:val="20"/>
                <w:lang w:val="bg-BG"/>
              </w:rPr>
              <w:t>Code</w:t>
            </w:r>
            <w:proofErr w:type="spellEnd"/>
          </w:p>
        </w:tc>
        <w:tc>
          <w:tcPr>
            <w:tcW w:w="2222" w:type="pct"/>
          </w:tcPr>
          <w:p w14:paraId="27DF312B"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Building</w:t>
            </w:r>
          </w:p>
          <w:p w14:paraId="386E10D1"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Type</w:t>
            </w:r>
            <w:proofErr w:type="spellEnd"/>
          </w:p>
        </w:tc>
        <w:tc>
          <w:tcPr>
            <w:tcW w:w="647" w:type="pct"/>
          </w:tcPr>
          <w:p w14:paraId="718805BA"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M/</w:t>
            </w:r>
          </w:p>
          <w:p w14:paraId="0A50AEAE"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5449F14C"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No</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of</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valid</w:t>
            </w:r>
            <w:proofErr w:type="spellEnd"/>
            <w:r w:rsidRPr="006F3533">
              <w:rPr>
                <w:rFonts w:eastAsia="Calibri" w:cs="Times New Roman"/>
                <w:sz w:val="20"/>
                <w:szCs w:val="20"/>
                <w:lang w:val="bg-BG"/>
              </w:rPr>
              <w:t xml:space="preserve"> EPC </w:t>
            </w:r>
          </w:p>
          <w:p w14:paraId="33BAD145"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In</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Year</w:t>
            </w:r>
            <w:proofErr w:type="spellEnd"/>
            <w:r w:rsidRPr="006F3533">
              <w:rPr>
                <w:rFonts w:eastAsia="Calibri" w:cs="Times New Roman"/>
                <w:sz w:val="20"/>
                <w:szCs w:val="20"/>
                <w:lang w:val="bg-BG"/>
              </w:rPr>
              <w:t xml:space="preserve"> 2025</w:t>
            </w:r>
          </w:p>
          <w:p w14:paraId="20FB03AF"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
        </w:tc>
      </w:tr>
      <w:tr w:rsidR="00E6313A" w:rsidRPr="006F3533" w14:paraId="03166E27"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33E68A4D" w14:textId="77777777" w:rsidR="00E6313A" w:rsidRPr="006F3533" w:rsidRDefault="00E6313A" w:rsidP="00541E06">
            <w:pPr>
              <w:contextualSpacing/>
              <w:jc w:val="both"/>
              <w:rPr>
                <w:rFonts w:eastAsia="Calibri" w:cs="Times New Roman"/>
                <w:sz w:val="20"/>
                <w:szCs w:val="20"/>
                <w:lang w:val="bg-BG"/>
              </w:rPr>
            </w:pPr>
            <w:r w:rsidRPr="006F3533">
              <w:rPr>
                <w:rFonts w:eastAsia="Calibri" w:cs="Times New Roman"/>
                <w:sz w:val="20"/>
                <w:szCs w:val="20"/>
                <w:lang w:val="bg-BG"/>
              </w:rPr>
              <w:t xml:space="preserve">R </w:t>
            </w:r>
          </w:p>
        </w:tc>
        <w:tc>
          <w:tcPr>
            <w:tcW w:w="2222" w:type="pct"/>
          </w:tcPr>
          <w:p w14:paraId="2E546A2A"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Residential</w:t>
            </w:r>
            <w:proofErr w:type="spellEnd"/>
            <w:r w:rsidRPr="006F3533">
              <w:rPr>
                <w:rFonts w:eastAsia="Calibri" w:cs="Times New Roman"/>
                <w:sz w:val="20"/>
                <w:szCs w:val="20"/>
                <w:lang w:val="bg-BG"/>
              </w:rPr>
              <w:t xml:space="preserve"> </w:t>
            </w:r>
          </w:p>
          <w:p w14:paraId="77799DF4"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p w14:paraId="0FAD8B89"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
          <w:p w14:paraId="0FCEBDD8"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
          <w:p w14:paraId="0955CE5B"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i/>
                <w:iCs/>
                <w:sz w:val="20"/>
                <w:szCs w:val="20"/>
                <w:lang w:val="bg-BG"/>
              </w:rPr>
              <w:t>Out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of</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which</w:t>
            </w:r>
            <w:proofErr w:type="spellEnd"/>
          </w:p>
        </w:tc>
        <w:tc>
          <w:tcPr>
            <w:tcW w:w="647" w:type="pct"/>
          </w:tcPr>
          <w:p w14:paraId="3BDA2617"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M</w:t>
            </w:r>
          </w:p>
        </w:tc>
        <w:tc>
          <w:tcPr>
            <w:tcW w:w="1575" w:type="pct"/>
          </w:tcPr>
          <w:p w14:paraId="3AF42090"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6 226</w:t>
            </w:r>
          </w:p>
          <w:p w14:paraId="429216D8"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R= (a) + (b1)</w:t>
            </w:r>
          </w:p>
          <w:p w14:paraId="798330D6"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w:t>
            </w:r>
            <w:proofErr w:type="spellStart"/>
            <w:r w:rsidRPr="006F3533">
              <w:rPr>
                <w:rFonts w:eastAsia="Calibri" w:cs="Times New Roman"/>
                <w:color w:val="0070C0"/>
                <w:sz w:val="20"/>
                <w:szCs w:val="20"/>
                <w:lang w:val="bg-BG"/>
              </w:rPr>
              <w:t>No</w:t>
            </w:r>
            <w:proofErr w:type="spellEnd"/>
            <w:r w:rsidRPr="006F3533">
              <w:rPr>
                <w:rFonts w:eastAsia="Calibri" w:cs="Times New Roman"/>
                <w:color w:val="0070C0"/>
                <w:sz w:val="20"/>
                <w:szCs w:val="20"/>
                <w:lang w:val="bg-BG"/>
              </w:rPr>
              <w:t xml:space="preserve"> </w:t>
            </w:r>
            <w:proofErr w:type="spellStart"/>
            <w:r w:rsidRPr="006F3533">
              <w:rPr>
                <w:rFonts w:eastAsia="Calibri" w:cs="Times New Roman"/>
                <w:color w:val="0070C0"/>
                <w:sz w:val="20"/>
                <w:szCs w:val="20"/>
                <w:lang w:val="bg-BG"/>
              </w:rPr>
              <w:t>of</w:t>
            </w:r>
            <w:proofErr w:type="spellEnd"/>
            <w:r w:rsidRPr="006F3533">
              <w:rPr>
                <w:rFonts w:eastAsia="Calibri" w:cs="Times New Roman"/>
                <w:color w:val="0070C0"/>
                <w:sz w:val="20"/>
                <w:szCs w:val="20"/>
                <w:lang w:val="bg-BG"/>
              </w:rPr>
              <w:t xml:space="preserve"> </w:t>
            </w:r>
            <w:proofErr w:type="spellStart"/>
            <w:r w:rsidRPr="006F3533">
              <w:rPr>
                <w:rFonts w:eastAsia="Calibri" w:cs="Times New Roman"/>
                <w:color w:val="0070C0"/>
                <w:sz w:val="20"/>
                <w:szCs w:val="20"/>
                <w:lang w:val="bg-BG"/>
              </w:rPr>
              <w:t>buildings</w:t>
            </w:r>
            <w:proofErr w:type="spellEnd"/>
            <w:r w:rsidRPr="006F3533">
              <w:rPr>
                <w:rFonts w:eastAsia="Calibri" w:cs="Times New Roman"/>
                <w:color w:val="0070C0"/>
                <w:sz w:val="20"/>
                <w:szCs w:val="20"/>
                <w:lang w:val="bg-BG"/>
              </w:rPr>
              <w:t>)</w:t>
            </w:r>
          </w:p>
          <w:p w14:paraId="38F56FD0"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OR</w:t>
            </w:r>
          </w:p>
          <w:p w14:paraId="3ACF51F5"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R= (a) + (b2)</w:t>
            </w:r>
          </w:p>
          <w:p w14:paraId="3E880436"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w:t>
            </w:r>
            <w:proofErr w:type="spellStart"/>
            <w:r w:rsidRPr="006F3533">
              <w:rPr>
                <w:rFonts w:eastAsia="Calibri" w:cs="Times New Roman"/>
                <w:color w:val="0070C0"/>
                <w:sz w:val="20"/>
                <w:szCs w:val="20"/>
                <w:lang w:val="bg-BG"/>
              </w:rPr>
              <w:t>No</w:t>
            </w:r>
            <w:proofErr w:type="spellEnd"/>
            <w:r w:rsidRPr="006F3533">
              <w:rPr>
                <w:rFonts w:eastAsia="Calibri" w:cs="Times New Roman"/>
                <w:color w:val="0070C0"/>
                <w:sz w:val="20"/>
                <w:szCs w:val="20"/>
                <w:lang w:val="bg-BG"/>
              </w:rPr>
              <w:t xml:space="preserve"> </w:t>
            </w:r>
            <w:proofErr w:type="spellStart"/>
            <w:r w:rsidRPr="006F3533">
              <w:rPr>
                <w:rFonts w:eastAsia="Calibri" w:cs="Times New Roman"/>
                <w:color w:val="0070C0"/>
                <w:sz w:val="20"/>
                <w:szCs w:val="20"/>
                <w:lang w:val="bg-BG"/>
              </w:rPr>
              <w:t>of</w:t>
            </w:r>
            <w:proofErr w:type="spellEnd"/>
            <w:r w:rsidRPr="006F3533">
              <w:rPr>
                <w:rFonts w:eastAsia="Calibri" w:cs="Times New Roman"/>
                <w:color w:val="0070C0"/>
                <w:sz w:val="20"/>
                <w:szCs w:val="20"/>
                <w:lang w:val="bg-BG"/>
              </w:rPr>
              <w:t xml:space="preserve"> </w:t>
            </w:r>
            <w:proofErr w:type="spellStart"/>
            <w:r w:rsidRPr="006F3533">
              <w:rPr>
                <w:rFonts w:eastAsia="Calibri" w:cs="Times New Roman"/>
                <w:color w:val="0070C0"/>
                <w:sz w:val="20"/>
                <w:szCs w:val="20"/>
                <w:lang w:val="bg-BG"/>
              </w:rPr>
              <w:t>build</w:t>
            </w:r>
            <w:proofErr w:type="spellEnd"/>
            <w:r w:rsidRPr="006F3533">
              <w:rPr>
                <w:rFonts w:eastAsia="Calibri" w:cs="Times New Roman"/>
                <w:color w:val="0070C0"/>
                <w:sz w:val="20"/>
                <w:szCs w:val="20"/>
                <w:lang w:val="bg-BG"/>
              </w:rPr>
              <w:t xml:space="preserve">. </w:t>
            </w:r>
            <w:proofErr w:type="spellStart"/>
            <w:r w:rsidRPr="006F3533">
              <w:rPr>
                <w:rFonts w:eastAsia="Calibri" w:cs="Times New Roman"/>
                <w:color w:val="0070C0"/>
                <w:sz w:val="20"/>
                <w:szCs w:val="20"/>
                <w:lang w:val="bg-BG"/>
              </w:rPr>
              <w:t>units</w:t>
            </w:r>
            <w:proofErr w:type="spellEnd"/>
            <w:r w:rsidRPr="006F3533">
              <w:rPr>
                <w:rFonts w:eastAsia="Calibri" w:cs="Times New Roman"/>
                <w:color w:val="0070C0"/>
                <w:sz w:val="20"/>
                <w:szCs w:val="20"/>
                <w:lang w:val="bg-BG"/>
              </w:rPr>
              <w:t>)</w:t>
            </w:r>
          </w:p>
        </w:tc>
      </w:tr>
      <w:tr w:rsidR="00E6313A" w:rsidRPr="006F3533" w14:paraId="572C0094"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556" w:type="pct"/>
          </w:tcPr>
          <w:p w14:paraId="0E8C7C2D" w14:textId="77777777" w:rsidR="00E6313A" w:rsidRPr="006F3533" w:rsidRDefault="00E6313A" w:rsidP="00541E06">
            <w:pPr>
              <w:jc w:val="both"/>
              <w:rPr>
                <w:rFonts w:eastAsia="Calibri" w:cs="Times New Roman"/>
                <w:i/>
                <w:iCs/>
                <w:sz w:val="20"/>
                <w:szCs w:val="20"/>
                <w:lang w:val="bg-BG"/>
              </w:rPr>
            </w:pPr>
            <w:r w:rsidRPr="006F3533">
              <w:rPr>
                <w:rFonts w:eastAsia="Calibri" w:cs="Times New Roman"/>
                <w:i/>
                <w:iCs/>
                <w:sz w:val="20"/>
                <w:szCs w:val="20"/>
                <w:lang w:val="bg-BG"/>
              </w:rPr>
              <w:t>(a)</w:t>
            </w:r>
          </w:p>
        </w:tc>
        <w:tc>
          <w:tcPr>
            <w:tcW w:w="2222" w:type="pct"/>
          </w:tcPr>
          <w:p w14:paraId="3E84920F"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single-family</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houses</w:t>
            </w:r>
            <w:proofErr w:type="spellEnd"/>
          </w:p>
          <w:p w14:paraId="7EE40D68"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of</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different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types</w:t>
            </w:r>
            <w:proofErr w:type="spellEnd"/>
          </w:p>
        </w:tc>
        <w:tc>
          <w:tcPr>
            <w:tcW w:w="647" w:type="pct"/>
          </w:tcPr>
          <w:p w14:paraId="0DE34552"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62E71C0D"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907</w:t>
            </w:r>
          </w:p>
        </w:tc>
      </w:tr>
      <w:tr w:rsidR="00E6313A" w:rsidRPr="006F3533" w14:paraId="48E9C83D"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4E1F1025" w14:textId="77777777" w:rsidR="00E6313A" w:rsidRPr="006F3533" w:rsidRDefault="00E6313A" w:rsidP="00541E06">
            <w:pPr>
              <w:contextualSpacing/>
              <w:jc w:val="both"/>
              <w:rPr>
                <w:rFonts w:eastAsia="Calibri" w:cs="Times New Roman"/>
                <w:i/>
                <w:iCs/>
                <w:sz w:val="20"/>
                <w:szCs w:val="20"/>
                <w:lang w:val="bg-BG"/>
              </w:rPr>
            </w:pPr>
            <w:r w:rsidRPr="006F3533">
              <w:rPr>
                <w:rFonts w:eastAsia="Calibri" w:cs="Times New Roman"/>
                <w:i/>
                <w:iCs/>
                <w:sz w:val="20"/>
                <w:szCs w:val="20"/>
                <w:lang w:val="bg-BG"/>
              </w:rPr>
              <w:t>(b1)</w:t>
            </w:r>
          </w:p>
          <w:p w14:paraId="18BB483D" w14:textId="77777777" w:rsidR="00E6313A" w:rsidRPr="006F3533" w:rsidRDefault="00E6313A" w:rsidP="00541E06">
            <w:pPr>
              <w:contextualSpacing/>
              <w:jc w:val="both"/>
              <w:rPr>
                <w:rFonts w:eastAsia="Calibri" w:cs="Times New Roman"/>
                <w:i/>
                <w:iCs/>
                <w:sz w:val="20"/>
                <w:szCs w:val="20"/>
                <w:lang w:val="bg-BG"/>
              </w:rPr>
            </w:pPr>
          </w:p>
          <w:p w14:paraId="63CF1C1B" w14:textId="77777777" w:rsidR="00E6313A" w:rsidRPr="006F3533" w:rsidRDefault="00E6313A" w:rsidP="00541E06">
            <w:pPr>
              <w:contextualSpacing/>
              <w:jc w:val="both"/>
              <w:rPr>
                <w:rFonts w:eastAsia="Calibri" w:cs="Times New Roman"/>
                <w:i/>
                <w:iCs/>
                <w:sz w:val="20"/>
                <w:szCs w:val="20"/>
                <w:lang w:val="bg-BG"/>
              </w:rPr>
            </w:pPr>
          </w:p>
          <w:p w14:paraId="1B7630BF" w14:textId="77777777" w:rsidR="00E6313A" w:rsidRPr="006F3533" w:rsidRDefault="00E6313A" w:rsidP="00541E06">
            <w:pPr>
              <w:contextualSpacing/>
              <w:jc w:val="both"/>
              <w:rPr>
                <w:rFonts w:eastAsia="Calibri" w:cs="Times New Roman"/>
                <w:i/>
                <w:iCs/>
                <w:sz w:val="20"/>
                <w:szCs w:val="20"/>
                <w:lang w:val="bg-BG"/>
              </w:rPr>
            </w:pPr>
          </w:p>
        </w:tc>
        <w:tc>
          <w:tcPr>
            <w:tcW w:w="2222" w:type="pct"/>
          </w:tcPr>
          <w:p w14:paraId="2038C94F"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apartment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blocks</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or</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multi-family</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buildings</w:t>
            </w:r>
            <w:proofErr w:type="spellEnd"/>
            <w:r w:rsidRPr="006F3533">
              <w:rPr>
                <w:rFonts w:eastAsia="Calibri" w:cs="Times New Roman"/>
                <w:i/>
                <w:iCs/>
                <w:sz w:val="20"/>
                <w:szCs w:val="20"/>
                <w:lang w:val="bg-BG"/>
              </w:rPr>
              <w:t xml:space="preserve"> </w:t>
            </w:r>
          </w:p>
          <w:p w14:paraId="3D8F9ED6"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
          <w:p w14:paraId="49CD47FD"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
        </w:tc>
        <w:tc>
          <w:tcPr>
            <w:tcW w:w="647" w:type="pct"/>
          </w:tcPr>
          <w:p w14:paraId="634FA35A"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p w14:paraId="013AA9DD"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p w14:paraId="4293218E"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p w14:paraId="217B2D1D"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tc>
        <w:tc>
          <w:tcPr>
            <w:tcW w:w="1575" w:type="pct"/>
          </w:tcPr>
          <w:p w14:paraId="0D7E7F64"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5 319</w:t>
            </w:r>
          </w:p>
        </w:tc>
      </w:tr>
      <w:tr w:rsidR="00E6313A" w:rsidRPr="006F3533" w14:paraId="0A89CC26"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556" w:type="pct"/>
          </w:tcPr>
          <w:p w14:paraId="4BB3ACBE" w14:textId="77777777" w:rsidR="00E6313A" w:rsidRPr="006F3533" w:rsidRDefault="00E6313A" w:rsidP="00541E06">
            <w:pPr>
              <w:contextualSpacing/>
              <w:jc w:val="both"/>
              <w:rPr>
                <w:rFonts w:eastAsia="Calibri" w:cs="Times New Roman"/>
                <w:i/>
                <w:iCs/>
                <w:sz w:val="20"/>
                <w:szCs w:val="20"/>
                <w:lang w:val="bg-BG"/>
              </w:rPr>
            </w:pPr>
            <w:r w:rsidRPr="006F3533">
              <w:rPr>
                <w:rFonts w:eastAsia="Calibri" w:cs="Times New Roman"/>
                <w:i/>
                <w:iCs/>
                <w:sz w:val="20"/>
                <w:szCs w:val="20"/>
                <w:lang w:val="bg-BG"/>
              </w:rPr>
              <w:t>(b2)</w:t>
            </w:r>
          </w:p>
        </w:tc>
        <w:tc>
          <w:tcPr>
            <w:tcW w:w="2222" w:type="pct"/>
          </w:tcPr>
          <w:p w14:paraId="46F6D408"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residential</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building</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units</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in</w:t>
            </w:r>
            <w:proofErr w:type="spellEnd"/>
          </w:p>
          <w:p w14:paraId="06311D0A"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apartment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blocks</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or</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multi-family</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buildings</w:t>
            </w:r>
            <w:proofErr w:type="spellEnd"/>
          </w:p>
          <w:p w14:paraId="2533ABDA"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
        </w:tc>
        <w:tc>
          <w:tcPr>
            <w:tcW w:w="647" w:type="pct"/>
          </w:tcPr>
          <w:p w14:paraId="4A548BE8"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28882896"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p>
        </w:tc>
      </w:tr>
      <w:tr w:rsidR="00E6313A" w:rsidRPr="006F3533" w14:paraId="348393FD"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6369967C" w14:textId="77777777" w:rsidR="00E6313A" w:rsidRPr="006F3533" w:rsidRDefault="00E6313A" w:rsidP="00541E06">
            <w:pPr>
              <w:contextualSpacing/>
              <w:jc w:val="both"/>
              <w:rPr>
                <w:rFonts w:eastAsia="Calibri" w:cs="Times New Roman"/>
                <w:sz w:val="20"/>
                <w:szCs w:val="20"/>
                <w:lang w:val="bg-BG"/>
              </w:rPr>
            </w:pPr>
            <w:r w:rsidRPr="006F3533">
              <w:rPr>
                <w:rFonts w:eastAsia="Calibri" w:cs="Times New Roman"/>
                <w:sz w:val="20"/>
                <w:szCs w:val="20"/>
                <w:lang w:val="bg-BG"/>
              </w:rPr>
              <w:t>NR</w:t>
            </w:r>
          </w:p>
        </w:tc>
        <w:tc>
          <w:tcPr>
            <w:tcW w:w="2222" w:type="pct"/>
          </w:tcPr>
          <w:p w14:paraId="64BEF43A"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Non-residential</w:t>
            </w:r>
            <w:proofErr w:type="spellEnd"/>
          </w:p>
          <w:p w14:paraId="0CAC4577"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p w14:paraId="47F1AB64"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Out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of</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which</w:t>
            </w:r>
            <w:proofErr w:type="spellEnd"/>
          </w:p>
        </w:tc>
        <w:tc>
          <w:tcPr>
            <w:tcW w:w="647" w:type="pct"/>
          </w:tcPr>
          <w:p w14:paraId="1D48E7E8"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M</w:t>
            </w:r>
          </w:p>
        </w:tc>
        <w:tc>
          <w:tcPr>
            <w:tcW w:w="1575" w:type="pct"/>
          </w:tcPr>
          <w:p w14:paraId="10F57B30"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3 789</w:t>
            </w:r>
            <w:r w:rsidRPr="006F3533">
              <w:rPr>
                <w:rFonts w:eastAsia="Calibri" w:cs="Times New Roman"/>
                <w:color w:val="0070C0"/>
                <w:sz w:val="20"/>
                <w:szCs w:val="20"/>
                <w:lang w:val="bg-BG"/>
              </w:rPr>
              <w:br/>
              <w:t xml:space="preserve"> NR = (c) + (d) + (e) + (f) +(g) + (h) +(i)</w:t>
            </w:r>
          </w:p>
        </w:tc>
      </w:tr>
      <w:tr w:rsidR="00E6313A" w:rsidRPr="006F3533" w14:paraId="573DFF8B"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556" w:type="pct"/>
          </w:tcPr>
          <w:p w14:paraId="36D1298D" w14:textId="77777777" w:rsidR="00E6313A" w:rsidRPr="006F3533" w:rsidRDefault="00E6313A" w:rsidP="00541E06">
            <w:pPr>
              <w:jc w:val="both"/>
              <w:rPr>
                <w:rFonts w:eastAsia="Calibri" w:cs="Times New Roman"/>
                <w:i/>
                <w:iCs/>
                <w:sz w:val="20"/>
                <w:szCs w:val="20"/>
                <w:lang w:val="bg-BG"/>
              </w:rPr>
            </w:pPr>
            <w:r w:rsidRPr="006F3533">
              <w:rPr>
                <w:rFonts w:eastAsia="Calibri" w:cs="Times New Roman"/>
                <w:i/>
                <w:iCs/>
                <w:sz w:val="20"/>
                <w:szCs w:val="20"/>
                <w:lang w:val="bg-BG"/>
              </w:rPr>
              <w:t>(c)</w:t>
            </w:r>
          </w:p>
        </w:tc>
        <w:tc>
          <w:tcPr>
            <w:tcW w:w="2222" w:type="pct"/>
          </w:tcPr>
          <w:p w14:paraId="1133DB7F" w14:textId="77777777" w:rsidR="00E6313A" w:rsidRPr="006F3533" w:rsidRDefault="00E6313A" w:rsidP="00541E06">
            <w:pPr>
              <w:ind w:left="708"/>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i/>
                <w:iCs/>
                <w:sz w:val="20"/>
                <w:szCs w:val="20"/>
                <w:lang w:val="bg-BG"/>
              </w:rPr>
              <w:t>offices</w:t>
            </w:r>
            <w:proofErr w:type="spellEnd"/>
          </w:p>
        </w:tc>
        <w:tc>
          <w:tcPr>
            <w:tcW w:w="647" w:type="pct"/>
          </w:tcPr>
          <w:p w14:paraId="0D783F60"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59240E1B"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1 078</w:t>
            </w:r>
          </w:p>
        </w:tc>
      </w:tr>
      <w:tr w:rsidR="00E6313A" w:rsidRPr="006F3533" w14:paraId="0DE018E8"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00815A41" w14:textId="77777777" w:rsidR="00E6313A" w:rsidRPr="006F3533" w:rsidRDefault="00E6313A" w:rsidP="00541E06">
            <w:pPr>
              <w:contextualSpacing/>
              <w:jc w:val="both"/>
              <w:rPr>
                <w:rFonts w:eastAsia="Calibri" w:cs="Times New Roman"/>
                <w:i/>
                <w:iCs/>
                <w:sz w:val="20"/>
                <w:szCs w:val="20"/>
                <w:lang w:val="bg-BG"/>
              </w:rPr>
            </w:pPr>
            <w:r w:rsidRPr="006F3533">
              <w:rPr>
                <w:rFonts w:eastAsia="Calibri" w:cs="Times New Roman"/>
                <w:i/>
                <w:iCs/>
                <w:sz w:val="20"/>
                <w:szCs w:val="20"/>
                <w:lang w:val="bg-BG"/>
              </w:rPr>
              <w:t>(d)</w:t>
            </w:r>
          </w:p>
        </w:tc>
        <w:tc>
          <w:tcPr>
            <w:tcW w:w="2222" w:type="pct"/>
          </w:tcPr>
          <w:p w14:paraId="7D703285"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educational</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buildings</w:t>
            </w:r>
            <w:proofErr w:type="spellEnd"/>
          </w:p>
        </w:tc>
        <w:tc>
          <w:tcPr>
            <w:tcW w:w="647" w:type="pct"/>
          </w:tcPr>
          <w:p w14:paraId="544F2063"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7A9A55F2"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530</w:t>
            </w:r>
          </w:p>
        </w:tc>
      </w:tr>
      <w:tr w:rsidR="00E6313A" w:rsidRPr="006F3533" w14:paraId="1067C008"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556" w:type="pct"/>
          </w:tcPr>
          <w:p w14:paraId="692836A6" w14:textId="77777777" w:rsidR="00E6313A" w:rsidRPr="006F3533" w:rsidRDefault="00E6313A" w:rsidP="00541E06">
            <w:pPr>
              <w:contextualSpacing/>
              <w:jc w:val="both"/>
              <w:rPr>
                <w:rFonts w:eastAsia="Calibri" w:cs="Times New Roman"/>
                <w:i/>
                <w:iCs/>
                <w:sz w:val="20"/>
                <w:szCs w:val="20"/>
                <w:lang w:val="bg-BG"/>
              </w:rPr>
            </w:pPr>
            <w:r w:rsidRPr="006F3533">
              <w:rPr>
                <w:rFonts w:eastAsia="Calibri" w:cs="Times New Roman"/>
                <w:i/>
                <w:iCs/>
                <w:sz w:val="20"/>
                <w:szCs w:val="20"/>
                <w:lang w:val="bg-BG"/>
              </w:rPr>
              <w:t>(e)</w:t>
            </w:r>
          </w:p>
        </w:tc>
        <w:tc>
          <w:tcPr>
            <w:tcW w:w="2222" w:type="pct"/>
          </w:tcPr>
          <w:p w14:paraId="46C56B40"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kindergartens</w:t>
            </w:r>
            <w:proofErr w:type="spellEnd"/>
            <w:r w:rsidRPr="006F3533">
              <w:rPr>
                <w:rFonts w:eastAsia="Calibri" w:cs="Times New Roman"/>
                <w:i/>
                <w:iCs/>
                <w:sz w:val="20"/>
                <w:szCs w:val="20"/>
                <w:lang w:val="bg-BG"/>
              </w:rPr>
              <w:t xml:space="preserve"> and </w:t>
            </w:r>
            <w:proofErr w:type="spellStart"/>
            <w:r w:rsidRPr="006F3533">
              <w:rPr>
                <w:rFonts w:eastAsia="Calibri" w:cs="Times New Roman"/>
                <w:i/>
                <w:iCs/>
                <w:sz w:val="20"/>
                <w:szCs w:val="20"/>
                <w:lang w:val="bg-BG"/>
              </w:rPr>
              <w:t>nursery</w:t>
            </w:r>
            <w:proofErr w:type="spellEnd"/>
          </w:p>
        </w:tc>
        <w:tc>
          <w:tcPr>
            <w:tcW w:w="647" w:type="pct"/>
          </w:tcPr>
          <w:p w14:paraId="1EB05423"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6D988D0B"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395</w:t>
            </w:r>
          </w:p>
        </w:tc>
      </w:tr>
      <w:tr w:rsidR="00E6313A" w:rsidRPr="006F3533" w14:paraId="3A19FD4B"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773EAF12" w14:textId="77777777" w:rsidR="00E6313A" w:rsidRPr="006F3533" w:rsidRDefault="00E6313A" w:rsidP="00541E06">
            <w:pPr>
              <w:contextualSpacing/>
              <w:jc w:val="both"/>
              <w:rPr>
                <w:rFonts w:eastAsia="Calibri" w:cs="Times New Roman"/>
                <w:i/>
                <w:iCs/>
                <w:sz w:val="20"/>
                <w:szCs w:val="20"/>
                <w:lang w:val="bg-BG"/>
              </w:rPr>
            </w:pPr>
            <w:r w:rsidRPr="006F3533">
              <w:rPr>
                <w:rFonts w:eastAsia="Calibri" w:cs="Times New Roman"/>
                <w:i/>
                <w:iCs/>
                <w:sz w:val="20"/>
                <w:szCs w:val="20"/>
                <w:lang w:val="bg-BG"/>
              </w:rPr>
              <w:t>(f)</w:t>
            </w:r>
          </w:p>
        </w:tc>
        <w:tc>
          <w:tcPr>
            <w:tcW w:w="2222" w:type="pct"/>
          </w:tcPr>
          <w:p w14:paraId="3ACF4046"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hospitals</w:t>
            </w:r>
            <w:proofErr w:type="spellEnd"/>
            <w:r w:rsidRPr="006F3533">
              <w:rPr>
                <w:rFonts w:eastAsia="Calibri" w:cs="Times New Roman"/>
                <w:i/>
                <w:iCs/>
                <w:sz w:val="20"/>
                <w:szCs w:val="20"/>
                <w:lang w:val="bg-BG"/>
              </w:rPr>
              <w:t xml:space="preserve"> &amp; </w:t>
            </w:r>
            <w:proofErr w:type="spellStart"/>
            <w:r w:rsidRPr="006F3533">
              <w:rPr>
                <w:rFonts w:eastAsia="Calibri" w:cs="Times New Roman"/>
                <w:i/>
                <w:iCs/>
                <w:sz w:val="20"/>
                <w:szCs w:val="20"/>
                <w:lang w:val="bg-BG"/>
              </w:rPr>
              <w:t>healthcare</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buildings</w:t>
            </w:r>
            <w:proofErr w:type="spellEnd"/>
          </w:p>
        </w:tc>
        <w:tc>
          <w:tcPr>
            <w:tcW w:w="647" w:type="pct"/>
          </w:tcPr>
          <w:p w14:paraId="3BE18549"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55C322C7"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192</w:t>
            </w:r>
          </w:p>
        </w:tc>
      </w:tr>
      <w:tr w:rsidR="00E6313A" w:rsidRPr="006F3533" w14:paraId="31EDC399"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556" w:type="pct"/>
          </w:tcPr>
          <w:p w14:paraId="1216E749" w14:textId="77777777" w:rsidR="00E6313A" w:rsidRPr="006F3533" w:rsidRDefault="00E6313A" w:rsidP="00541E06">
            <w:pPr>
              <w:contextualSpacing/>
              <w:jc w:val="both"/>
              <w:rPr>
                <w:rFonts w:eastAsia="Calibri" w:cs="Times New Roman"/>
                <w:i/>
                <w:iCs/>
                <w:sz w:val="20"/>
                <w:szCs w:val="20"/>
                <w:lang w:val="bg-BG"/>
              </w:rPr>
            </w:pPr>
            <w:r w:rsidRPr="006F3533">
              <w:rPr>
                <w:rFonts w:eastAsia="Calibri" w:cs="Times New Roman"/>
                <w:i/>
                <w:iCs/>
                <w:sz w:val="20"/>
                <w:szCs w:val="20"/>
                <w:lang w:val="bg-BG"/>
              </w:rPr>
              <w:t>(g)</w:t>
            </w:r>
          </w:p>
        </w:tc>
        <w:tc>
          <w:tcPr>
            <w:tcW w:w="2222" w:type="pct"/>
          </w:tcPr>
          <w:p w14:paraId="13B3A879"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hotels</w:t>
            </w:r>
            <w:proofErr w:type="spellEnd"/>
            <w:r w:rsidRPr="006F3533">
              <w:rPr>
                <w:rFonts w:eastAsia="Calibri" w:cs="Times New Roman"/>
                <w:i/>
                <w:iCs/>
                <w:sz w:val="20"/>
                <w:szCs w:val="20"/>
                <w:lang w:val="bg-BG"/>
              </w:rPr>
              <w:t xml:space="preserve"> and </w:t>
            </w:r>
            <w:proofErr w:type="spellStart"/>
            <w:r w:rsidRPr="006F3533">
              <w:rPr>
                <w:rFonts w:eastAsia="Calibri" w:cs="Times New Roman"/>
                <w:i/>
                <w:iCs/>
                <w:sz w:val="20"/>
                <w:szCs w:val="20"/>
                <w:lang w:val="bg-BG"/>
              </w:rPr>
              <w:t>restaurants</w:t>
            </w:r>
            <w:proofErr w:type="spellEnd"/>
          </w:p>
        </w:tc>
        <w:tc>
          <w:tcPr>
            <w:tcW w:w="647" w:type="pct"/>
          </w:tcPr>
          <w:p w14:paraId="6E52F256"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7F27B8E9"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252</w:t>
            </w:r>
          </w:p>
        </w:tc>
      </w:tr>
      <w:tr w:rsidR="00E6313A" w:rsidRPr="006F3533" w14:paraId="14B10835"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09758F4A" w14:textId="77777777" w:rsidR="00E6313A" w:rsidRPr="006F3533" w:rsidRDefault="00E6313A" w:rsidP="00541E06">
            <w:pPr>
              <w:contextualSpacing/>
              <w:jc w:val="both"/>
              <w:rPr>
                <w:rFonts w:eastAsia="Calibri" w:cs="Times New Roman"/>
                <w:i/>
                <w:iCs/>
                <w:sz w:val="20"/>
                <w:szCs w:val="20"/>
                <w:lang w:val="bg-BG"/>
              </w:rPr>
            </w:pPr>
            <w:r w:rsidRPr="006F3533">
              <w:rPr>
                <w:rFonts w:eastAsia="Calibri" w:cs="Times New Roman"/>
                <w:i/>
                <w:iCs/>
                <w:sz w:val="20"/>
                <w:szCs w:val="20"/>
                <w:lang w:val="bg-BG"/>
              </w:rPr>
              <w:t>(h)</w:t>
            </w:r>
          </w:p>
        </w:tc>
        <w:tc>
          <w:tcPr>
            <w:tcW w:w="2222" w:type="pct"/>
          </w:tcPr>
          <w:p w14:paraId="7E06C107"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wholesale</w:t>
            </w:r>
            <w:proofErr w:type="spellEnd"/>
            <w:r w:rsidRPr="006F3533">
              <w:rPr>
                <w:rFonts w:eastAsia="Calibri" w:cs="Times New Roman"/>
                <w:i/>
                <w:iCs/>
                <w:sz w:val="20"/>
                <w:szCs w:val="20"/>
                <w:lang w:val="bg-BG"/>
              </w:rPr>
              <w:t xml:space="preserve"> and </w:t>
            </w:r>
            <w:proofErr w:type="spellStart"/>
            <w:r w:rsidRPr="006F3533">
              <w:rPr>
                <w:rFonts w:eastAsia="Calibri" w:cs="Times New Roman"/>
                <w:i/>
                <w:iCs/>
                <w:sz w:val="20"/>
                <w:szCs w:val="20"/>
                <w:lang w:val="bg-BG"/>
              </w:rPr>
              <w:t>retail</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trade</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services</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buildings</w:t>
            </w:r>
            <w:proofErr w:type="spellEnd"/>
          </w:p>
        </w:tc>
        <w:tc>
          <w:tcPr>
            <w:tcW w:w="647" w:type="pct"/>
          </w:tcPr>
          <w:p w14:paraId="64281DC1"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720A6AD3"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654</w:t>
            </w:r>
          </w:p>
        </w:tc>
      </w:tr>
      <w:tr w:rsidR="00E6313A" w:rsidRPr="006F3533" w14:paraId="0B2AC625"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556" w:type="pct"/>
          </w:tcPr>
          <w:p w14:paraId="66948DED" w14:textId="77777777" w:rsidR="00E6313A" w:rsidRPr="006F3533" w:rsidRDefault="00E6313A" w:rsidP="00541E06">
            <w:pPr>
              <w:contextualSpacing/>
              <w:jc w:val="both"/>
              <w:rPr>
                <w:rFonts w:eastAsia="Calibri" w:cs="Times New Roman"/>
                <w:i/>
                <w:iCs/>
                <w:sz w:val="20"/>
                <w:szCs w:val="20"/>
                <w:lang w:val="bg-BG"/>
              </w:rPr>
            </w:pPr>
            <w:r w:rsidRPr="006F3533">
              <w:rPr>
                <w:rFonts w:eastAsia="Calibri" w:cs="Times New Roman"/>
                <w:i/>
                <w:iCs/>
                <w:sz w:val="20"/>
                <w:szCs w:val="20"/>
                <w:lang w:val="bg-BG"/>
              </w:rPr>
              <w:t>(i)</w:t>
            </w:r>
          </w:p>
        </w:tc>
        <w:tc>
          <w:tcPr>
            <w:tcW w:w="2222" w:type="pct"/>
          </w:tcPr>
          <w:p w14:paraId="6C15B189"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i/>
                <w:iCs/>
                <w:sz w:val="20"/>
                <w:szCs w:val="20"/>
                <w:lang w:val="bg-BG"/>
              </w:rPr>
              <w:t>sport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facilities</w:t>
            </w:r>
            <w:proofErr w:type="spellEnd"/>
          </w:p>
        </w:tc>
        <w:tc>
          <w:tcPr>
            <w:tcW w:w="647" w:type="pct"/>
          </w:tcPr>
          <w:p w14:paraId="1748B8F4"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5BEC1692"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139</w:t>
            </w:r>
          </w:p>
        </w:tc>
      </w:tr>
      <w:tr w:rsidR="00E6313A" w:rsidRPr="006F3533" w14:paraId="6FC3140A"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03002A86" w14:textId="77777777" w:rsidR="00E6313A" w:rsidRPr="006F3533" w:rsidRDefault="00E6313A" w:rsidP="00541E06">
            <w:pPr>
              <w:contextualSpacing/>
              <w:jc w:val="both"/>
              <w:rPr>
                <w:rFonts w:eastAsia="Calibri" w:cs="Times New Roman"/>
                <w:sz w:val="20"/>
                <w:szCs w:val="20"/>
                <w:lang w:val="bg-BG"/>
              </w:rPr>
            </w:pPr>
            <w:r w:rsidRPr="006F3533">
              <w:rPr>
                <w:rFonts w:eastAsia="Calibri" w:cs="Times New Roman"/>
                <w:i/>
                <w:iCs/>
                <w:sz w:val="20"/>
                <w:szCs w:val="20"/>
                <w:lang w:val="bg-BG"/>
              </w:rPr>
              <w:t>(j)</w:t>
            </w:r>
          </w:p>
        </w:tc>
        <w:tc>
          <w:tcPr>
            <w:tcW w:w="2222" w:type="pct"/>
          </w:tcPr>
          <w:p w14:paraId="386C092F"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culture</w:t>
            </w:r>
            <w:proofErr w:type="spellEnd"/>
            <w:r w:rsidRPr="006F3533">
              <w:rPr>
                <w:rFonts w:eastAsia="Calibri" w:cs="Times New Roman"/>
                <w:i/>
                <w:iCs/>
                <w:sz w:val="20"/>
                <w:szCs w:val="20"/>
                <w:lang w:val="bg-BG"/>
              </w:rPr>
              <w:t xml:space="preserve"> and </w:t>
            </w:r>
            <w:proofErr w:type="spellStart"/>
            <w:r w:rsidRPr="006F3533">
              <w:rPr>
                <w:rFonts w:eastAsia="Calibri" w:cs="Times New Roman"/>
                <w:i/>
                <w:iCs/>
                <w:sz w:val="20"/>
                <w:szCs w:val="20"/>
                <w:lang w:val="bg-BG"/>
              </w:rPr>
              <w:t>art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buildings</w:t>
            </w:r>
            <w:proofErr w:type="spellEnd"/>
          </w:p>
        </w:tc>
        <w:tc>
          <w:tcPr>
            <w:tcW w:w="647" w:type="pct"/>
          </w:tcPr>
          <w:p w14:paraId="23A913E4"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286CC4B5"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303</w:t>
            </w:r>
          </w:p>
        </w:tc>
      </w:tr>
      <w:tr w:rsidR="00E6313A" w:rsidRPr="006F3533" w14:paraId="52EDFBD4"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556" w:type="pct"/>
          </w:tcPr>
          <w:p w14:paraId="29E4BDFE" w14:textId="77777777" w:rsidR="00E6313A" w:rsidRPr="006F3533" w:rsidRDefault="00E6313A" w:rsidP="00541E06">
            <w:pPr>
              <w:contextualSpacing/>
              <w:jc w:val="both"/>
              <w:rPr>
                <w:rFonts w:eastAsia="Calibri" w:cs="Times New Roman"/>
                <w:sz w:val="20"/>
                <w:szCs w:val="20"/>
                <w:lang w:val="bg-BG"/>
              </w:rPr>
            </w:pPr>
            <w:r w:rsidRPr="006F3533">
              <w:rPr>
                <w:rFonts w:eastAsia="Calibri" w:cs="Times New Roman"/>
                <w:i/>
                <w:iCs/>
                <w:sz w:val="20"/>
                <w:szCs w:val="20"/>
                <w:lang w:val="bg-BG"/>
              </w:rPr>
              <w:t>(k)</w:t>
            </w:r>
          </w:p>
        </w:tc>
        <w:tc>
          <w:tcPr>
            <w:tcW w:w="2222" w:type="pct"/>
          </w:tcPr>
          <w:p w14:paraId="47598494"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Other</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type</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individual</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energy</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class</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scales</w:t>
            </w:r>
            <w:proofErr w:type="spellEnd"/>
            <w:r w:rsidRPr="006F3533">
              <w:rPr>
                <w:rFonts w:eastAsia="Calibri" w:cs="Times New Roman"/>
                <w:i/>
                <w:iCs/>
                <w:sz w:val="20"/>
                <w:szCs w:val="20"/>
                <w:lang w:val="bg-BG"/>
              </w:rPr>
              <w:t>)</w:t>
            </w:r>
          </w:p>
        </w:tc>
        <w:tc>
          <w:tcPr>
            <w:tcW w:w="647" w:type="pct"/>
          </w:tcPr>
          <w:p w14:paraId="503FEA4C"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3F0C38DB"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246</w:t>
            </w:r>
          </w:p>
        </w:tc>
      </w:tr>
      <w:tr w:rsidR="00E6313A" w:rsidRPr="006F3533" w14:paraId="132F9CE3"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0EE2DECB" w14:textId="77777777" w:rsidR="00E6313A" w:rsidRPr="006F3533" w:rsidRDefault="00E6313A" w:rsidP="00541E06">
            <w:pPr>
              <w:contextualSpacing/>
              <w:jc w:val="both"/>
              <w:rPr>
                <w:rFonts w:eastAsia="Calibri" w:cs="Times New Roman"/>
                <w:sz w:val="20"/>
                <w:szCs w:val="20"/>
                <w:lang w:val="bg-BG"/>
              </w:rPr>
            </w:pPr>
          </w:p>
        </w:tc>
        <w:tc>
          <w:tcPr>
            <w:tcW w:w="2222" w:type="pct"/>
          </w:tcPr>
          <w:p w14:paraId="3089BF01"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Out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of</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which</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public</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buildings</w:t>
            </w:r>
            <w:proofErr w:type="spellEnd"/>
          </w:p>
        </w:tc>
        <w:tc>
          <w:tcPr>
            <w:tcW w:w="647" w:type="pct"/>
          </w:tcPr>
          <w:p w14:paraId="2F71581D"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M</w:t>
            </w:r>
          </w:p>
        </w:tc>
        <w:tc>
          <w:tcPr>
            <w:tcW w:w="1575" w:type="pct"/>
          </w:tcPr>
          <w:p w14:paraId="2A4E26B4"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NA</w:t>
            </w:r>
          </w:p>
        </w:tc>
      </w:tr>
      <w:tr w:rsidR="00E6313A" w:rsidRPr="006F3533" w14:paraId="236D2E0D"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556" w:type="pct"/>
          </w:tcPr>
          <w:p w14:paraId="24A26D9C" w14:textId="77777777" w:rsidR="00E6313A" w:rsidRPr="006F3533" w:rsidRDefault="00E6313A" w:rsidP="00541E06">
            <w:pPr>
              <w:contextualSpacing/>
              <w:jc w:val="both"/>
              <w:rPr>
                <w:rFonts w:eastAsia="Calibri" w:cs="Times New Roman"/>
                <w:sz w:val="20"/>
                <w:szCs w:val="20"/>
                <w:lang w:val="bg-BG"/>
              </w:rPr>
            </w:pPr>
            <w:r w:rsidRPr="006F3533">
              <w:rPr>
                <w:rFonts w:eastAsia="Calibri" w:cs="Times New Roman"/>
                <w:sz w:val="20"/>
                <w:szCs w:val="20"/>
                <w:lang w:val="bg-BG"/>
              </w:rPr>
              <w:t>T</w:t>
            </w:r>
          </w:p>
        </w:tc>
        <w:tc>
          <w:tcPr>
            <w:tcW w:w="2222" w:type="pct"/>
          </w:tcPr>
          <w:p w14:paraId="0653B58B"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Total</w:t>
            </w:r>
          </w:p>
        </w:tc>
        <w:tc>
          <w:tcPr>
            <w:tcW w:w="647" w:type="pct"/>
          </w:tcPr>
          <w:p w14:paraId="54684DFE"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
        </w:tc>
        <w:tc>
          <w:tcPr>
            <w:tcW w:w="1575" w:type="pct"/>
          </w:tcPr>
          <w:p w14:paraId="4084E177"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color w:val="0070C0"/>
                <w:sz w:val="20"/>
                <w:szCs w:val="20"/>
                <w:lang w:val="bg-BG"/>
              </w:rPr>
            </w:pPr>
            <w:r w:rsidRPr="006F3533">
              <w:rPr>
                <w:rFonts w:eastAsia="Calibri" w:cs="Times New Roman"/>
                <w:color w:val="0070C0"/>
                <w:sz w:val="20"/>
                <w:szCs w:val="20"/>
                <w:lang w:val="bg-BG"/>
              </w:rPr>
              <w:t>10 015</w:t>
            </w:r>
          </w:p>
          <w:p w14:paraId="44CA640D"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color w:val="0070C0"/>
                <w:sz w:val="20"/>
                <w:szCs w:val="20"/>
                <w:lang w:val="bg-BG"/>
              </w:rPr>
              <w:t>T=R + NR</w:t>
            </w:r>
          </w:p>
        </w:tc>
      </w:tr>
    </w:tbl>
    <w:p w14:paraId="2E8C6EB5"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База данни АУЕР, 2025 г.</w:t>
      </w:r>
    </w:p>
    <w:p w14:paraId="5C7FE241" w14:textId="77777777" w:rsidR="00E6313A" w:rsidRPr="006F3533" w:rsidRDefault="00E6313A" w:rsidP="00E6313A">
      <w:pPr>
        <w:spacing w:line="240" w:lineRule="auto"/>
        <w:jc w:val="both"/>
        <w:rPr>
          <w:rFonts w:eastAsia="Calibri" w:cs="Times New Roman"/>
          <w:szCs w:val="24"/>
          <w:lang w:val="bg-BG"/>
        </w:rPr>
      </w:pPr>
      <w:r w:rsidRPr="006F3533">
        <w:rPr>
          <w:rFonts w:eastAsia="Calibri" w:cs="Times New Roman"/>
          <w:szCs w:val="24"/>
          <w:lang w:val="bg-BG"/>
        </w:rPr>
        <w:t xml:space="preserve">В таблицата  по-долу е представена информация за разпределението на валидните сертификати на жилищните сгради по типове сгради и по разгъната застроена площ, която дава по-пълна представа за покритието на валидните сертификати за енергийните характеристики спрямо всички жилищни сгради. </w:t>
      </w:r>
    </w:p>
    <w:p w14:paraId="3117C2E9" w14:textId="77777777" w:rsidR="00E6313A" w:rsidRPr="006F3533" w:rsidRDefault="00E6313A" w:rsidP="00E6313A">
      <w:pPr>
        <w:spacing w:line="240" w:lineRule="auto"/>
        <w:jc w:val="both"/>
        <w:rPr>
          <w:rFonts w:eastAsia="Calibri" w:cs="Times New Roman"/>
          <w:szCs w:val="24"/>
          <w:lang w:val="bg-BG"/>
        </w:rPr>
      </w:pPr>
      <w:r w:rsidRPr="006F3533">
        <w:rPr>
          <w:rFonts w:eastAsia="Calibri" w:cs="Times New Roman"/>
          <w:szCs w:val="24"/>
          <w:lang w:val="bg-BG"/>
        </w:rPr>
        <w:t>От представените данни се вижда, че валидните сертификати на многофамилните жилищни сгради в настоящия момент покриват  10,5% от общата площ на МЖС, докато валидните сертификати на еднофамилните къщи - едва 0,15 % от общата площ на ЕФК</w:t>
      </w:r>
    </w:p>
    <w:p w14:paraId="779D42AD" w14:textId="77777777" w:rsidR="00E6313A" w:rsidRPr="006F3533" w:rsidRDefault="00E6313A" w:rsidP="00E6313A">
      <w:pPr>
        <w:spacing w:line="240" w:lineRule="auto"/>
        <w:contextualSpacing/>
        <w:jc w:val="both"/>
        <w:rPr>
          <w:rFonts w:eastAsia="Calibri" w:cs="Times New Roman"/>
          <w:i/>
          <w:iCs/>
          <w:color w:val="0070C0"/>
          <w:szCs w:val="24"/>
          <w:lang w:val="bg-BG"/>
        </w:rPr>
      </w:pPr>
    </w:p>
    <w:p w14:paraId="6713E579" w14:textId="77777777" w:rsidR="00E6313A" w:rsidRPr="006F3533" w:rsidRDefault="00E6313A" w:rsidP="00E6313A">
      <w:pPr>
        <w:spacing w:line="240" w:lineRule="auto"/>
        <w:contextualSpacing/>
        <w:jc w:val="both"/>
        <w:rPr>
          <w:rFonts w:eastAsia="Calibri" w:cs="Times New Roman"/>
          <w:i/>
          <w:iCs/>
          <w:color w:val="0070C0"/>
          <w:szCs w:val="24"/>
          <w:lang w:val="bg-BG"/>
        </w:rPr>
      </w:pPr>
      <w:r w:rsidRPr="006F3533">
        <w:rPr>
          <w:rFonts w:eastAsia="Calibri" w:cs="Times New Roman"/>
          <w:i/>
          <w:iCs/>
          <w:color w:val="0070C0"/>
          <w:szCs w:val="24"/>
          <w:lang w:val="bg-BG"/>
        </w:rPr>
        <w:t xml:space="preserve">Таблица № </w:t>
      </w:r>
      <w:r w:rsidRPr="006F3533">
        <w:rPr>
          <w:rFonts w:eastAsia="Calibri" w:cs="Times New Roman"/>
          <w:i/>
          <w:iCs/>
          <w:color w:val="0070C0"/>
          <w:szCs w:val="24"/>
          <w:lang w:val="bg-BG"/>
        </w:rPr>
        <w:fldChar w:fldCharType="begin"/>
      </w:r>
      <w:r w:rsidRPr="006F3533">
        <w:rPr>
          <w:rFonts w:eastAsia="Calibri" w:cs="Times New Roman"/>
          <w:i/>
          <w:iCs/>
          <w:color w:val="0070C0"/>
          <w:szCs w:val="24"/>
          <w:lang w:val="bg-BG"/>
        </w:rPr>
        <w:instrText xml:space="preserve"> SEQ Таблица_№ \* ARABIC </w:instrText>
      </w:r>
      <w:r w:rsidRPr="006F3533">
        <w:rPr>
          <w:rFonts w:eastAsia="Calibri" w:cs="Times New Roman"/>
          <w:i/>
          <w:iCs/>
          <w:color w:val="0070C0"/>
          <w:szCs w:val="24"/>
          <w:lang w:val="bg-BG"/>
        </w:rPr>
        <w:fldChar w:fldCharType="separate"/>
      </w:r>
      <w:r w:rsidRPr="006F3533">
        <w:rPr>
          <w:rFonts w:eastAsia="Calibri" w:cs="Times New Roman"/>
          <w:i/>
          <w:iCs/>
          <w:noProof/>
          <w:color w:val="0070C0"/>
          <w:szCs w:val="24"/>
          <w:lang w:val="bg-BG"/>
        </w:rPr>
        <w:t>18</w:t>
      </w:r>
      <w:r w:rsidRPr="006F3533">
        <w:rPr>
          <w:rFonts w:eastAsia="Calibri" w:cs="Times New Roman"/>
          <w:i/>
          <w:iCs/>
          <w:color w:val="0070C0"/>
          <w:szCs w:val="24"/>
          <w:lang w:val="bg-BG"/>
        </w:rPr>
        <w:fldChar w:fldCharType="end"/>
      </w:r>
      <w:r w:rsidRPr="006F3533">
        <w:rPr>
          <w:rFonts w:eastAsia="Calibri" w:cs="Times New Roman"/>
          <w:i/>
          <w:iCs/>
          <w:color w:val="0070C0"/>
          <w:szCs w:val="24"/>
          <w:lang w:val="bg-BG"/>
        </w:rPr>
        <w:t>: Разгъната застроена площ на жилищните сгради с валидни сертификатите - разпределение по типове сгради</w:t>
      </w:r>
    </w:p>
    <w:p w14:paraId="01575244" w14:textId="77777777" w:rsidR="00E6313A" w:rsidRPr="006F3533" w:rsidRDefault="00E6313A" w:rsidP="00E6313A">
      <w:pPr>
        <w:spacing w:line="240" w:lineRule="auto"/>
        <w:contextualSpacing/>
        <w:jc w:val="both"/>
        <w:rPr>
          <w:rFonts w:eastAsia="Calibri" w:cs="Times New Roman"/>
          <w:i/>
          <w:iCs/>
          <w:color w:val="0070C0"/>
          <w:szCs w:val="24"/>
          <w:lang w:val="bg-BG"/>
        </w:rPr>
      </w:pPr>
    </w:p>
    <w:tbl>
      <w:tblPr>
        <w:tblStyle w:val="GridTable4-Accent5"/>
        <w:tblW w:w="5000" w:type="pct"/>
        <w:tblLook w:val="04A0" w:firstRow="1" w:lastRow="0" w:firstColumn="1" w:lastColumn="0" w:noHBand="0" w:noVBand="1"/>
      </w:tblPr>
      <w:tblGrid>
        <w:gridCol w:w="1007"/>
        <w:gridCol w:w="4027"/>
        <w:gridCol w:w="1173"/>
        <w:gridCol w:w="2855"/>
      </w:tblGrid>
      <w:tr w:rsidR="00E6313A" w:rsidRPr="006F3533" w14:paraId="63995562" w14:textId="77777777" w:rsidTr="00541E0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0DFB9F1F" w14:textId="77777777" w:rsidR="00E6313A" w:rsidRPr="006F3533" w:rsidRDefault="00E6313A" w:rsidP="00541E06">
            <w:pPr>
              <w:contextualSpacing/>
              <w:jc w:val="both"/>
              <w:rPr>
                <w:rFonts w:eastAsia="Calibri" w:cs="Times New Roman"/>
                <w:sz w:val="20"/>
                <w:szCs w:val="20"/>
                <w:lang w:val="bg-BG"/>
              </w:rPr>
            </w:pPr>
            <w:proofErr w:type="spellStart"/>
            <w:r w:rsidRPr="006F3533">
              <w:rPr>
                <w:rFonts w:eastAsia="Calibri" w:cs="Times New Roman"/>
                <w:sz w:val="20"/>
                <w:szCs w:val="20"/>
                <w:lang w:val="bg-BG"/>
              </w:rPr>
              <w:t>Code</w:t>
            </w:r>
            <w:proofErr w:type="spellEnd"/>
          </w:p>
        </w:tc>
        <w:tc>
          <w:tcPr>
            <w:tcW w:w="2222" w:type="pct"/>
          </w:tcPr>
          <w:p w14:paraId="09142662"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Building</w:t>
            </w:r>
          </w:p>
          <w:p w14:paraId="65112C78"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Type</w:t>
            </w:r>
            <w:proofErr w:type="spellEnd"/>
          </w:p>
        </w:tc>
        <w:tc>
          <w:tcPr>
            <w:tcW w:w="647" w:type="pct"/>
          </w:tcPr>
          <w:p w14:paraId="5EE3D5E4"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M/</w:t>
            </w:r>
          </w:p>
          <w:p w14:paraId="65916956"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1682FC75"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 xml:space="preserve">Total </w:t>
            </w:r>
            <w:proofErr w:type="spellStart"/>
            <w:r w:rsidRPr="006F3533">
              <w:rPr>
                <w:rFonts w:eastAsia="Calibri" w:cs="Times New Roman"/>
                <w:sz w:val="20"/>
                <w:szCs w:val="20"/>
                <w:lang w:val="bg-BG"/>
              </w:rPr>
              <w:t>floor</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area</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of</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valid</w:t>
            </w:r>
            <w:proofErr w:type="spellEnd"/>
            <w:r w:rsidRPr="006F3533">
              <w:rPr>
                <w:rFonts w:eastAsia="Calibri" w:cs="Times New Roman"/>
                <w:sz w:val="20"/>
                <w:szCs w:val="20"/>
                <w:lang w:val="bg-BG"/>
              </w:rPr>
              <w:t xml:space="preserve"> EPC, m2 </w:t>
            </w:r>
          </w:p>
          <w:p w14:paraId="3A1BE3C7"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in</w:t>
            </w:r>
            <w:proofErr w:type="spellEnd"/>
            <w:r w:rsidRPr="006F3533">
              <w:rPr>
                <w:rFonts w:eastAsia="Calibri" w:cs="Times New Roman"/>
                <w:sz w:val="20"/>
                <w:szCs w:val="20"/>
                <w:lang w:val="bg-BG"/>
              </w:rPr>
              <w:t xml:space="preserve"> </w:t>
            </w:r>
            <w:proofErr w:type="spellStart"/>
            <w:r w:rsidRPr="006F3533">
              <w:rPr>
                <w:rFonts w:eastAsia="Calibri" w:cs="Times New Roman"/>
                <w:sz w:val="20"/>
                <w:szCs w:val="20"/>
                <w:lang w:val="bg-BG"/>
              </w:rPr>
              <w:t>Year</w:t>
            </w:r>
            <w:proofErr w:type="spellEnd"/>
            <w:r w:rsidRPr="006F3533">
              <w:rPr>
                <w:rFonts w:eastAsia="Calibri" w:cs="Times New Roman"/>
                <w:sz w:val="20"/>
                <w:szCs w:val="20"/>
                <w:lang w:val="bg-BG"/>
              </w:rPr>
              <w:t xml:space="preserve"> 2025</w:t>
            </w:r>
          </w:p>
          <w:p w14:paraId="5AFE29E0"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bg-BG"/>
              </w:rPr>
            </w:pPr>
          </w:p>
        </w:tc>
      </w:tr>
      <w:tr w:rsidR="00E6313A" w:rsidRPr="006F3533" w14:paraId="7AFE569C"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0C6D76BB" w14:textId="77777777" w:rsidR="00E6313A" w:rsidRPr="006F3533" w:rsidRDefault="00E6313A" w:rsidP="00541E06">
            <w:pPr>
              <w:jc w:val="both"/>
              <w:rPr>
                <w:rFonts w:eastAsia="Calibri" w:cs="Times New Roman"/>
                <w:i/>
                <w:iCs/>
                <w:sz w:val="20"/>
                <w:szCs w:val="20"/>
                <w:lang w:val="bg-BG"/>
              </w:rPr>
            </w:pPr>
            <w:r w:rsidRPr="006F3533">
              <w:rPr>
                <w:rFonts w:eastAsia="Calibri" w:cs="Times New Roman"/>
                <w:i/>
                <w:iCs/>
                <w:sz w:val="20"/>
                <w:szCs w:val="20"/>
                <w:lang w:val="bg-BG"/>
              </w:rPr>
              <w:t>(а)</w:t>
            </w:r>
          </w:p>
        </w:tc>
        <w:tc>
          <w:tcPr>
            <w:tcW w:w="2222" w:type="pct"/>
          </w:tcPr>
          <w:p w14:paraId="5E70AD83"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single-family</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houses</w:t>
            </w:r>
            <w:proofErr w:type="spellEnd"/>
          </w:p>
          <w:p w14:paraId="23BD62AB" w14:textId="77777777" w:rsidR="00E6313A" w:rsidRPr="006F3533" w:rsidRDefault="00E6313A" w:rsidP="00541E06">
            <w:pPr>
              <w:ind w:left="708"/>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i/>
                <w:iCs/>
                <w:sz w:val="20"/>
                <w:szCs w:val="20"/>
                <w:lang w:val="bg-BG"/>
              </w:rPr>
              <w:t>of</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different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types</w:t>
            </w:r>
            <w:proofErr w:type="spellEnd"/>
          </w:p>
        </w:tc>
        <w:tc>
          <w:tcPr>
            <w:tcW w:w="647" w:type="pct"/>
          </w:tcPr>
          <w:p w14:paraId="337EF910"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2925A478"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val="bg-BG"/>
              </w:rPr>
            </w:pPr>
            <w:r w:rsidRPr="006F3533">
              <w:rPr>
                <w:rFonts w:eastAsia="Calibri" w:cs="Calibri"/>
                <w:b/>
                <w:bCs/>
                <w:color w:val="000000"/>
                <w:sz w:val="20"/>
                <w:szCs w:val="20"/>
                <w:lang w:val="bg-BG"/>
              </w:rPr>
              <w:t>199 431</w:t>
            </w:r>
          </w:p>
          <w:p w14:paraId="24235847"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tc>
      </w:tr>
      <w:tr w:rsidR="00E6313A" w:rsidRPr="006F3533" w14:paraId="1869CF02"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556" w:type="pct"/>
          </w:tcPr>
          <w:p w14:paraId="0A4D8F11" w14:textId="77777777" w:rsidR="00E6313A" w:rsidRPr="006F3533" w:rsidRDefault="00E6313A" w:rsidP="00541E06">
            <w:pPr>
              <w:contextualSpacing/>
              <w:jc w:val="both"/>
              <w:rPr>
                <w:rFonts w:eastAsia="Calibri" w:cs="Times New Roman"/>
                <w:i/>
                <w:iCs/>
                <w:sz w:val="20"/>
                <w:szCs w:val="20"/>
                <w:lang w:val="bg-BG"/>
              </w:rPr>
            </w:pPr>
            <w:r w:rsidRPr="006F3533">
              <w:rPr>
                <w:rFonts w:eastAsia="Calibri" w:cs="Times New Roman"/>
                <w:i/>
                <w:iCs/>
                <w:sz w:val="20"/>
                <w:szCs w:val="20"/>
                <w:lang w:val="bg-BG"/>
              </w:rPr>
              <w:t>(б1)</w:t>
            </w:r>
          </w:p>
        </w:tc>
        <w:tc>
          <w:tcPr>
            <w:tcW w:w="2222" w:type="pct"/>
          </w:tcPr>
          <w:p w14:paraId="5C764455"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roofErr w:type="spellStart"/>
            <w:r w:rsidRPr="006F3533">
              <w:rPr>
                <w:rFonts w:eastAsia="Calibri" w:cs="Times New Roman"/>
                <w:i/>
                <w:iCs/>
                <w:sz w:val="20"/>
                <w:szCs w:val="20"/>
                <w:lang w:val="bg-BG"/>
              </w:rPr>
              <w:t>apartment</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blocks</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or</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multi-family</w:t>
            </w:r>
            <w:proofErr w:type="spellEnd"/>
            <w:r w:rsidRPr="006F3533">
              <w:rPr>
                <w:rFonts w:eastAsia="Calibri" w:cs="Times New Roman"/>
                <w:i/>
                <w:iCs/>
                <w:sz w:val="20"/>
                <w:szCs w:val="20"/>
                <w:lang w:val="bg-BG"/>
              </w:rPr>
              <w:t xml:space="preserve"> </w:t>
            </w:r>
            <w:proofErr w:type="spellStart"/>
            <w:r w:rsidRPr="006F3533">
              <w:rPr>
                <w:rFonts w:eastAsia="Calibri" w:cs="Times New Roman"/>
                <w:i/>
                <w:iCs/>
                <w:sz w:val="20"/>
                <w:szCs w:val="20"/>
                <w:lang w:val="bg-BG"/>
              </w:rPr>
              <w:t>buildings</w:t>
            </w:r>
            <w:proofErr w:type="spellEnd"/>
            <w:r w:rsidRPr="006F3533">
              <w:rPr>
                <w:rFonts w:eastAsia="Calibri" w:cs="Times New Roman"/>
                <w:i/>
                <w:iCs/>
                <w:sz w:val="20"/>
                <w:szCs w:val="20"/>
                <w:lang w:val="bg-BG"/>
              </w:rPr>
              <w:t xml:space="preserve"> </w:t>
            </w:r>
          </w:p>
          <w:p w14:paraId="402863D2"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
          <w:p w14:paraId="688A3B30"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i/>
                <w:iCs/>
                <w:sz w:val="20"/>
                <w:szCs w:val="20"/>
                <w:lang w:val="bg-BG"/>
              </w:rPr>
            </w:pPr>
          </w:p>
        </w:tc>
        <w:tc>
          <w:tcPr>
            <w:tcW w:w="647" w:type="pct"/>
          </w:tcPr>
          <w:p w14:paraId="1A0DA0B8"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roofErr w:type="spellStart"/>
            <w:r w:rsidRPr="006F3533">
              <w:rPr>
                <w:rFonts w:eastAsia="Calibri" w:cs="Times New Roman"/>
                <w:sz w:val="20"/>
                <w:szCs w:val="20"/>
                <w:lang w:val="bg-BG"/>
              </w:rPr>
              <w:t>Miav</w:t>
            </w:r>
            <w:proofErr w:type="spellEnd"/>
          </w:p>
        </w:tc>
        <w:tc>
          <w:tcPr>
            <w:tcW w:w="1575" w:type="pct"/>
          </w:tcPr>
          <w:p w14:paraId="17DB6520"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20"/>
                <w:szCs w:val="20"/>
                <w:lang w:val="bg-BG"/>
              </w:rPr>
            </w:pPr>
            <w:r w:rsidRPr="006F3533">
              <w:rPr>
                <w:rFonts w:eastAsia="Calibri" w:cs="Calibri"/>
                <w:b/>
                <w:bCs/>
                <w:color w:val="000000"/>
                <w:sz w:val="20"/>
                <w:szCs w:val="20"/>
                <w:lang w:val="bg-BG"/>
              </w:rPr>
              <w:t>17 146 985</w:t>
            </w:r>
          </w:p>
          <w:p w14:paraId="56C32B87"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bg-BG"/>
              </w:rPr>
            </w:pPr>
          </w:p>
        </w:tc>
      </w:tr>
      <w:tr w:rsidR="00E6313A" w:rsidRPr="006F3533" w14:paraId="1D88115D"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6" w:type="pct"/>
          </w:tcPr>
          <w:p w14:paraId="2E3747F5" w14:textId="77777777" w:rsidR="00E6313A" w:rsidRPr="006F3533" w:rsidRDefault="00E6313A" w:rsidP="00541E06">
            <w:pPr>
              <w:contextualSpacing/>
              <w:jc w:val="both"/>
              <w:rPr>
                <w:rFonts w:eastAsia="Calibri" w:cs="Times New Roman"/>
                <w:sz w:val="20"/>
                <w:szCs w:val="20"/>
                <w:lang w:val="bg-BG"/>
              </w:rPr>
            </w:pPr>
            <w:r w:rsidRPr="006F3533">
              <w:rPr>
                <w:rFonts w:eastAsia="Calibri" w:cs="Times New Roman"/>
                <w:sz w:val="20"/>
                <w:szCs w:val="20"/>
                <w:lang w:val="bg-BG"/>
              </w:rPr>
              <w:t>R</w:t>
            </w:r>
          </w:p>
        </w:tc>
        <w:tc>
          <w:tcPr>
            <w:tcW w:w="2222" w:type="pct"/>
          </w:tcPr>
          <w:p w14:paraId="19D05FBE"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r w:rsidRPr="006F3533">
              <w:rPr>
                <w:rFonts w:eastAsia="Calibri" w:cs="Times New Roman"/>
                <w:sz w:val="20"/>
                <w:szCs w:val="20"/>
                <w:lang w:val="bg-BG"/>
              </w:rPr>
              <w:t>Total</w:t>
            </w:r>
          </w:p>
        </w:tc>
        <w:tc>
          <w:tcPr>
            <w:tcW w:w="647" w:type="pct"/>
          </w:tcPr>
          <w:p w14:paraId="69F5B86A"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bg-BG"/>
              </w:rPr>
            </w:pPr>
          </w:p>
        </w:tc>
        <w:tc>
          <w:tcPr>
            <w:tcW w:w="1575" w:type="pct"/>
          </w:tcPr>
          <w:p w14:paraId="12B0A3C9"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Calibri" w:cs="Times New Roman"/>
                <w:b/>
                <w:bCs/>
                <w:sz w:val="20"/>
                <w:szCs w:val="20"/>
                <w:lang w:val="bg-BG"/>
              </w:rPr>
            </w:pPr>
            <w:r w:rsidRPr="006F3533">
              <w:rPr>
                <w:rFonts w:eastAsia="Calibri" w:cs="Calibri"/>
                <w:b/>
                <w:bCs/>
                <w:color w:val="000000"/>
                <w:sz w:val="20"/>
                <w:szCs w:val="20"/>
                <w:lang w:val="bg-BG"/>
              </w:rPr>
              <w:t>17 346 415</w:t>
            </w:r>
          </w:p>
        </w:tc>
      </w:tr>
    </w:tbl>
    <w:p w14:paraId="080EF13C"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szCs w:val="24"/>
          <w:lang w:val="bg-BG"/>
        </w:rPr>
        <w:t xml:space="preserve"> </w:t>
      </w:r>
      <w:r w:rsidRPr="006F3533">
        <w:rPr>
          <w:rFonts w:eastAsia="Calibri" w:cs="Times New Roman"/>
          <w:i/>
          <w:iCs/>
          <w:szCs w:val="24"/>
          <w:lang w:val="bg-BG" w:eastAsia="bg-BG"/>
        </w:rPr>
        <w:t>Източник: База данни АУЕР, 2025 г.</w:t>
      </w:r>
    </w:p>
    <w:p w14:paraId="4049331C" w14:textId="77777777" w:rsidR="00E6313A" w:rsidRPr="006F3533" w:rsidRDefault="00E6313A" w:rsidP="00E6313A">
      <w:pPr>
        <w:pStyle w:val="Heading2"/>
        <w:jc w:val="both"/>
        <w:rPr>
          <w:lang w:val="bg-BG"/>
        </w:rPr>
      </w:pPr>
      <w:bookmarkStart w:id="87" w:name="_Toc217837109"/>
      <w:bookmarkStart w:id="88" w:name="_Toc217888763"/>
      <w:r w:rsidRPr="006F3533">
        <w:rPr>
          <w:lang w:val="bg-BG"/>
        </w:rPr>
        <w:t>Брой на сертификатите за енергийните характеристики на жилищните сгради по клас на енергопотребление</w:t>
      </w:r>
      <w:bookmarkEnd w:id="87"/>
      <w:bookmarkEnd w:id="88"/>
      <w:r w:rsidRPr="006F3533">
        <w:rPr>
          <w:lang w:val="bg-BG"/>
        </w:rPr>
        <w:tab/>
      </w:r>
    </w:p>
    <w:p w14:paraId="533A885F" w14:textId="77777777" w:rsidR="00E6313A" w:rsidRPr="006F3533" w:rsidRDefault="00E6313A" w:rsidP="00E6313A">
      <w:pPr>
        <w:spacing w:before="100" w:beforeAutospacing="1" w:after="100" w:afterAutospacing="1"/>
        <w:jc w:val="both"/>
        <w:rPr>
          <w:rFonts w:eastAsia="Times New Roman" w:cs="Times New Roman"/>
          <w:szCs w:val="24"/>
          <w:lang w:val="bg-BG"/>
        </w:rPr>
      </w:pPr>
      <w:r w:rsidRPr="006F3533">
        <w:rPr>
          <w:rFonts w:eastAsia="Times New Roman" w:cs="Times New Roman"/>
          <w:szCs w:val="24"/>
          <w:lang w:val="bg-BG"/>
        </w:rPr>
        <w:t>Представената информация е само за валидните сертификати за енергийни характеристики, регистрирани в базата данни на АУЕР към референтната година X-2 (данни, актуални към ноември 2025 г.). Сертификатите с изтекъл срок на валидност не са включени в таблицата.</w:t>
      </w:r>
    </w:p>
    <w:p w14:paraId="078E7E21" w14:textId="77777777" w:rsidR="00E6313A" w:rsidRPr="006F3533" w:rsidRDefault="00E6313A" w:rsidP="00E6313A">
      <w:pPr>
        <w:jc w:val="both"/>
        <w:rPr>
          <w:rFonts w:eastAsia="Calibri" w:cs="Times New Roman"/>
          <w:i/>
          <w:iCs/>
          <w:color w:val="0070C0"/>
          <w:szCs w:val="24"/>
          <w:lang w:val="bg-BG"/>
        </w:rPr>
      </w:pPr>
      <w:r w:rsidRPr="006F3533">
        <w:rPr>
          <w:rFonts w:eastAsia="DengXian" w:cs="Times New Roman"/>
          <w:i/>
          <w:iCs/>
          <w:color w:val="0070C0"/>
          <w:szCs w:val="24"/>
          <w:lang w:val="bg-BG"/>
        </w:rPr>
        <w:t xml:space="preserve">Таблица № </w:t>
      </w:r>
      <w:r w:rsidRPr="006F3533">
        <w:rPr>
          <w:rFonts w:eastAsia="DengXian" w:cs="Times New Roman"/>
          <w:i/>
          <w:iCs/>
          <w:color w:val="0070C0"/>
          <w:szCs w:val="24"/>
          <w:lang w:val="bg-BG"/>
        </w:rPr>
        <w:fldChar w:fldCharType="begin"/>
      </w:r>
      <w:r w:rsidRPr="006F3533">
        <w:rPr>
          <w:rFonts w:eastAsia="DengXian" w:cs="Times New Roman"/>
          <w:i/>
          <w:iCs/>
          <w:color w:val="0070C0"/>
          <w:szCs w:val="24"/>
          <w:lang w:val="bg-BG"/>
        </w:rPr>
        <w:instrText xml:space="preserve"> SEQ Таблица_№ \* ARABIC </w:instrText>
      </w:r>
      <w:r w:rsidRPr="006F3533">
        <w:rPr>
          <w:rFonts w:eastAsia="DengXian" w:cs="Times New Roman"/>
          <w:i/>
          <w:iCs/>
          <w:color w:val="0070C0"/>
          <w:szCs w:val="24"/>
          <w:lang w:val="bg-BG"/>
        </w:rPr>
        <w:fldChar w:fldCharType="separate"/>
      </w:r>
      <w:r w:rsidRPr="006F3533">
        <w:rPr>
          <w:rFonts w:eastAsia="DengXian" w:cs="Times New Roman"/>
          <w:i/>
          <w:iCs/>
          <w:noProof/>
          <w:color w:val="0070C0"/>
          <w:szCs w:val="24"/>
          <w:lang w:val="bg-BG"/>
        </w:rPr>
        <w:t>19</w:t>
      </w:r>
      <w:r w:rsidRPr="006F3533">
        <w:rPr>
          <w:rFonts w:eastAsia="DengXian" w:cs="Times New Roman"/>
          <w:i/>
          <w:iCs/>
          <w:color w:val="0070C0"/>
          <w:szCs w:val="24"/>
          <w:lang w:val="bg-BG"/>
        </w:rPr>
        <w:fldChar w:fldCharType="end"/>
      </w:r>
      <w:r w:rsidRPr="006F3533">
        <w:rPr>
          <w:rFonts w:eastAsia="DengXian" w:cs="Times New Roman"/>
          <w:i/>
          <w:iCs/>
          <w:color w:val="0070C0"/>
          <w:szCs w:val="24"/>
          <w:lang w:val="bg-BG"/>
        </w:rPr>
        <w:t>: Брой на валидните сертификати за енергийни характеристики по клас на енергопотребление</w:t>
      </w:r>
    </w:p>
    <w:tbl>
      <w:tblPr>
        <w:tblStyle w:val="GridTable4-Accent5"/>
        <w:tblW w:w="5000" w:type="pct"/>
        <w:tblLook w:val="04A0" w:firstRow="1" w:lastRow="0" w:firstColumn="1" w:lastColumn="0" w:noHBand="0" w:noVBand="1"/>
      </w:tblPr>
      <w:tblGrid>
        <w:gridCol w:w="2758"/>
        <w:gridCol w:w="3152"/>
        <w:gridCol w:w="3152"/>
      </w:tblGrid>
      <w:tr w:rsidR="00E6313A" w:rsidRPr="006F3533" w14:paraId="74BCFB7E"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2" w:type="pct"/>
          </w:tcPr>
          <w:p w14:paraId="008974C2"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EPC</w:t>
            </w:r>
          </w:p>
          <w:p w14:paraId="3450F5DE" w14:textId="77777777" w:rsidR="00E6313A" w:rsidRPr="006F3533" w:rsidRDefault="00E6313A" w:rsidP="00541E06">
            <w:pPr>
              <w:jc w:val="both"/>
              <w:rPr>
                <w:rFonts w:eastAsia="DengXian" w:cs="Times New Roman"/>
                <w:sz w:val="20"/>
                <w:szCs w:val="20"/>
                <w:lang w:val="bg-BG"/>
              </w:rPr>
            </w:pPr>
            <w:proofErr w:type="spellStart"/>
            <w:r w:rsidRPr="006F3533">
              <w:rPr>
                <w:rFonts w:eastAsia="DengXian" w:cs="Times New Roman"/>
                <w:sz w:val="20"/>
                <w:szCs w:val="20"/>
                <w:lang w:val="bg-BG"/>
              </w:rPr>
              <w:t>Class</w:t>
            </w:r>
            <w:proofErr w:type="spellEnd"/>
          </w:p>
          <w:p w14:paraId="20F512C1" w14:textId="77777777" w:rsidR="00E6313A" w:rsidRPr="006F3533" w:rsidRDefault="00E6313A" w:rsidP="00541E06">
            <w:pPr>
              <w:jc w:val="both"/>
              <w:rPr>
                <w:rFonts w:eastAsia="DengXian" w:cs="Times New Roman"/>
                <w:sz w:val="20"/>
                <w:szCs w:val="20"/>
                <w:lang w:val="bg-BG"/>
              </w:rPr>
            </w:pPr>
          </w:p>
        </w:tc>
        <w:tc>
          <w:tcPr>
            <w:tcW w:w="1739" w:type="pct"/>
            <w:hideMark/>
          </w:tcPr>
          <w:p w14:paraId="74DD3191"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Residential</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buildings</w:t>
            </w:r>
            <w:proofErr w:type="spellEnd"/>
          </w:p>
          <w:p w14:paraId="64C379C1"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No</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of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valid</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EPCs</w:t>
            </w:r>
            <w:proofErr w:type="spellEnd"/>
          </w:p>
          <w:p w14:paraId="3A22BCE7"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As</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of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year</w:t>
            </w:r>
            <w:proofErr w:type="spellEnd"/>
            <w:r w:rsidRPr="006F3533">
              <w:rPr>
                <w:rFonts w:eastAsia="DengXian" w:cs="Times New Roman"/>
                <w:sz w:val="20"/>
                <w:szCs w:val="20"/>
                <w:lang w:val="bg-BG"/>
              </w:rPr>
              <w:t xml:space="preserve"> 2025</w:t>
            </w:r>
          </w:p>
        </w:tc>
        <w:tc>
          <w:tcPr>
            <w:tcW w:w="1739" w:type="pct"/>
            <w:hideMark/>
          </w:tcPr>
          <w:p w14:paraId="61B5B0F3"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Non-residential</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buildings</w:t>
            </w:r>
            <w:proofErr w:type="spellEnd"/>
          </w:p>
          <w:p w14:paraId="12523B9D"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No</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of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valid</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EPCs</w:t>
            </w:r>
            <w:proofErr w:type="spellEnd"/>
          </w:p>
          <w:p w14:paraId="77C5A7A2"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In</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year</w:t>
            </w:r>
            <w:proofErr w:type="spellEnd"/>
            <w:r w:rsidRPr="006F3533">
              <w:rPr>
                <w:rFonts w:eastAsia="DengXian" w:cs="Times New Roman"/>
                <w:sz w:val="20"/>
                <w:szCs w:val="20"/>
                <w:lang w:val="bg-BG"/>
              </w:rPr>
              <w:t xml:space="preserve"> 2025</w:t>
            </w:r>
          </w:p>
        </w:tc>
      </w:tr>
      <w:tr w:rsidR="00E6313A" w:rsidRPr="006F3533" w14:paraId="71D069D2"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2" w:type="pct"/>
            <w:hideMark/>
          </w:tcPr>
          <w:p w14:paraId="1109048A"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 xml:space="preserve">A+ </w:t>
            </w:r>
          </w:p>
          <w:p w14:paraId="21FFEE0A"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w:t>
            </w:r>
            <w:proofErr w:type="spellStart"/>
            <w:r w:rsidRPr="006F3533">
              <w:rPr>
                <w:rFonts w:eastAsia="DengXian" w:cs="Times New Roman"/>
                <w:sz w:val="20"/>
                <w:szCs w:val="20"/>
                <w:lang w:val="bg-BG"/>
              </w:rPr>
              <w:t>if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relevant</w:t>
            </w:r>
            <w:proofErr w:type="spellEnd"/>
            <w:r w:rsidRPr="006F3533">
              <w:rPr>
                <w:rFonts w:eastAsia="DengXian" w:cs="Times New Roman"/>
                <w:sz w:val="20"/>
                <w:szCs w:val="20"/>
                <w:lang w:val="bg-BG"/>
              </w:rPr>
              <w:t xml:space="preserve">) </w:t>
            </w:r>
          </w:p>
        </w:tc>
        <w:tc>
          <w:tcPr>
            <w:tcW w:w="1739" w:type="pct"/>
            <w:hideMark/>
          </w:tcPr>
          <w:p w14:paraId="725BA92E"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0</w:t>
            </w:r>
          </w:p>
        </w:tc>
        <w:tc>
          <w:tcPr>
            <w:tcW w:w="1739" w:type="pct"/>
          </w:tcPr>
          <w:p w14:paraId="417648B7"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p>
        </w:tc>
      </w:tr>
      <w:tr w:rsidR="00E6313A" w:rsidRPr="006F3533" w14:paraId="28B340F1" w14:textId="77777777" w:rsidTr="00541E06">
        <w:tc>
          <w:tcPr>
            <w:cnfStyle w:val="001000000000" w:firstRow="0" w:lastRow="0" w:firstColumn="1" w:lastColumn="0" w:oddVBand="0" w:evenVBand="0" w:oddHBand="0" w:evenHBand="0" w:firstRowFirstColumn="0" w:firstRowLastColumn="0" w:lastRowFirstColumn="0" w:lastRowLastColumn="0"/>
            <w:tcW w:w="1522" w:type="pct"/>
            <w:hideMark/>
          </w:tcPr>
          <w:p w14:paraId="63789938"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A0</w:t>
            </w:r>
          </w:p>
          <w:p w14:paraId="249AE3F8"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w:t>
            </w:r>
            <w:proofErr w:type="spellStart"/>
            <w:r w:rsidRPr="006F3533">
              <w:rPr>
                <w:rFonts w:eastAsia="DengXian" w:cs="Times New Roman"/>
                <w:sz w:val="20"/>
                <w:szCs w:val="20"/>
                <w:lang w:val="bg-BG"/>
              </w:rPr>
              <w:t>if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relevant</w:t>
            </w:r>
            <w:proofErr w:type="spellEnd"/>
            <w:r w:rsidRPr="006F3533">
              <w:rPr>
                <w:rFonts w:eastAsia="DengXian" w:cs="Times New Roman"/>
                <w:sz w:val="20"/>
                <w:szCs w:val="20"/>
                <w:lang w:val="bg-BG"/>
              </w:rPr>
              <w:t>)</w:t>
            </w:r>
          </w:p>
        </w:tc>
        <w:tc>
          <w:tcPr>
            <w:tcW w:w="1739" w:type="pct"/>
            <w:hideMark/>
          </w:tcPr>
          <w:p w14:paraId="652866C6"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0</w:t>
            </w:r>
          </w:p>
        </w:tc>
        <w:tc>
          <w:tcPr>
            <w:tcW w:w="1739" w:type="pct"/>
          </w:tcPr>
          <w:p w14:paraId="59FBB749"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p>
        </w:tc>
      </w:tr>
      <w:tr w:rsidR="00E6313A" w:rsidRPr="006F3533" w14:paraId="6E0C0FC6"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2" w:type="pct"/>
            <w:hideMark/>
          </w:tcPr>
          <w:p w14:paraId="7FCF13B8"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A</w:t>
            </w:r>
          </w:p>
        </w:tc>
        <w:tc>
          <w:tcPr>
            <w:tcW w:w="1739" w:type="pct"/>
            <w:hideMark/>
          </w:tcPr>
          <w:p w14:paraId="4634868F"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320 </w:t>
            </w:r>
          </w:p>
        </w:tc>
        <w:tc>
          <w:tcPr>
            <w:tcW w:w="1739" w:type="pct"/>
          </w:tcPr>
          <w:p w14:paraId="681AFA95"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p>
        </w:tc>
      </w:tr>
      <w:tr w:rsidR="00E6313A" w:rsidRPr="006F3533" w14:paraId="6BF4FCEA" w14:textId="77777777" w:rsidTr="00541E06">
        <w:tc>
          <w:tcPr>
            <w:cnfStyle w:val="001000000000" w:firstRow="0" w:lastRow="0" w:firstColumn="1" w:lastColumn="0" w:oddVBand="0" w:evenVBand="0" w:oddHBand="0" w:evenHBand="0" w:firstRowFirstColumn="0" w:firstRowLastColumn="0" w:lastRowFirstColumn="0" w:lastRowLastColumn="0"/>
            <w:tcW w:w="1522" w:type="pct"/>
            <w:hideMark/>
          </w:tcPr>
          <w:p w14:paraId="5FC6237A"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B</w:t>
            </w:r>
          </w:p>
        </w:tc>
        <w:tc>
          <w:tcPr>
            <w:tcW w:w="1739" w:type="pct"/>
            <w:hideMark/>
          </w:tcPr>
          <w:p w14:paraId="4F4BE599"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2 968 </w:t>
            </w:r>
          </w:p>
        </w:tc>
        <w:tc>
          <w:tcPr>
            <w:tcW w:w="1739" w:type="pct"/>
          </w:tcPr>
          <w:p w14:paraId="2DB3F61A"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p>
        </w:tc>
      </w:tr>
      <w:tr w:rsidR="00E6313A" w:rsidRPr="006F3533" w14:paraId="34FAFAAC"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2" w:type="pct"/>
            <w:hideMark/>
          </w:tcPr>
          <w:p w14:paraId="30978310"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C</w:t>
            </w:r>
          </w:p>
        </w:tc>
        <w:tc>
          <w:tcPr>
            <w:tcW w:w="1739" w:type="pct"/>
            <w:hideMark/>
          </w:tcPr>
          <w:p w14:paraId="3F8BBF93"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975 </w:t>
            </w:r>
          </w:p>
        </w:tc>
        <w:tc>
          <w:tcPr>
            <w:tcW w:w="1739" w:type="pct"/>
          </w:tcPr>
          <w:p w14:paraId="6F413E2B"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p>
        </w:tc>
      </w:tr>
      <w:tr w:rsidR="00E6313A" w:rsidRPr="006F3533" w14:paraId="05FACF30" w14:textId="77777777" w:rsidTr="00541E06">
        <w:tc>
          <w:tcPr>
            <w:cnfStyle w:val="001000000000" w:firstRow="0" w:lastRow="0" w:firstColumn="1" w:lastColumn="0" w:oddVBand="0" w:evenVBand="0" w:oddHBand="0" w:evenHBand="0" w:firstRowFirstColumn="0" w:firstRowLastColumn="0" w:lastRowFirstColumn="0" w:lastRowLastColumn="0"/>
            <w:tcW w:w="1522" w:type="pct"/>
            <w:hideMark/>
          </w:tcPr>
          <w:p w14:paraId="1B6F667D"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D</w:t>
            </w:r>
          </w:p>
        </w:tc>
        <w:tc>
          <w:tcPr>
            <w:tcW w:w="1739" w:type="pct"/>
            <w:hideMark/>
          </w:tcPr>
          <w:p w14:paraId="1BBB8043"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922 </w:t>
            </w:r>
          </w:p>
        </w:tc>
        <w:tc>
          <w:tcPr>
            <w:tcW w:w="1739" w:type="pct"/>
          </w:tcPr>
          <w:p w14:paraId="03343C52"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p>
        </w:tc>
      </w:tr>
      <w:tr w:rsidR="00E6313A" w:rsidRPr="006F3533" w14:paraId="4FD7B793"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2" w:type="pct"/>
            <w:hideMark/>
          </w:tcPr>
          <w:p w14:paraId="01EB1D2A"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E</w:t>
            </w:r>
          </w:p>
        </w:tc>
        <w:tc>
          <w:tcPr>
            <w:tcW w:w="1739" w:type="pct"/>
            <w:hideMark/>
          </w:tcPr>
          <w:p w14:paraId="33CA8B9F"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662 </w:t>
            </w:r>
          </w:p>
        </w:tc>
        <w:tc>
          <w:tcPr>
            <w:tcW w:w="1739" w:type="pct"/>
          </w:tcPr>
          <w:p w14:paraId="7C5B2642"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p>
        </w:tc>
      </w:tr>
      <w:tr w:rsidR="00E6313A" w:rsidRPr="006F3533" w14:paraId="25662B06" w14:textId="77777777" w:rsidTr="00541E06">
        <w:tc>
          <w:tcPr>
            <w:cnfStyle w:val="001000000000" w:firstRow="0" w:lastRow="0" w:firstColumn="1" w:lastColumn="0" w:oddVBand="0" w:evenVBand="0" w:oddHBand="0" w:evenHBand="0" w:firstRowFirstColumn="0" w:firstRowLastColumn="0" w:lastRowFirstColumn="0" w:lastRowLastColumn="0"/>
            <w:tcW w:w="1522" w:type="pct"/>
            <w:hideMark/>
          </w:tcPr>
          <w:p w14:paraId="21AA5726"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F</w:t>
            </w:r>
          </w:p>
        </w:tc>
        <w:tc>
          <w:tcPr>
            <w:tcW w:w="1739" w:type="pct"/>
            <w:hideMark/>
          </w:tcPr>
          <w:p w14:paraId="1EDE10FE"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267 </w:t>
            </w:r>
          </w:p>
        </w:tc>
        <w:tc>
          <w:tcPr>
            <w:tcW w:w="1739" w:type="pct"/>
          </w:tcPr>
          <w:p w14:paraId="483E9EFD"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p>
        </w:tc>
      </w:tr>
      <w:tr w:rsidR="00E6313A" w:rsidRPr="006F3533" w14:paraId="4C36F1B8"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2" w:type="pct"/>
            <w:hideMark/>
          </w:tcPr>
          <w:p w14:paraId="5B8D5A39"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G</w:t>
            </w:r>
          </w:p>
        </w:tc>
        <w:tc>
          <w:tcPr>
            <w:tcW w:w="1739" w:type="pct"/>
            <w:hideMark/>
          </w:tcPr>
          <w:p w14:paraId="58CB1CC4"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112 </w:t>
            </w:r>
          </w:p>
        </w:tc>
        <w:tc>
          <w:tcPr>
            <w:tcW w:w="1739" w:type="pct"/>
          </w:tcPr>
          <w:p w14:paraId="031B5FCD" w14:textId="77777777" w:rsidR="00E6313A" w:rsidRPr="006F3533" w:rsidRDefault="00E6313A" w:rsidP="00541E06">
            <w:pPr>
              <w:jc w:val="both"/>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p>
        </w:tc>
      </w:tr>
      <w:tr w:rsidR="00E6313A" w:rsidRPr="006F3533" w14:paraId="396DE3A6" w14:textId="77777777" w:rsidTr="00541E06">
        <w:tc>
          <w:tcPr>
            <w:cnfStyle w:val="001000000000" w:firstRow="0" w:lastRow="0" w:firstColumn="1" w:lastColumn="0" w:oddVBand="0" w:evenVBand="0" w:oddHBand="0" w:evenHBand="0" w:firstRowFirstColumn="0" w:firstRowLastColumn="0" w:lastRowFirstColumn="0" w:lastRowLastColumn="0"/>
            <w:tcW w:w="1522" w:type="pct"/>
            <w:hideMark/>
          </w:tcPr>
          <w:p w14:paraId="72E40D2A"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Total</w:t>
            </w:r>
          </w:p>
        </w:tc>
        <w:tc>
          <w:tcPr>
            <w:tcW w:w="1739" w:type="pct"/>
            <w:hideMark/>
          </w:tcPr>
          <w:p w14:paraId="31D9F5A0"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70C0"/>
                <w:sz w:val="20"/>
                <w:szCs w:val="20"/>
                <w:lang w:val="bg-BG"/>
              </w:rPr>
            </w:pPr>
            <w:r w:rsidRPr="006F3533">
              <w:rPr>
                <w:rFonts w:eastAsia="DengXian" w:cs="Times New Roman"/>
                <w:color w:val="0070C0"/>
                <w:sz w:val="20"/>
                <w:szCs w:val="20"/>
                <w:lang w:val="bg-BG"/>
              </w:rPr>
              <w:t>6 226</w:t>
            </w:r>
          </w:p>
          <w:p w14:paraId="11B0CE39"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eastAsia="DengXian" w:cs="Times New Roman"/>
                <w:color w:val="0070C0"/>
                <w:sz w:val="20"/>
                <w:szCs w:val="20"/>
                <w:lang w:val="bg-BG"/>
              </w:rPr>
            </w:pPr>
            <w:proofErr w:type="spellStart"/>
            <w:r w:rsidRPr="006F3533">
              <w:rPr>
                <w:rFonts w:eastAsia="DengXian" w:cs="Times New Roman"/>
                <w:color w:val="0070C0"/>
                <w:sz w:val="20"/>
                <w:szCs w:val="20"/>
                <w:lang w:val="bg-BG"/>
              </w:rPr>
              <w:t>Should</w:t>
            </w:r>
            <w:proofErr w:type="spellEnd"/>
            <w:r w:rsidRPr="006F3533">
              <w:rPr>
                <w:rFonts w:eastAsia="DengXian" w:cs="Times New Roman"/>
                <w:color w:val="0070C0"/>
                <w:sz w:val="20"/>
                <w:szCs w:val="20"/>
                <w:lang w:val="bg-BG"/>
              </w:rPr>
              <w:t xml:space="preserve"> </w:t>
            </w:r>
            <w:proofErr w:type="spellStart"/>
            <w:r w:rsidRPr="006F3533">
              <w:rPr>
                <w:rFonts w:eastAsia="DengXian" w:cs="Times New Roman"/>
                <w:color w:val="0070C0"/>
                <w:sz w:val="20"/>
                <w:szCs w:val="20"/>
                <w:lang w:val="bg-BG"/>
              </w:rPr>
              <w:t>match</w:t>
            </w:r>
            <w:proofErr w:type="spellEnd"/>
            <w:r w:rsidRPr="006F3533">
              <w:rPr>
                <w:rFonts w:eastAsia="DengXian" w:cs="Times New Roman"/>
                <w:color w:val="0070C0"/>
                <w:sz w:val="20"/>
                <w:szCs w:val="20"/>
                <w:lang w:val="bg-BG"/>
              </w:rPr>
              <w:t xml:space="preserve"> </w:t>
            </w:r>
            <w:proofErr w:type="spellStart"/>
            <w:r w:rsidRPr="006F3533">
              <w:rPr>
                <w:rFonts w:eastAsia="DengXian" w:cs="Times New Roman"/>
                <w:color w:val="0070C0"/>
                <w:sz w:val="20"/>
                <w:szCs w:val="20"/>
                <w:lang w:val="bg-BG"/>
              </w:rPr>
              <w:t>with</w:t>
            </w:r>
            <w:proofErr w:type="spellEnd"/>
            <w:r w:rsidRPr="006F3533">
              <w:rPr>
                <w:rFonts w:eastAsia="DengXian" w:cs="Times New Roman"/>
                <w:color w:val="0070C0"/>
                <w:sz w:val="20"/>
                <w:szCs w:val="20"/>
                <w:lang w:val="bg-BG"/>
              </w:rPr>
              <w:t xml:space="preserve"> </w:t>
            </w:r>
            <w:proofErr w:type="spellStart"/>
            <w:r w:rsidRPr="006F3533">
              <w:rPr>
                <w:rFonts w:eastAsia="DengXian" w:cs="Times New Roman"/>
                <w:color w:val="0070C0"/>
                <w:sz w:val="20"/>
                <w:szCs w:val="20"/>
                <w:lang w:val="bg-BG"/>
              </w:rPr>
              <w:t>the</w:t>
            </w:r>
            <w:proofErr w:type="spellEnd"/>
            <w:r w:rsidRPr="006F3533">
              <w:rPr>
                <w:rFonts w:eastAsia="DengXian" w:cs="Times New Roman"/>
                <w:color w:val="0070C0"/>
                <w:sz w:val="20"/>
                <w:szCs w:val="20"/>
                <w:lang w:val="bg-BG"/>
              </w:rPr>
              <w:t xml:space="preserve"> </w:t>
            </w:r>
            <w:proofErr w:type="spellStart"/>
            <w:r w:rsidRPr="006F3533">
              <w:rPr>
                <w:rFonts w:eastAsia="DengXian" w:cs="Times New Roman"/>
                <w:color w:val="0070C0"/>
                <w:sz w:val="20"/>
                <w:szCs w:val="20"/>
                <w:lang w:val="bg-BG"/>
              </w:rPr>
              <w:t>immediate</w:t>
            </w:r>
            <w:proofErr w:type="spellEnd"/>
            <w:r w:rsidRPr="006F3533">
              <w:rPr>
                <w:rFonts w:eastAsia="DengXian" w:cs="Times New Roman"/>
                <w:color w:val="0070C0"/>
                <w:sz w:val="20"/>
                <w:szCs w:val="20"/>
                <w:lang w:val="bg-BG"/>
              </w:rPr>
              <w:t xml:space="preserve"> </w:t>
            </w:r>
            <w:proofErr w:type="spellStart"/>
            <w:r w:rsidRPr="006F3533">
              <w:rPr>
                <w:rFonts w:eastAsia="DengXian" w:cs="Times New Roman"/>
                <w:color w:val="0070C0"/>
                <w:sz w:val="20"/>
                <w:szCs w:val="20"/>
                <w:lang w:val="bg-BG"/>
              </w:rPr>
              <w:t>preceding</w:t>
            </w:r>
            <w:proofErr w:type="spellEnd"/>
            <w:r w:rsidRPr="006F3533">
              <w:rPr>
                <w:rFonts w:eastAsia="DengXian" w:cs="Times New Roman"/>
                <w:color w:val="0070C0"/>
                <w:sz w:val="20"/>
                <w:szCs w:val="20"/>
                <w:lang w:val="bg-BG"/>
              </w:rPr>
              <w:t xml:space="preserve"> </w:t>
            </w:r>
            <w:proofErr w:type="spellStart"/>
            <w:r w:rsidRPr="006F3533">
              <w:rPr>
                <w:rFonts w:eastAsia="DengXian" w:cs="Times New Roman"/>
                <w:color w:val="0070C0"/>
                <w:sz w:val="20"/>
                <w:szCs w:val="20"/>
                <w:lang w:val="bg-BG"/>
              </w:rPr>
              <w:t>table</w:t>
            </w:r>
            <w:proofErr w:type="spellEnd"/>
          </w:p>
        </w:tc>
        <w:tc>
          <w:tcPr>
            <w:tcW w:w="1739" w:type="pct"/>
          </w:tcPr>
          <w:p w14:paraId="46E4250B"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eastAsia="DengXian" w:cs="Times New Roman"/>
                <w:color w:val="0070C0"/>
                <w:sz w:val="20"/>
                <w:szCs w:val="20"/>
                <w:lang w:val="bg-BG"/>
              </w:rPr>
            </w:pPr>
          </w:p>
        </w:tc>
      </w:tr>
    </w:tbl>
    <w:p w14:paraId="47C32A2D"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База данни АУЕР, 2025 г.</w:t>
      </w:r>
    </w:p>
    <w:p w14:paraId="2535D624" w14:textId="77777777" w:rsidR="00E6313A" w:rsidRPr="006F3533" w:rsidRDefault="00E6313A" w:rsidP="00E6313A">
      <w:pPr>
        <w:jc w:val="both"/>
        <w:rPr>
          <w:rFonts w:eastAsia="Calibri" w:cs="Times New Roman"/>
          <w:szCs w:val="24"/>
          <w:lang w:val="bg-BG"/>
        </w:rPr>
      </w:pPr>
      <w:r w:rsidRPr="006F3533">
        <w:rPr>
          <w:rFonts w:eastAsia="Calibri" w:cs="Times New Roman"/>
          <w:szCs w:val="24"/>
          <w:lang w:val="bg-BG"/>
        </w:rPr>
        <w:t xml:space="preserve">В следващата Таблица е информацията за разпределението на валидните сертификати на жилищните сгради по клас на енергопотребление и площ на сертифицираните сгради. </w:t>
      </w:r>
    </w:p>
    <w:p w14:paraId="1D64FC18" w14:textId="77777777" w:rsidR="00E6313A" w:rsidRPr="006F3533" w:rsidRDefault="00E6313A" w:rsidP="00E6313A">
      <w:pPr>
        <w:jc w:val="both"/>
        <w:rPr>
          <w:rFonts w:eastAsia="DengXian" w:cs="Times New Roman"/>
          <w:i/>
          <w:iCs/>
          <w:color w:val="0070C0"/>
          <w:szCs w:val="24"/>
          <w:lang w:val="bg-BG"/>
        </w:rPr>
      </w:pPr>
      <w:r w:rsidRPr="006F3533">
        <w:rPr>
          <w:rFonts w:eastAsia="DengXian" w:cs="Times New Roman"/>
          <w:i/>
          <w:iCs/>
          <w:color w:val="0070C0"/>
          <w:szCs w:val="24"/>
          <w:lang w:val="bg-BG"/>
        </w:rPr>
        <w:t xml:space="preserve">Таблица № </w:t>
      </w:r>
      <w:r w:rsidRPr="006F3533">
        <w:rPr>
          <w:rFonts w:eastAsia="DengXian" w:cs="Times New Roman"/>
          <w:i/>
          <w:iCs/>
          <w:color w:val="0070C0"/>
          <w:szCs w:val="24"/>
          <w:lang w:val="bg-BG"/>
        </w:rPr>
        <w:fldChar w:fldCharType="begin"/>
      </w:r>
      <w:r w:rsidRPr="006F3533">
        <w:rPr>
          <w:rFonts w:eastAsia="DengXian" w:cs="Times New Roman"/>
          <w:i/>
          <w:iCs/>
          <w:color w:val="0070C0"/>
          <w:szCs w:val="24"/>
          <w:lang w:val="bg-BG"/>
        </w:rPr>
        <w:instrText xml:space="preserve"> SEQ Таблица_№ \* ARABIC </w:instrText>
      </w:r>
      <w:r w:rsidRPr="006F3533">
        <w:rPr>
          <w:rFonts w:eastAsia="DengXian" w:cs="Times New Roman"/>
          <w:i/>
          <w:iCs/>
          <w:color w:val="0070C0"/>
          <w:szCs w:val="24"/>
          <w:lang w:val="bg-BG"/>
        </w:rPr>
        <w:fldChar w:fldCharType="separate"/>
      </w:r>
      <w:r w:rsidRPr="006F3533">
        <w:rPr>
          <w:rFonts w:eastAsia="DengXian" w:cs="Times New Roman"/>
          <w:i/>
          <w:iCs/>
          <w:noProof/>
          <w:color w:val="0070C0"/>
          <w:szCs w:val="24"/>
          <w:lang w:val="bg-BG"/>
        </w:rPr>
        <w:t>20</w:t>
      </w:r>
      <w:r w:rsidRPr="006F3533">
        <w:rPr>
          <w:rFonts w:eastAsia="DengXian" w:cs="Times New Roman"/>
          <w:i/>
          <w:iCs/>
          <w:color w:val="0070C0"/>
          <w:szCs w:val="24"/>
          <w:lang w:val="bg-BG"/>
        </w:rPr>
        <w:fldChar w:fldCharType="end"/>
      </w:r>
      <w:r w:rsidRPr="006F3533">
        <w:rPr>
          <w:rFonts w:eastAsia="DengXian" w:cs="Times New Roman"/>
          <w:i/>
          <w:iCs/>
          <w:color w:val="0070C0"/>
          <w:szCs w:val="24"/>
          <w:lang w:val="bg-BG"/>
        </w:rPr>
        <w:t>: Разгъната застроена площ на жилищните сгради с валидни сертификати за енергийни характеристики по клас на енергопотребление</w:t>
      </w:r>
    </w:p>
    <w:tbl>
      <w:tblPr>
        <w:tblStyle w:val="GridTable4-Accent5"/>
        <w:tblW w:w="5000" w:type="pct"/>
        <w:tblLook w:val="04A0" w:firstRow="1" w:lastRow="0" w:firstColumn="1" w:lastColumn="0" w:noHBand="0" w:noVBand="1"/>
      </w:tblPr>
      <w:tblGrid>
        <w:gridCol w:w="2760"/>
        <w:gridCol w:w="6302"/>
      </w:tblGrid>
      <w:tr w:rsidR="00E6313A" w:rsidRPr="006F3533" w14:paraId="4C190387"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3" w:type="pct"/>
          </w:tcPr>
          <w:p w14:paraId="4627F677"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EPC</w:t>
            </w:r>
          </w:p>
          <w:p w14:paraId="06271398" w14:textId="77777777" w:rsidR="00E6313A" w:rsidRPr="006F3533" w:rsidRDefault="00E6313A" w:rsidP="00541E06">
            <w:pPr>
              <w:jc w:val="both"/>
              <w:rPr>
                <w:rFonts w:eastAsia="DengXian" w:cs="Times New Roman"/>
                <w:sz w:val="20"/>
                <w:szCs w:val="20"/>
                <w:lang w:val="bg-BG"/>
              </w:rPr>
            </w:pPr>
            <w:proofErr w:type="spellStart"/>
            <w:r w:rsidRPr="006F3533">
              <w:rPr>
                <w:rFonts w:eastAsia="DengXian" w:cs="Times New Roman"/>
                <w:sz w:val="20"/>
                <w:szCs w:val="20"/>
                <w:lang w:val="bg-BG"/>
              </w:rPr>
              <w:t>Class</w:t>
            </w:r>
            <w:proofErr w:type="spellEnd"/>
          </w:p>
          <w:p w14:paraId="242751F6" w14:textId="77777777" w:rsidR="00E6313A" w:rsidRPr="006F3533" w:rsidRDefault="00E6313A" w:rsidP="00541E06">
            <w:pPr>
              <w:jc w:val="both"/>
              <w:rPr>
                <w:rFonts w:eastAsia="DengXian" w:cs="Times New Roman"/>
                <w:sz w:val="20"/>
                <w:szCs w:val="20"/>
                <w:lang w:val="bg-BG"/>
              </w:rPr>
            </w:pPr>
          </w:p>
        </w:tc>
        <w:tc>
          <w:tcPr>
            <w:tcW w:w="3477" w:type="pct"/>
            <w:hideMark/>
          </w:tcPr>
          <w:p w14:paraId="1380167F"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 xml:space="preserve">Total </w:t>
            </w:r>
            <w:proofErr w:type="spellStart"/>
            <w:r w:rsidRPr="006F3533">
              <w:rPr>
                <w:rFonts w:eastAsia="DengXian" w:cs="Times New Roman"/>
                <w:sz w:val="20"/>
                <w:szCs w:val="20"/>
                <w:lang w:val="bg-BG"/>
              </w:rPr>
              <w:t>floor</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area</w:t>
            </w:r>
            <w:proofErr w:type="spellEnd"/>
            <w:r w:rsidRPr="006F3533">
              <w:rPr>
                <w:rFonts w:eastAsia="DengXian" w:cs="Times New Roman"/>
                <w:sz w:val="20"/>
                <w:szCs w:val="20"/>
                <w:lang w:val="bg-BG"/>
              </w:rPr>
              <w:t xml:space="preserve">, m2 </w:t>
            </w:r>
            <w:proofErr w:type="spellStart"/>
            <w:r w:rsidRPr="006F3533">
              <w:rPr>
                <w:rFonts w:eastAsia="DengXian" w:cs="Times New Roman"/>
                <w:sz w:val="20"/>
                <w:szCs w:val="20"/>
                <w:lang w:val="bg-BG"/>
              </w:rPr>
              <w:t>of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residential</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buildings</w:t>
            </w:r>
            <w:proofErr w:type="spellEnd"/>
          </w:p>
          <w:p w14:paraId="33EBCE98"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with</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valid</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EPCs</w:t>
            </w:r>
            <w:proofErr w:type="spellEnd"/>
          </w:p>
          <w:p w14:paraId="7861697E"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In</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year</w:t>
            </w:r>
            <w:proofErr w:type="spellEnd"/>
            <w:r w:rsidRPr="006F3533">
              <w:rPr>
                <w:rFonts w:eastAsia="DengXian" w:cs="Times New Roman"/>
                <w:sz w:val="20"/>
                <w:szCs w:val="20"/>
                <w:lang w:val="bg-BG"/>
              </w:rPr>
              <w:t xml:space="preserve"> 2025</w:t>
            </w:r>
          </w:p>
        </w:tc>
      </w:tr>
      <w:tr w:rsidR="00E6313A" w:rsidRPr="006F3533" w14:paraId="71373407"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3" w:type="pct"/>
            <w:hideMark/>
          </w:tcPr>
          <w:p w14:paraId="76A93C83"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 xml:space="preserve">A+ </w:t>
            </w:r>
          </w:p>
          <w:p w14:paraId="55837210"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lastRenderedPageBreak/>
              <w:t>(</w:t>
            </w:r>
            <w:proofErr w:type="spellStart"/>
            <w:r w:rsidRPr="006F3533">
              <w:rPr>
                <w:rFonts w:eastAsia="DengXian" w:cs="Times New Roman"/>
                <w:sz w:val="20"/>
                <w:szCs w:val="20"/>
                <w:lang w:val="bg-BG"/>
              </w:rPr>
              <w:t>if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relevant</w:t>
            </w:r>
            <w:proofErr w:type="spellEnd"/>
            <w:r w:rsidRPr="006F3533">
              <w:rPr>
                <w:rFonts w:eastAsia="DengXian" w:cs="Times New Roman"/>
                <w:sz w:val="20"/>
                <w:szCs w:val="20"/>
                <w:lang w:val="bg-BG"/>
              </w:rPr>
              <w:t xml:space="preserve">) </w:t>
            </w:r>
          </w:p>
        </w:tc>
        <w:tc>
          <w:tcPr>
            <w:tcW w:w="3477" w:type="pct"/>
            <w:hideMark/>
          </w:tcPr>
          <w:p w14:paraId="2EBBAF0C"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lastRenderedPageBreak/>
              <w:t>0</w:t>
            </w:r>
          </w:p>
        </w:tc>
      </w:tr>
      <w:tr w:rsidR="00E6313A" w:rsidRPr="006F3533" w14:paraId="733CC3B5" w14:textId="77777777" w:rsidTr="00541E06">
        <w:tc>
          <w:tcPr>
            <w:cnfStyle w:val="001000000000" w:firstRow="0" w:lastRow="0" w:firstColumn="1" w:lastColumn="0" w:oddVBand="0" w:evenVBand="0" w:oddHBand="0" w:evenHBand="0" w:firstRowFirstColumn="0" w:firstRowLastColumn="0" w:lastRowFirstColumn="0" w:lastRowLastColumn="0"/>
            <w:tcW w:w="1523" w:type="pct"/>
            <w:hideMark/>
          </w:tcPr>
          <w:p w14:paraId="6DD3D41F"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A0</w:t>
            </w:r>
          </w:p>
          <w:p w14:paraId="727D9289"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w:t>
            </w:r>
            <w:proofErr w:type="spellStart"/>
            <w:r w:rsidRPr="006F3533">
              <w:rPr>
                <w:rFonts w:eastAsia="DengXian" w:cs="Times New Roman"/>
                <w:sz w:val="20"/>
                <w:szCs w:val="20"/>
                <w:lang w:val="bg-BG"/>
              </w:rPr>
              <w:t>if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relevant</w:t>
            </w:r>
            <w:proofErr w:type="spellEnd"/>
            <w:r w:rsidRPr="006F3533">
              <w:rPr>
                <w:rFonts w:eastAsia="DengXian" w:cs="Times New Roman"/>
                <w:sz w:val="20"/>
                <w:szCs w:val="20"/>
                <w:lang w:val="bg-BG"/>
              </w:rPr>
              <w:t>)</w:t>
            </w:r>
          </w:p>
        </w:tc>
        <w:tc>
          <w:tcPr>
            <w:tcW w:w="3477" w:type="pct"/>
            <w:hideMark/>
          </w:tcPr>
          <w:p w14:paraId="566B738D"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0</w:t>
            </w:r>
          </w:p>
        </w:tc>
      </w:tr>
      <w:tr w:rsidR="00E6313A" w:rsidRPr="006F3533" w14:paraId="09B86A74"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3" w:type="pct"/>
            <w:hideMark/>
          </w:tcPr>
          <w:p w14:paraId="7D2CEEA3"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A</w:t>
            </w:r>
          </w:p>
        </w:tc>
        <w:tc>
          <w:tcPr>
            <w:tcW w:w="3477" w:type="pct"/>
            <w:hideMark/>
          </w:tcPr>
          <w:p w14:paraId="3FCBD508"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251 780 </w:t>
            </w:r>
          </w:p>
        </w:tc>
      </w:tr>
      <w:tr w:rsidR="00E6313A" w:rsidRPr="006F3533" w14:paraId="73D3CF69" w14:textId="77777777" w:rsidTr="00541E06">
        <w:tc>
          <w:tcPr>
            <w:cnfStyle w:val="001000000000" w:firstRow="0" w:lastRow="0" w:firstColumn="1" w:lastColumn="0" w:oddVBand="0" w:evenVBand="0" w:oddHBand="0" w:evenHBand="0" w:firstRowFirstColumn="0" w:firstRowLastColumn="0" w:lastRowFirstColumn="0" w:lastRowLastColumn="0"/>
            <w:tcW w:w="1523" w:type="pct"/>
            <w:hideMark/>
          </w:tcPr>
          <w:p w14:paraId="02D88FC1"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B</w:t>
            </w:r>
          </w:p>
        </w:tc>
        <w:tc>
          <w:tcPr>
            <w:tcW w:w="3477" w:type="pct"/>
            <w:hideMark/>
          </w:tcPr>
          <w:p w14:paraId="490F87A6"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4 042 836 </w:t>
            </w:r>
          </w:p>
        </w:tc>
      </w:tr>
      <w:tr w:rsidR="00E6313A" w:rsidRPr="006F3533" w14:paraId="4721A547"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3" w:type="pct"/>
            <w:hideMark/>
          </w:tcPr>
          <w:p w14:paraId="1FC8D367"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C</w:t>
            </w:r>
          </w:p>
        </w:tc>
        <w:tc>
          <w:tcPr>
            <w:tcW w:w="3477" w:type="pct"/>
            <w:hideMark/>
          </w:tcPr>
          <w:p w14:paraId="7662CB64"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4 018 760 </w:t>
            </w:r>
          </w:p>
        </w:tc>
      </w:tr>
      <w:tr w:rsidR="00E6313A" w:rsidRPr="006F3533" w14:paraId="0E73ECF8" w14:textId="77777777" w:rsidTr="00541E06">
        <w:tc>
          <w:tcPr>
            <w:cnfStyle w:val="001000000000" w:firstRow="0" w:lastRow="0" w:firstColumn="1" w:lastColumn="0" w:oddVBand="0" w:evenVBand="0" w:oddHBand="0" w:evenHBand="0" w:firstRowFirstColumn="0" w:firstRowLastColumn="0" w:lastRowFirstColumn="0" w:lastRowLastColumn="0"/>
            <w:tcW w:w="1523" w:type="pct"/>
            <w:hideMark/>
          </w:tcPr>
          <w:p w14:paraId="70CE68A3"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D</w:t>
            </w:r>
          </w:p>
        </w:tc>
        <w:tc>
          <w:tcPr>
            <w:tcW w:w="3477" w:type="pct"/>
            <w:hideMark/>
          </w:tcPr>
          <w:p w14:paraId="399118DF"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4 581 955 </w:t>
            </w:r>
          </w:p>
        </w:tc>
      </w:tr>
      <w:tr w:rsidR="00E6313A" w:rsidRPr="006F3533" w14:paraId="207710E0"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3" w:type="pct"/>
            <w:hideMark/>
          </w:tcPr>
          <w:p w14:paraId="1056A44A"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E</w:t>
            </w:r>
          </w:p>
        </w:tc>
        <w:tc>
          <w:tcPr>
            <w:tcW w:w="3477" w:type="pct"/>
            <w:hideMark/>
          </w:tcPr>
          <w:p w14:paraId="66E95537"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2 988 726 </w:t>
            </w:r>
          </w:p>
        </w:tc>
      </w:tr>
      <w:tr w:rsidR="00E6313A" w:rsidRPr="006F3533" w14:paraId="7AAAB8C9" w14:textId="77777777" w:rsidTr="00541E06">
        <w:tc>
          <w:tcPr>
            <w:cnfStyle w:val="001000000000" w:firstRow="0" w:lastRow="0" w:firstColumn="1" w:lastColumn="0" w:oddVBand="0" w:evenVBand="0" w:oddHBand="0" w:evenHBand="0" w:firstRowFirstColumn="0" w:firstRowLastColumn="0" w:lastRowFirstColumn="0" w:lastRowLastColumn="0"/>
            <w:tcW w:w="1523" w:type="pct"/>
            <w:hideMark/>
          </w:tcPr>
          <w:p w14:paraId="12CF1873"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F</w:t>
            </w:r>
          </w:p>
        </w:tc>
        <w:tc>
          <w:tcPr>
            <w:tcW w:w="3477" w:type="pct"/>
            <w:hideMark/>
          </w:tcPr>
          <w:p w14:paraId="2DE9BAA9"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1 104 321 </w:t>
            </w:r>
          </w:p>
        </w:tc>
      </w:tr>
      <w:tr w:rsidR="00E6313A" w:rsidRPr="006F3533" w14:paraId="73BAE655"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3" w:type="pct"/>
            <w:hideMark/>
          </w:tcPr>
          <w:p w14:paraId="027FFD98"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G</w:t>
            </w:r>
          </w:p>
        </w:tc>
        <w:tc>
          <w:tcPr>
            <w:tcW w:w="3477" w:type="pct"/>
            <w:hideMark/>
          </w:tcPr>
          <w:p w14:paraId="03306C64"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 xml:space="preserve">358 038 </w:t>
            </w:r>
          </w:p>
        </w:tc>
      </w:tr>
      <w:tr w:rsidR="00E6313A" w:rsidRPr="006F3533" w14:paraId="6AA5B366" w14:textId="77777777" w:rsidTr="00541E06">
        <w:tc>
          <w:tcPr>
            <w:cnfStyle w:val="001000000000" w:firstRow="0" w:lastRow="0" w:firstColumn="1" w:lastColumn="0" w:oddVBand="0" w:evenVBand="0" w:oddHBand="0" w:evenHBand="0" w:firstRowFirstColumn="0" w:firstRowLastColumn="0" w:lastRowFirstColumn="0" w:lastRowLastColumn="0"/>
            <w:tcW w:w="1523" w:type="pct"/>
            <w:hideMark/>
          </w:tcPr>
          <w:p w14:paraId="64234FF2" w14:textId="77777777" w:rsidR="00E6313A" w:rsidRPr="006F3533" w:rsidRDefault="00E6313A" w:rsidP="00541E06">
            <w:pPr>
              <w:jc w:val="both"/>
              <w:rPr>
                <w:rFonts w:eastAsia="DengXian" w:cs="Times New Roman"/>
                <w:b w:val="0"/>
                <w:bCs w:val="0"/>
                <w:sz w:val="20"/>
                <w:szCs w:val="20"/>
                <w:lang w:val="bg-BG"/>
              </w:rPr>
            </w:pPr>
            <w:r w:rsidRPr="006F3533">
              <w:rPr>
                <w:rFonts w:eastAsia="DengXian" w:cs="Times New Roman"/>
                <w:sz w:val="20"/>
                <w:szCs w:val="20"/>
                <w:lang w:val="bg-BG"/>
              </w:rPr>
              <w:t>Total</w:t>
            </w:r>
          </w:p>
        </w:tc>
        <w:tc>
          <w:tcPr>
            <w:tcW w:w="3477" w:type="pct"/>
            <w:hideMark/>
          </w:tcPr>
          <w:p w14:paraId="39BEE00A"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b/>
                <w:bCs/>
                <w:color w:val="000000"/>
                <w:sz w:val="20"/>
                <w:szCs w:val="20"/>
                <w:lang w:val="bg-BG"/>
              </w:rPr>
            </w:pPr>
            <w:r w:rsidRPr="006F3533">
              <w:rPr>
                <w:rFonts w:eastAsia="DengXian" w:cs="Times New Roman"/>
                <w:b/>
                <w:bCs/>
                <w:color w:val="000000"/>
                <w:sz w:val="20"/>
                <w:szCs w:val="20"/>
                <w:lang w:val="bg-BG"/>
              </w:rPr>
              <w:t>17 346 416</w:t>
            </w:r>
          </w:p>
        </w:tc>
      </w:tr>
    </w:tbl>
    <w:p w14:paraId="71E0531A"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База данни АУЕР, 2025 г.</w:t>
      </w:r>
    </w:p>
    <w:p w14:paraId="45E100BC" w14:textId="77777777" w:rsidR="00E6313A" w:rsidRPr="006F3533" w:rsidRDefault="00E6313A" w:rsidP="00E6313A">
      <w:pPr>
        <w:jc w:val="both"/>
        <w:rPr>
          <w:rFonts w:eastAsia="Calibri" w:cs="Times New Roman"/>
          <w:szCs w:val="24"/>
          <w:lang w:val="bg-BG"/>
        </w:rPr>
      </w:pPr>
      <w:r w:rsidRPr="006F3533">
        <w:rPr>
          <w:rFonts w:eastAsia="Calibri" w:cs="Times New Roman"/>
          <w:szCs w:val="24"/>
          <w:lang w:val="bg-BG"/>
        </w:rPr>
        <w:t>В националната база данни за енергийните характеристики на сградите се съхраняват и данни за енергийните характеристики на многофамилни жилищни сгради, за които срокът на валидност е изтекъл. Наличните данни могат да послужат за анализи, тъй като имат много по-голяма представителност спрямо целия фонд от жилищни сгради.</w:t>
      </w:r>
    </w:p>
    <w:p w14:paraId="63E6028A" w14:textId="77777777" w:rsidR="00E6313A" w:rsidRPr="006F3533" w:rsidRDefault="00E6313A" w:rsidP="00E6313A">
      <w:pPr>
        <w:jc w:val="both"/>
        <w:rPr>
          <w:rFonts w:eastAsia="DengXian" w:cs="Times New Roman"/>
          <w:i/>
          <w:iCs/>
          <w:color w:val="0070C0"/>
          <w:szCs w:val="24"/>
          <w:lang w:val="bg-BG"/>
        </w:rPr>
      </w:pPr>
    </w:p>
    <w:p w14:paraId="09FC4499" w14:textId="77777777" w:rsidR="00E6313A" w:rsidRPr="006F3533" w:rsidRDefault="00E6313A" w:rsidP="00E6313A">
      <w:pPr>
        <w:jc w:val="both"/>
        <w:rPr>
          <w:rFonts w:eastAsia="DengXian" w:cs="Times New Roman"/>
          <w:i/>
          <w:iCs/>
          <w:color w:val="0070C0"/>
          <w:szCs w:val="24"/>
          <w:lang w:val="bg-BG"/>
        </w:rPr>
      </w:pPr>
      <w:r w:rsidRPr="006F3533">
        <w:rPr>
          <w:rFonts w:eastAsia="DengXian" w:cs="Times New Roman"/>
          <w:i/>
          <w:iCs/>
          <w:color w:val="0070C0"/>
          <w:szCs w:val="24"/>
          <w:lang w:val="bg-BG"/>
        </w:rPr>
        <w:t xml:space="preserve">Таблица № </w:t>
      </w:r>
      <w:r w:rsidRPr="006F3533">
        <w:rPr>
          <w:rFonts w:eastAsia="DengXian" w:cs="Times New Roman"/>
          <w:i/>
          <w:iCs/>
          <w:color w:val="0070C0"/>
          <w:szCs w:val="24"/>
          <w:lang w:val="bg-BG"/>
        </w:rPr>
        <w:fldChar w:fldCharType="begin"/>
      </w:r>
      <w:r w:rsidRPr="006F3533">
        <w:rPr>
          <w:rFonts w:eastAsia="DengXian" w:cs="Times New Roman"/>
          <w:i/>
          <w:iCs/>
          <w:color w:val="0070C0"/>
          <w:szCs w:val="24"/>
          <w:lang w:val="bg-BG"/>
        </w:rPr>
        <w:instrText xml:space="preserve"> SEQ Таблица_№ \* ARABIC </w:instrText>
      </w:r>
      <w:r w:rsidRPr="006F3533">
        <w:rPr>
          <w:rFonts w:eastAsia="DengXian" w:cs="Times New Roman"/>
          <w:i/>
          <w:iCs/>
          <w:color w:val="0070C0"/>
          <w:szCs w:val="24"/>
          <w:lang w:val="bg-BG"/>
        </w:rPr>
        <w:fldChar w:fldCharType="separate"/>
      </w:r>
      <w:r w:rsidRPr="006F3533">
        <w:rPr>
          <w:rFonts w:eastAsia="DengXian" w:cs="Times New Roman"/>
          <w:i/>
          <w:iCs/>
          <w:noProof/>
          <w:color w:val="0070C0"/>
          <w:szCs w:val="24"/>
          <w:lang w:val="bg-BG"/>
        </w:rPr>
        <w:t>21</w:t>
      </w:r>
      <w:r w:rsidRPr="006F3533">
        <w:rPr>
          <w:rFonts w:eastAsia="DengXian" w:cs="Times New Roman"/>
          <w:i/>
          <w:iCs/>
          <w:color w:val="0070C0"/>
          <w:szCs w:val="24"/>
          <w:lang w:val="bg-BG"/>
        </w:rPr>
        <w:fldChar w:fldCharType="end"/>
      </w:r>
      <w:r w:rsidRPr="006F3533">
        <w:rPr>
          <w:rFonts w:eastAsia="DengXian" w:cs="Times New Roman"/>
          <w:i/>
          <w:iCs/>
          <w:color w:val="0070C0"/>
          <w:szCs w:val="24"/>
          <w:lang w:val="bg-BG"/>
        </w:rPr>
        <w:t>: Брой и разгъната застроена площ на многофамилните жилищни  сгради с валидни или невалидни сертификати за енергийни характеристики по клас на енергопотребление</w:t>
      </w:r>
    </w:p>
    <w:tbl>
      <w:tblPr>
        <w:tblStyle w:val="GridTable4-Accent5"/>
        <w:tblW w:w="5000" w:type="pct"/>
        <w:tblLook w:val="04A0" w:firstRow="1" w:lastRow="0" w:firstColumn="1" w:lastColumn="0" w:noHBand="0" w:noVBand="1"/>
      </w:tblPr>
      <w:tblGrid>
        <w:gridCol w:w="1536"/>
        <w:gridCol w:w="3686"/>
        <w:gridCol w:w="3840"/>
      </w:tblGrid>
      <w:tr w:rsidR="00E6313A" w:rsidRPr="006F3533" w14:paraId="6E96E041"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pct"/>
          </w:tcPr>
          <w:p w14:paraId="2DE05A9B"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EPC</w:t>
            </w:r>
          </w:p>
          <w:p w14:paraId="1300A88E" w14:textId="77777777" w:rsidR="00E6313A" w:rsidRPr="006F3533" w:rsidRDefault="00E6313A" w:rsidP="00541E06">
            <w:pPr>
              <w:jc w:val="both"/>
              <w:rPr>
                <w:rFonts w:eastAsia="DengXian" w:cs="Times New Roman"/>
                <w:sz w:val="20"/>
                <w:szCs w:val="20"/>
                <w:lang w:val="bg-BG"/>
              </w:rPr>
            </w:pPr>
            <w:proofErr w:type="spellStart"/>
            <w:r w:rsidRPr="006F3533">
              <w:rPr>
                <w:rFonts w:eastAsia="DengXian" w:cs="Times New Roman"/>
                <w:sz w:val="20"/>
                <w:szCs w:val="20"/>
                <w:lang w:val="bg-BG"/>
              </w:rPr>
              <w:t>Class</w:t>
            </w:r>
            <w:proofErr w:type="spellEnd"/>
          </w:p>
          <w:p w14:paraId="1B4F0490" w14:textId="77777777" w:rsidR="00E6313A" w:rsidRPr="006F3533" w:rsidRDefault="00E6313A" w:rsidP="00541E06">
            <w:pPr>
              <w:jc w:val="both"/>
              <w:rPr>
                <w:rFonts w:eastAsia="DengXian" w:cs="Times New Roman"/>
                <w:sz w:val="20"/>
                <w:szCs w:val="20"/>
                <w:lang w:val="bg-BG"/>
              </w:rPr>
            </w:pPr>
          </w:p>
        </w:tc>
        <w:tc>
          <w:tcPr>
            <w:tcW w:w="2034" w:type="pct"/>
            <w:hideMark/>
          </w:tcPr>
          <w:p w14:paraId="416ECBE6"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Multifamily</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residential</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buildings</w:t>
            </w:r>
            <w:proofErr w:type="spellEnd"/>
          </w:p>
          <w:p w14:paraId="52910A40"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No</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of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all</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EPCs</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issued</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valid</w:t>
            </w:r>
            <w:proofErr w:type="spellEnd"/>
            <w:r w:rsidRPr="006F3533">
              <w:rPr>
                <w:rFonts w:eastAsia="DengXian" w:cs="Times New Roman"/>
                <w:sz w:val="20"/>
                <w:szCs w:val="20"/>
                <w:lang w:val="bg-BG"/>
              </w:rPr>
              <w:t xml:space="preserve"> and </w:t>
            </w:r>
            <w:proofErr w:type="spellStart"/>
            <w:r w:rsidRPr="006F3533">
              <w:rPr>
                <w:rFonts w:eastAsia="DengXian" w:cs="Times New Roman"/>
                <w:sz w:val="20"/>
                <w:szCs w:val="20"/>
                <w:lang w:val="bg-BG"/>
              </w:rPr>
              <w:t>expired</w:t>
            </w:r>
            <w:proofErr w:type="spellEnd"/>
            <w:r w:rsidRPr="006F3533">
              <w:rPr>
                <w:rFonts w:eastAsia="DengXian" w:cs="Times New Roman"/>
                <w:sz w:val="20"/>
                <w:szCs w:val="20"/>
                <w:lang w:val="bg-BG"/>
              </w:rPr>
              <w:t>)</w:t>
            </w:r>
          </w:p>
          <w:p w14:paraId="21430EF8"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year</w:t>
            </w:r>
            <w:proofErr w:type="spellEnd"/>
            <w:r w:rsidRPr="006F3533">
              <w:rPr>
                <w:rFonts w:eastAsia="DengXian" w:cs="Times New Roman"/>
                <w:sz w:val="20"/>
                <w:szCs w:val="20"/>
                <w:lang w:val="bg-BG"/>
              </w:rPr>
              <w:t xml:space="preserve"> 2025</w:t>
            </w:r>
          </w:p>
        </w:tc>
        <w:tc>
          <w:tcPr>
            <w:tcW w:w="2119" w:type="pct"/>
            <w:hideMark/>
          </w:tcPr>
          <w:p w14:paraId="24A21224"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 xml:space="preserve">Total </w:t>
            </w:r>
            <w:proofErr w:type="spellStart"/>
            <w:r w:rsidRPr="006F3533">
              <w:rPr>
                <w:rFonts w:eastAsia="DengXian" w:cs="Times New Roman"/>
                <w:sz w:val="20"/>
                <w:szCs w:val="20"/>
                <w:lang w:val="bg-BG"/>
              </w:rPr>
              <w:t>floor</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area</w:t>
            </w:r>
            <w:proofErr w:type="spellEnd"/>
            <w:r w:rsidRPr="006F3533">
              <w:rPr>
                <w:rFonts w:eastAsia="DengXian" w:cs="Times New Roman"/>
                <w:sz w:val="20"/>
                <w:szCs w:val="20"/>
                <w:lang w:val="bg-BG"/>
              </w:rPr>
              <w:t xml:space="preserve">, m2 </w:t>
            </w:r>
            <w:proofErr w:type="spellStart"/>
            <w:r w:rsidRPr="006F3533">
              <w:rPr>
                <w:rFonts w:eastAsia="DengXian" w:cs="Times New Roman"/>
                <w:sz w:val="20"/>
                <w:szCs w:val="20"/>
                <w:lang w:val="bg-BG"/>
              </w:rPr>
              <w:t>of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multifamily</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residential</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buildings</w:t>
            </w:r>
            <w:proofErr w:type="spellEnd"/>
          </w:p>
          <w:p w14:paraId="789EC4F1"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with</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issued</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EPCs</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valid</w:t>
            </w:r>
            <w:proofErr w:type="spellEnd"/>
            <w:r w:rsidRPr="006F3533">
              <w:rPr>
                <w:rFonts w:eastAsia="DengXian" w:cs="Times New Roman"/>
                <w:sz w:val="20"/>
                <w:szCs w:val="20"/>
                <w:lang w:val="bg-BG"/>
              </w:rPr>
              <w:t xml:space="preserve"> and </w:t>
            </w:r>
            <w:proofErr w:type="spellStart"/>
            <w:r w:rsidRPr="006F3533">
              <w:rPr>
                <w:rFonts w:eastAsia="DengXian" w:cs="Times New Roman"/>
                <w:sz w:val="20"/>
                <w:szCs w:val="20"/>
                <w:lang w:val="bg-BG"/>
              </w:rPr>
              <w:t>expired</w:t>
            </w:r>
            <w:proofErr w:type="spellEnd"/>
            <w:r w:rsidRPr="006F3533">
              <w:rPr>
                <w:rFonts w:eastAsia="DengXian" w:cs="Times New Roman"/>
                <w:sz w:val="20"/>
                <w:szCs w:val="20"/>
                <w:lang w:val="bg-BG"/>
              </w:rPr>
              <w:t>)</w:t>
            </w:r>
          </w:p>
          <w:p w14:paraId="7DF657E5" w14:textId="77777777" w:rsidR="00E6313A" w:rsidRPr="006F3533" w:rsidRDefault="00E6313A" w:rsidP="00541E06">
            <w:pPr>
              <w:jc w:val="both"/>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year</w:t>
            </w:r>
            <w:proofErr w:type="spellEnd"/>
            <w:r w:rsidRPr="006F3533">
              <w:rPr>
                <w:rFonts w:eastAsia="DengXian" w:cs="Times New Roman"/>
                <w:sz w:val="20"/>
                <w:szCs w:val="20"/>
                <w:lang w:val="bg-BG"/>
              </w:rPr>
              <w:t xml:space="preserve"> 2025</w:t>
            </w:r>
          </w:p>
        </w:tc>
      </w:tr>
      <w:tr w:rsidR="00E6313A" w:rsidRPr="006F3533" w14:paraId="1F8BCB3D"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pct"/>
            <w:hideMark/>
          </w:tcPr>
          <w:p w14:paraId="2D260564"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 xml:space="preserve">A+ </w:t>
            </w:r>
          </w:p>
          <w:p w14:paraId="26A996D6"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w:t>
            </w:r>
            <w:proofErr w:type="spellStart"/>
            <w:r w:rsidRPr="006F3533">
              <w:rPr>
                <w:rFonts w:eastAsia="DengXian" w:cs="Times New Roman"/>
                <w:sz w:val="20"/>
                <w:szCs w:val="20"/>
                <w:lang w:val="bg-BG"/>
              </w:rPr>
              <w:t>if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relevant</w:t>
            </w:r>
            <w:proofErr w:type="spellEnd"/>
            <w:r w:rsidRPr="006F3533">
              <w:rPr>
                <w:rFonts w:eastAsia="DengXian" w:cs="Times New Roman"/>
                <w:sz w:val="20"/>
                <w:szCs w:val="20"/>
                <w:lang w:val="bg-BG"/>
              </w:rPr>
              <w:t xml:space="preserve">) </w:t>
            </w:r>
          </w:p>
        </w:tc>
        <w:tc>
          <w:tcPr>
            <w:tcW w:w="2034" w:type="pct"/>
            <w:hideMark/>
          </w:tcPr>
          <w:p w14:paraId="530C4A7C"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0</w:t>
            </w:r>
          </w:p>
        </w:tc>
        <w:tc>
          <w:tcPr>
            <w:tcW w:w="2119" w:type="pct"/>
            <w:hideMark/>
          </w:tcPr>
          <w:p w14:paraId="19926079"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0</w:t>
            </w:r>
          </w:p>
        </w:tc>
      </w:tr>
      <w:tr w:rsidR="00E6313A" w:rsidRPr="006F3533" w14:paraId="77A07E8A" w14:textId="77777777" w:rsidTr="00541E06">
        <w:tc>
          <w:tcPr>
            <w:cnfStyle w:val="001000000000" w:firstRow="0" w:lastRow="0" w:firstColumn="1" w:lastColumn="0" w:oddVBand="0" w:evenVBand="0" w:oddHBand="0" w:evenHBand="0" w:firstRowFirstColumn="0" w:firstRowLastColumn="0" w:lastRowFirstColumn="0" w:lastRowLastColumn="0"/>
            <w:tcW w:w="847" w:type="pct"/>
            <w:hideMark/>
          </w:tcPr>
          <w:p w14:paraId="5100AF5D"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A0</w:t>
            </w:r>
          </w:p>
          <w:p w14:paraId="22545236"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w:t>
            </w:r>
            <w:proofErr w:type="spellStart"/>
            <w:r w:rsidRPr="006F3533">
              <w:rPr>
                <w:rFonts w:eastAsia="DengXian" w:cs="Times New Roman"/>
                <w:sz w:val="20"/>
                <w:szCs w:val="20"/>
                <w:lang w:val="bg-BG"/>
              </w:rPr>
              <w:t>if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relevant</w:t>
            </w:r>
            <w:proofErr w:type="spellEnd"/>
            <w:r w:rsidRPr="006F3533">
              <w:rPr>
                <w:rFonts w:eastAsia="DengXian" w:cs="Times New Roman"/>
                <w:sz w:val="20"/>
                <w:szCs w:val="20"/>
                <w:lang w:val="bg-BG"/>
              </w:rPr>
              <w:t>)</w:t>
            </w:r>
          </w:p>
        </w:tc>
        <w:tc>
          <w:tcPr>
            <w:tcW w:w="2034" w:type="pct"/>
            <w:hideMark/>
          </w:tcPr>
          <w:p w14:paraId="17E2A9C7"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0</w:t>
            </w:r>
          </w:p>
        </w:tc>
        <w:tc>
          <w:tcPr>
            <w:tcW w:w="2119" w:type="pct"/>
            <w:hideMark/>
          </w:tcPr>
          <w:p w14:paraId="6D97E7B2"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0</w:t>
            </w:r>
          </w:p>
        </w:tc>
      </w:tr>
      <w:tr w:rsidR="00E6313A" w:rsidRPr="006F3533" w14:paraId="5380FC50"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pct"/>
            <w:hideMark/>
          </w:tcPr>
          <w:p w14:paraId="63235D1B"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A</w:t>
            </w:r>
          </w:p>
        </w:tc>
        <w:tc>
          <w:tcPr>
            <w:tcW w:w="2034" w:type="pct"/>
            <w:hideMark/>
          </w:tcPr>
          <w:p w14:paraId="5EB7C114"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103</w:t>
            </w:r>
          </w:p>
        </w:tc>
        <w:tc>
          <w:tcPr>
            <w:tcW w:w="2119" w:type="pct"/>
            <w:hideMark/>
          </w:tcPr>
          <w:p w14:paraId="4A770829"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287 1215</w:t>
            </w:r>
          </w:p>
        </w:tc>
      </w:tr>
      <w:tr w:rsidR="00E6313A" w:rsidRPr="006F3533" w14:paraId="73D89C73" w14:textId="77777777" w:rsidTr="00541E06">
        <w:tc>
          <w:tcPr>
            <w:cnfStyle w:val="001000000000" w:firstRow="0" w:lastRow="0" w:firstColumn="1" w:lastColumn="0" w:oddVBand="0" w:evenVBand="0" w:oddHBand="0" w:evenHBand="0" w:firstRowFirstColumn="0" w:firstRowLastColumn="0" w:lastRowFirstColumn="0" w:lastRowLastColumn="0"/>
            <w:tcW w:w="847" w:type="pct"/>
            <w:hideMark/>
          </w:tcPr>
          <w:p w14:paraId="165C66BA"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B</w:t>
            </w:r>
          </w:p>
        </w:tc>
        <w:tc>
          <w:tcPr>
            <w:tcW w:w="2034" w:type="pct"/>
            <w:hideMark/>
          </w:tcPr>
          <w:p w14:paraId="71DDA2FE"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cs="Calibri"/>
                <w:color w:val="000000"/>
                <w:sz w:val="20"/>
                <w:szCs w:val="20"/>
                <w:lang w:val="bg-BG"/>
              </w:rPr>
              <w:t>3258</w:t>
            </w:r>
          </w:p>
        </w:tc>
        <w:tc>
          <w:tcPr>
            <w:tcW w:w="2119" w:type="pct"/>
            <w:hideMark/>
          </w:tcPr>
          <w:p w14:paraId="5EC2D7AB"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4 963 246</w:t>
            </w:r>
          </w:p>
        </w:tc>
      </w:tr>
      <w:tr w:rsidR="00E6313A" w:rsidRPr="006F3533" w14:paraId="7535DA36"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pct"/>
            <w:hideMark/>
          </w:tcPr>
          <w:p w14:paraId="57F6E61B"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C</w:t>
            </w:r>
          </w:p>
        </w:tc>
        <w:tc>
          <w:tcPr>
            <w:tcW w:w="2034" w:type="pct"/>
            <w:hideMark/>
          </w:tcPr>
          <w:p w14:paraId="35E67D3D"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cs="Calibri"/>
                <w:color w:val="000000"/>
                <w:sz w:val="20"/>
                <w:szCs w:val="20"/>
                <w:lang w:val="bg-BG"/>
              </w:rPr>
              <w:t>1027</w:t>
            </w:r>
          </w:p>
        </w:tc>
        <w:tc>
          <w:tcPr>
            <w:tcW w:w="2119" w:type="pct"/>
            <w:hideMark/>
          </w:tcPr>
          <w:p w14:paraId="665F686C"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4 085 003</w:t>
            </w:r>
          </w:p>
        </w:tc>
      </w:tr>
      <w:tr w:rsidR="00E6313A" w:rsidRPr="006F3533" w14:paraId="14E9473B" w14:textId="77777777" w:rsidTr="00541E06">
        <w:tc>
          <w:tcPr>
            <w:cnfStyle w:val="001000000000" w:firstRow="0" w:lastRow="0" w:firstColumn="1" w:lastColumn="0" w:oddVBand="0" w:evenVBand="0" w:oddHBand="0" w:evenHBand="0" w:firstRowFirstColumn="0" w:firstRowLastColumn="0" w:lastRowFirstColumn="0" w:lastRowLastColumn="0"/>
            <w:tcW w:w="847" w:type="pct"/>
            <w:hideMark/>
          </w:tcPr>
          <w:p w14:paraId="2E0147CC"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D</w:t>
            </w:r>
          </w:p>
        </w:tc>
        <w:tc>
          <w:tcPr>
            <w:tcW w:w="2034" w:type="pct"/>
            <w:hideMark/>
          </w:tcPr>
          <w:p w14:paraId="022C3275"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cs="Calibri"/>
                <w:color w:val="000000"/>
                <w:sz w:val="20"/>
                <w:szCs w:val="20"/>
                <w:lang w:val="bg-BG"/>
              </w:rPr>
              <w:t>1120</w:t>
            </w:r>
          </w:p>
        </w:tc>
        <w:tc>
          <w:tcPr>
            <w:tcW w:w="2119" w:type="pct"/>
            <w:hideMark/>
          </w:tcPr>
          <w:p w14:paraId="749861B5"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5 437 288</w:t>
            </w:r>
          </w:p>
        </w:tc>
      </w:tr>
      <w:tr w:rsidR="00E6313A" w:rsidRPr="006F3533" w14:paraId="1AAFFAF6"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pct"/>
            <w:hideMark/>
          </w:tcPr>
          <w:p w14:paraId="545E712F"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E</w:t>
            </w:r>
          </w:p>
        </w:tc>
        <w:tc>
          <w:tcPr>
            <w:tcW w:w="2034" w:type="pct"/>
            <w:hideMark/>
          </w:tcPr>
          <w:p w14:paraId="4628EE3E"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cs="Calibri"/>
                <w:color w:val="000000"/>
                <w:sz w:val="20"/>
                <w:szCs w:val="20"/>
                <w:lang w:val="bg-BG"/>
              </w:rPr>
              <w:t>1536</w:t>
            </w:r>
          </w:p>
        </w:tc>
        <w:tc>
          <w:tcPr>
            <w:tcW w:w="2119" w:type="pct"/>
            <w:hideMark/>
          </w:tcPr>
          <w:p w14:paraId="2B489605"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7 429 609</w:t>
            </w:r>
          </w:p>
        </w:tc>
      </w:tr>
      <w:tr w:rsidR="00E6313A" w:rsidRPr="006F3533" w14:paraId="61FFC045" w14:textId="77777777" w:rsidTr="00541E06">
        <w:tc>
          <w:tcPr>
            <w:cnfStyle w:val="001000000000" w:firstRow="0" w:lastRow="0" w:firstColumn="1" w:lastColumn="0" w:oddVBand="0" w:evenVBand="0" w:oddHBand="0" w:evenHBand="0" w:firstRowFirstColumn="0" w:firstRowLastColumn="0" w:lastRowFirstColumn="0" w:lastRowLastColumn="0"/>
            <w:tcW w:w="847" w:type="pct"/>
            <w:hideMark/>
          </w:tcPr>
          <w:p w14:paraId="6C3B6B3C"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F</w:t>
            </w:r>
          </w:p>
        </w:tc>
        <w:tc>
          <w:tcPr>
            <w:tcW w:w="2034" w:type="pct"/>
            <w:hideMark/>
          </w:tcPr>
          <w:p w14:paraId="3E8DBBA8"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cs="Calibri"/>
                <w:color w:val="000000"/>
                <w:sz w:val="20"/>
                <w:szCs w:val="20"/>
                <w:lang w:val="bg-BG"/>
              </w:rPr>
              <w:t>1019</w:t>
            </w:r>
          </w:p>
        </w:tc>
        <w:tc>
          <w:tcPr>
            <w:tcW w:w="2119" w:type="pct"/>
            <w:hideMark/>
          </w:tcPr>
          <w:p w14:paraId="5E64F45F"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4 881 109</w:t>
            </w:r>
          </w:p>
        </w:tc>
      </w:tr>
      <w:tr w:rsidR="00E6313A" w:rsidRPr="006F3533" w14:paraId="79F81E52"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7" w:type="pct"/>
            <w:hideMark/>
          </w:tcPr>
          <w:p w14:paraId="2B7FF627" w14:textId="77777777" w:rsidR="00E6313A" w:rsidRPr="006F3533" w:rsidRDefault="00E6313A" w:rsidP="00541E06">
            <w:pPr>
              <w:jc w:val="both"/>
              <w:rPr>
                <w:rFonts w:eastAsia="DengXian" w:cs="Times New Roman"/>
                <w:sz w:val="20"/>
                <w:szCs w:val="20"/>
                <w:lang w:val="bg-BG"/>
              </w:rPr>
            </w:pPr>
            <w:r w:rsidRPr="006F3533">
              <w:rPr>
                <w:rFonts w:eastAsia="DengXian" w:cs="Times New Roman"/>
                <w:sz w:val="20"/>
                <w:szCs w:val="20"/>
                <w:lang w:val="bg-BG"/>
              </w:rPr>
              <w:t>G</w:t>
            </w:r>
          </w:p>
        </w:tc>
        <w:tc>
          <w:tcPr>
            <w:tcW w:w="2034" w:type="pct"/>
            <w:hideMark/>
          </w:tcPr>
          <w:p w14:paraId="6712FCE6"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cs="Calibri"/>
                <w:color w:val="000000"/>
                <w:sz w:val="20"/>
                <w:szCs w:val="20"/>
                <w:lang w:val="bg-BG"/>
              </w:rPr>
              <w:t>541</w:t>
            </w:r>
          </w:p>
        </w:tc>
        <w:tc>
          <w:tcPr>
            <w:tcW w:w="2119" w:type="pct"/>
            <w:hideMark/>
          </w:tcPr>
          <w:p w14:paraId="5E7CEF60" w14:textId="77777777" w:rsidR="00E6313A" w:rsidRPr="006F3533" w:rsidRDefault="00E6313A" w:rsidP="00541E06">
            <w:pPr>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1 892 465</w:t>
            </w:r>
          </w:p>
        </w:tc>
      </w:tr>
      <w:tr w:rsidR="00E6313A" w:rsidRPr="006F3533" w14:paraId="675376C1" w14:textId="77777777" w:rsidTr="00541E06">
        <w:tc>
          <w:tcPr>
            <w:cnfStyle w:val="001000000000" w:firstRow="0" w:lastRow="0" w:firstColumn="1" w:lastColumn="0" w:oddVBand="0" w:evenVBand="0" w:oddHBand="0" w:evenHBand="0" w:firstRowFirstColumn="0" w:firstRowLastColumn="0" w:lastRowFirstColumn="0" w:lastRowLastColumn="0"/>
            <w:tcW w:w="847" w:type="pct"/>
            <w:hideMark/>
          </w:tcPr>
          <w:p w14:paraId="3EB037EF" w14:textId="77777777" w:rsidR="00E6313A" w:rsidRPr="006F3533" w:rsidRDefault="00E6313A" w:rsidP="00541E06">
            <w:pPr>
              <w:jc w:val="both"/>
              <w:rPr>
                <w:rFonts w:eastAsia="DengXian" w:cs="Times New Roman"/>
                <w:b w:val="0"/>
                <w:bCs w:val="0"/>
                <w:sz w:val="20"/>
                <w:szCs w:val="20"/>
                <w:lang w:val="bg-BG"/>
              </w:rPr>
            </w:pPr>
            <w:r w:rsidRPr="006F3533">
              <w:rPr>
                <w:rFonts w:eastAsia="DengXian" w:cs="Times New Roman"/>
                <w:sz w:val="20"/>
                <w:szCs w:val="20"/>
                <w:lang w:val="bg-BG"/>
              </w:rPr>
              <w:t>Total</w:t>
            </w:r>
          </w:p>
        </w:tc>
        <w:tc>
          <w:tcPr>
            <w:tcW w:w="2034" w:type="pct"/>
            <w:hideMark/>
          </w:tcPr>
          <w:p w14:paraId="095EA751"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b/>
                <w:bCs/>
                <w:color w:val="000000"/>
                <w:sz w:val="20"/>
                <w:szCs w:val="20"/>
                <w:lang w:val="bg-BG"/>
              </w:rPr>
            </w:pPr>
            <w:r w:rsidRPr="006F3533">
              <w:rPr>
                <w:rFonts w:eastAsia="DengXian" w:cs="Times New Roman"/>
                <w:b/>
                <w:bCs/>
                <w:color w:val="000000"/>
                <w:sz w:val="20"/>
                <w:szCs w:val="20"/>
                <w:lang w:val="bg-BG"/>
              </w:rPr>
              <w:t>8 604</w:t>
            </w:r>
          </w:p>
        </w:tc>
        <w:tc>
          <w:tcPr>
            <w:tcW w:w="2119" w:type="pct"/>
          </w:tcPr>
          <w:p w14:paraId="0F457996"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p>
          <w:p w14:paraId="77563AF1" w14:textId="77777777" w:rsidR="00E6313A" w:rsidRPr="006F3533" w:rsidRDefault="00E6313A" w:rsidP="00541E06">
            <w:pPr>
              <w:jc w:val="right"/>
              <w:cnfStyle w:val="000000000000" w:firstRow="0" w:lastRow="0" w:firstColumn="0" w:lastColumn="0" w:oddVBand="0" w:evenVBand="0" w:oddHBand="0" w:evenHBand="0" w:firstRowFirstColumn="0" w:firstRowLastColumn="0" w:lastRowFirstColumn="0" w:lastRowLastColumn="0"/>
              <w:rPr>
                <w:rFonts w:eastAsia="DengXian" w:cs="Times New Roman"/>
                <w:b/>
                <w:bCs/>
                <w:sz w:val="20"/>
                <w:szCs w:val="20"/>
                <w:lang w:val="bg-BG"/>
              </w:rPr>
            </w:pPr>
            <w:r w:rsidRPr="006F3533">
              <w:rPr>
                <w:rFonts w:eastAsia="DengXian" w:cs="Times New Roman"/>
                <w:b/>
                <w:bCs/>
                <w:sz w:val="20"/>
                <w:szCs w:val="20"/>
                <w:lang w:val="bg-BG"/>
              </w:rPr>
              <w:t>28 975 841</w:t>
            </w:r>
          </w:p>
          <w:p w14:paraId="42202C62" w14:textId="77777777" w:rsidR="00E6313A" w:rsidRPr="006F3533" w:rsidRDefault="00E6313A" w:rsidP="00541E06">
            <w:pPr>
              <w:ind w:right="1030"/>
              <w:contextualSpacing/>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p>
        </w:tc>
      </w:tr>
    </w:tbl>
    <w:p w14:paraId="07FFAB13" w14:textId="77777777" w:rsidR="00E6313A"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База данни АУЕР, 2025 г.</w:t>
      </w:r>
    </w:p>
    <w:p w14:paraId="2DA054F5" w14:textId="77777777" w:rsidR="00372360" w:rsidRPr="006F3533" w:rsidRDefault="00372360" w:rsidP="00E6313A">
      <w:pPr>
        <w:spacing w:after="100" w:afterAutospacing="1" w:line="240" w:lineRule="auto"/>
        <w:jc w:val="right"/>
        <w:rPr>
          <w:rFonts w:eastAsia="Calibri" w:cs="Times New Roman"/>
          <w:i/>
          <w:iCs/>
          <w:szCs w:val="24"/>
          <w:lang w:val="bg-BG" w:eastAsia="bg-BG"/>
        </w:rPr>
      </w:pPr>
    </w:p>
    <w:p w14:paraId="7652AD06" w14:textId="77777777" w:rsidR="00E6313A" w:rsidRPr="006F3533" w:rsidRDefault="00E6313A" w:rsidP="00E6313A">
      <w:pPr>
        <w:pStyle w:val="Heading2"/>
        <w:jc w:val="both"/>
        <w:rPr>
          <w:lang w:val="bg-BG"/>
        </w:rPr>
      </w:pPr>
      <w:bookmarkStart w:id="89" w:name="_Toc217837110"/>
      <w:bookmarkStart w:id="90" w:name="_Toc217888764"/>
      <w:r w:rsidRPr="006F3533">
        <w:rPr>
          <w:lang w:val="bg-BG"/>
        </w:rPr>
        <w:t>Годишни темпове на обновяване – жилищни сгради</w:t>
      </w:r>
      <w:bookmarkEnd w:id="89"/>
      <w:bookmarkEnd w:id="90"/>
      <w:r w:rsidRPr="006F3533">
        <w:rPr>
          <w:lang w:val="bg-BG"/>
        </w:rPr>
        <w:tab/>
      </w:r>
    </w:p>
    <w:p w14:paraId="5CC4B71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Информацията за годишните темпове на обновяване на жилищните сгради се отнася до </w:t>
      </w:r>
      <w:r w:rsidRPr="006F3533">
        <w:rPr>
          <w:rFonts w:eastAsia="Times New Roman" w:cs="Times New Roman"/>
          <w:b/>
          <w:bCs/>
          <w:szCs w:val="24"/>
          <w:lang w:val="bg-BG" w:eastAsia="en-GB"/>
        </w:rPr>
        <w:t>референтната година X-2</w:t>
      </w:r>
      <w:r w:rsidRPr="006F3533">
        <w:rPr>
          <w:rFonts w:eastAsia="Times New Roman" w:cs="Times New Roman"/>
          <w:szCs w:val="24"/>
          <w:lang w:val="bg-BG" w:eastAsia="en-GB"/>
        </w:rPr>
        <w:t>, в съответствие с изискванията на образеца за Националния план за обновяване на сградите.</w:t>
      </w:r>
    </w:p>
    <w:p w14:paraId="01AFD2A2"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lastRenderedPageBreak/>
        <w:t>Доколкото към настоящия момент в България не съществува национална система за систематично отчитане на броя и разгънатата застроена площ на обновените жилищни сгради по години, е извлечена информация за всички обновени жилищни сгради (многофамилни) от 2012 г. насам, като са отчетени само тези с крайна дата на валидност на сертификата, относими към референтната година. Информацията предоставя информация за постигнатите енергийни спестявания, броя на обновените (многофамилни) жилищни сгради, обновената площ и дълбочината на обновяването, за изчисляване на годишни темпове на обновяване.</w:t>
      </w:r>
    </w:p>
    <w:p w14:paraId="4338C202" w14:textId="77777777" w:rsidR="00E6313A" w:rsidRPr="006F3533" w:rsidRDefault="00E6313A" w:rsidP="00E6313A">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22</w:t>
      </w:r>
      <w:r w:rsidRPr="006F3533">
        <w:rPr>
          <w:rFonts w:cs="Times New Roman"/>
          <w:i/>
          <w:iCs/>
          <w:color w:val="0070C0"/>
          <w:szCs w:val="24"/>
          <w:lang w:val="bg-BG"/>
        </w:rPr>
        <w:fldChar w:fldCharType="end"/>
      </w:r>
      <w:r w:rsidRPr="006F3533">
        <w:rPr>
          <w:rFonts w:cs="Times New Roman"/>
          <w:i/>
          <w:iCs/>
          <w:color w:val="0070C0"/>
          <w:szCs w:val="24"/>
          <w:lang w:val="bg-BG"/>
        </w:rPr>
        <w:t>: Годишните темпове на обновяване на жилищните сгради</w:t>
      </w:r>
    </w:p>
    <w:tbl>
      <w:tblPr>
        <w:tblStyle w:val="GridTable4-Accent5"/>
        <w:tblW w:w="9348" w:type="dxa"/>
        <w:tblLook w:val="04A0" w:firstRow="1" w:lastRow="0" w:firstColumn="1" w:lastColumn="0" w:noHBand="0" w:noVBand="1"/>
      </w:tblPr>
      <w:tblGrid>
        <w:gridCol w:w="1268"/>
        <w:gridCol w:w="1285"/>
        <w:gridCol w:w="1692"/>
        <w:gridCol w:w="1984"/>
        <w:gridCol w:w="1418"/>
        <w:gridCol w:w="1701"/>
      </w:tblGrid>
      <w:tr w:rsidR="00E6313A" w:rsidRPr="006F3533" w14:paraId="19B56FAC"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tcPr>
          <w:p w14:paraId="7377B0BF" w14:textId="77777777" w:rsidR="00E6313A" w:rsidRPr="006F3533" w:rsidRDefault="00E6313A" w:rsidP="00541E06">
            <w:pPr>
              <w:contextualSpacing/>
              <w:jc w:val="center"/>
              <w:rPr>
                <w:rFonts w:eastAsia="DengXian" w:cs="Times New Roman"/>
                <w:sz w:val="20"/>
                <w:szCs w:val="20"/>
                <w:lang w:val="bg-BG"/>
              </w:rPr>
            </w:pPr>
            <w:r w:rsidRPr="006F3533">
              <w:rPr>
                <w:rFonts w:eastAsia="DengXian" w:cs="Times New Roman"/>
                <w:sz w:val="20"/>
                <w:szCs w:val="20"/>
                <w:lang w:val="bg-BG"/>
              </w:rPr>
              <w:t xml:space="preserve">Building </w:t>
            </w:r>
            <w:proofErr w:type="spellStart"/>
            <w:r w:rsidRPr="006F3533">
              <w:rPr>
                <w:rFonts w:eastAsia="DengXian" w:cs="Times New Roman"/>
                <w:sz w:val="20"/>
                <w:szCs w:val="20"/>
                <w:lang w:val="bg-BG"/>
              </w:rPr>
              <w:t>Type</w:t>
            </w:r>
            <w:proofErr w:type="spellEnd"/>
          </w:p>
          <w:p w14:paraId="51C4906A" w14:textId="77777777" w:rsidR="00E6313A" w:rsidRPr="006F3533" w:rsidRDefault="00E6313A" w:rsidP="00541E06">
            <w:pPr>
              <w:contextualSpacing/>
              <w:jc w:val="center"/>
              <w:rPr>
                <w:rFonts w:eastAsia="DengXian" w:cs="Times New Roman"/>
                <w:sz w:val="20"/>
                <w:szCs w:val="20"/>
                <w:lang w:val="bg-BG"/>
              </w:rPr>
            </w:pPr>
          </w:p>
        </w:tc>
        <w:tc>
          <w:tcPr>
            <w:tcW w:w="1285" w:type="dxa"/>
            <w:hideMark/>
          </w:tcPr>
          <w:p w14:paraId="7CE50440" w14:textId="77777777" w:rsidR="00E6313A" w:rsidRPr="006F3533" w:rsidRDefault="00E6313A" w:rsidP="00541E06">
            <w:pPr>
              <w:contextualSpacing/>
              <w:jc w:val="center"/>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Renovation</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Depth</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Category</w:t>
            </w:r>
            <w:proofErr w:type="spellEnd"/>
          </w:p>
        </w:tc>
        <w:tc>
          <w:tcPr>
            <w:tcW w:w="1692" w:type="dxa"/>
            <w:hideMark/>
          </w:tcPr>
          <w:p w14:paraId="78E111F8" w14:textId="77777777" w:rsidR="00E6313A" w:rsidRPr="006F3533" w:rsidRDefault="00E6313A" w:rsidP="00541E06">
            <w:pPr>
              <w:contextualSpacing/>
              <w:jc w:val="center"/>
              <w:cnfStyle w:val="100000000000" w:firstRow="1" w:lastRow="0" w:firstColumn="0" w:lastColumn="0" w:oddVBand="0" w:evenVBand="0" w:oddHBand="0" w:evenHBand="0" w:firstRowFirstColumn="0" w:firstRowLastColumn="0" w:lastRowFirstColumn="0" w:lastRowLastColumn="0"/>
              <w:rPr>
                <w:rFonts w:eastAsia="DengXian" w:cs="Times New Roman"/>
                <w:sz w:val="20"/>
                <w:szCs w:val="20"/>
                <w:lang w:val="bg-BG"/>
              </w:rPr>
            </w:pPr>
            <w:proofErr w:type="spellStart"/>
            <w:r w:rsidRPr="006F3533">
              <w:rPr>
                <w:rFonts w:eastAsia="DengXian" w:cs="Times New Roman"/>
                <w:sz w:val="20"/>
                <w:szCs w:val="20"/>
                <w:lang w:val="bg-BG"/>
              </w:rPr>
              <w:t>Number</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of</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buildings</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renov</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In</w:t>
            </w:r>
            <w:proofErr w:type="spellEnd"/>
            <w:r w:rsidRPr="006F3533">
              <w:rPr>
                <w:rFonts w:eastAsia="DengXian" w:cs="Times New Roman"/>
                <w:sz w:val="20"/>
                <w:szCs w:val="20"/>
                <w:lang w:val="bg-BG"/>
              </w:rPr>
              <w:t xml:space="preserve"> </w:t>
            </w:r>
            <w:proofErr w:type="spellStart"/>
            <w:r w:rsidRPr="006F3533">
              <w:rPr>
                <w:rFonts w:eastAsia="DengXian" w:cs="Times New Roman"/>
                <w:sz w:val="20"/>
                <w:szCs w:val="20"/>
                <w:lang w:val="bg-BG"/>
              </w:rPr>
              <w:t>year</w:t>
            </w:r>
            <w:proofErr w:type="spellEnd"/>
            <w:r w:rsidRPr="006F3533">
              <w:rPr>
                <w:rFonts w:eastAsia="DengXian" w:cs="Times New Roman"/>
                <w:sz w:val="20"/>
                <w:szCs w:val="20"/>
                <w:lang w:val="bg-BG"/>
              </w:rPr>
              <w:t xml:space="preserve"> X-2</w:t>
            </w:r>
          </w:p>
        </w:tc>
        <w:tc>
          <w:tcPr>
            <w:tcW w:w="1984" w:type="dxa"/>
          </w:tcPr>
          <w:p w14:paraId="6D7B47B5" w14:textId="77777777" w:rsidR="00E6313A" w:rsidRPr="006F3533" w:rsidRDefault="00E6313A" w:rsidP="00541E06">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rPr>
            </w:pPr>
            <w:r w:rsidRPr="006F3533">
              <w:rPr>
                <w:rFonts w:eastAsia="Times New Roman" w:cs="Times New Roman"/>
                <w:sz w:val="20"/>
                <w:szCs w:val="20"/>
                <w:lang w:val="bg-BG"/>
              </w:rPr>
              <w:t xml:space="preserve">Total </w:t>
            </w:r>
            <w:proofErr w:type="spellStart"/>
            <w:r w:rsidRPr="006F3533">
              <w:rPr>
                <w:rFonts w:eastAsia="Times New Roman" w:cs="Times New Roman"/>
                <w:sz w:val="20"/>
                <w:szCs w:val="20"/>
                <w:lang w:val="bg-BG"/>
              </w:rPr>
              <w:t>floor</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area</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renov</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in</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year</w:t>
            </w:r>
            <w:proofErr w:type="spellEnd"/>
            <w:r w:rsidRPr="006F3533">
              <w:rPr>
                <w:rFonts w:eastAsia="Times New Roman" w:cs="Times New Roman"/>
                <w:sz w:val="20"/>
                <w:szCs w:val="20"/>
                <w:lang w:val="bg-BG"/>
              </w:rPr>
              <w:t xml:space="preserve"> X-2 (m2)</w:t>
            </w:r>
          </w:p>
        </w:tc>
        <w:tc>
          <w:tcPr>
            <w:tcW w:w="1418" w:type="dxa"/>
          </w:tcPr>
          <w:p w14:paraId="2D7AEB42" w14:textId="77777777" w:rsidR="00E6313A" w:rsidRPr="006F3533" w:rsidRDefault="00E6313A" w:rsidP="00541E06">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rPr>
            </w:pPr>
            <w:proofErr w:type="spellStart"/>
            <w:r w:rsidRPr="006F3533">
              <w:rPr>
                <w:rFonts w:eastAsia="Times New Roman" w:cs="Times New Roman"/>
                <w:sz w:val="20"/>
                <w:szCs w:val="20"/>
                <w:lang w:val="bg-BG"/>
              </w:rPr>
              <w:t>Renov</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rate</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in</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year</w:t>
            </w:r>
            <w:proofErr w:type="spellEnd"/>
            <w:r w:rsidRPr="006F3533">
              <w:rPr>
                <w:rFonts w:eastAsia="Times New Roman" w:cs="Times New Roman"/>
                <w:sz w:val="20"/>
                <w:szCs w:val="20"/>
                <w:lang w:val="bg-BG"/>
              </w:rPr>
              <w:t xml:space="preserve"> X-2, %</w:t>
            </w:r>
          </w:p>
        </w:tc>
        <w:tc>
          <w:tcPr>
            <w:tcW w:w="1701" w:type="dxa"/>
          </w:tcPr>
          <w:p w14:paraId="5FA00A3B" w14:textId="77777777" w:rsidR="00E6313A" w:rsidRPr="006F3533" w:rsidRDefault="00E6313A" w:rsidP="00541E06">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rPr>
            </w:pPr>
            <w:proofErr w:type="spellStart"/>
            <w:r w:rsidRPr="006F3533">
              <w:rPr>
                <w:rFonts w:eastAsia="Times New Roman" w:cs="Times New Roman"/>
                <w:sz w:val="20"/>
                <w:szCs w:val="20"/>
                <w:lang w:val="bg-BG"/>
              </w:rPr>
              <w:t>Estimated</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average</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renov</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rate</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in</w:t>
            </w:r>
            <w:proofErr w:type="spellEnd"/>
            <w:r w:rsidRPr="006F3533">
              <w:rPr>
                <w:rFonts w:eastAsia="Times New Roman" w:cs="Times New Roman"/>
                <w:sz w:val="20"/>
                <w:szCs w:val="20"/>
                <w:lang w:val="bg-BG"/>
              </w:rPr>
              <w:t xml:space="preserve"> </w:t>
            </w:r>
            <w:proofErr w:type="spellStart"/>
            <w:r w:rsidRPr="006F3533">
              <w:rPr>
                <w:rFonts w:eastAsia="Times New Roman" w:cs="Times New Roman"/>
                <w:sz w:val="20"/>
                <w:szCs w:val="20"/>
                <w:lang w:val="bg-BG"/>
              </w:rPr>
              <w:t>year</w:t>
            </w:r>
            <w:proofErr w:type="spellEnd"/>
            <w:r w:rsidRPr="006F3533">
              <w:rPr>
                <w:rFonts w:eastAsia="Times New Roman" w:cs="Times New Roman"/>
                <w:sz w:val="20"/>
                <w:szCs w:val="20"/>
                <w:lang w:val="bg-BG"/>
              </w:rPr>
              <w:t xml:space="preserve"> X-2, %</w:t>
            </w:r>
          </w:p>
        </w:tc>
      </w:tr>
      <w:tr w:rsidR="00E6313A" w:rsidRPr="006F3533" w14:paraId="047BD2B8"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vMerge w:val="restart"/>
          </w:tcPr>
          <w:p w14:paraId="6089E516" w14:textId="77777777" w:rsidR="00E6313A" w:rsidRPr="006F3533" w:rsidRDefault="00E6313A" w:rsidP="00541E06">
            <w:pPr>
              <w:contextualSpacing/>
              <w:jc w:val="both"/>
              <w:rPr>
                <w:rFonts w:eastAsia="DengXian" w:cs="Times New Roman"/>
                <w:sz w:val="20"/>
                <w:szCs w:val="20"/>
                <w:lang w:val="bg-BG"/>
              </w:rPr>
            </w:pPr>
          </w:p>
          <w:p w14:paraId="25266166" w14:textId="77777777" w:rsidR="00E6313A" w:rsidRPr="006F3533" w:rsidRDefault="00E6313A" w:rsidP="00541E06">
            <w:pPr>
              <w:contextualSpacing/>
              <w:jc w:val="both"/>
              <w:rPr>
                <w:rFonts w:eastAsia="DengXian" w:cs="Times New Roman"/>
                <w:sz w:val="20"/>
                <w:szCs w:val="20"/>
                <w:lang w:val="bg-BG"/>
              </w:rPr>
            </w:pPr>
            <w:proofErr w:type="spellStart"/>
            <w:r w:rsidRPr="006F3533">
              <w:rPr>
                <w:rFonts w:eastAsia="DengXian" w:cs="Times New Roman"/>
                <w:sz w:val="20"/>
                <w:szCs w:val="20"/>
                <w:lang w:val="bg-BG"/>
              </w:rPr>
              <w:t>Residential</w:t>
            </w:r>
            <w:proofErr w:type="spellEnd"/>
          </w:p>
        </w:tc>
        <w:tc>
          <w:tcPr>
            <w:tcW w:w="1285" w:type="dxa"/>
          </w:tcPr>
          <w:p w14:paraId="4C7348D1" w14:textId="77777777" w:rsidR="00E6313A" w:rsidRPr="006F3533" w:rsidRDefault="00E6313A" w:rsidP="00541E06">
            <w:pPr>
              <w:contextualSpacing/>
              <w:jc w:val="center"/>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proofErr w:type="spellStart"/>
            <w:r w:rsidRPr="006F3533">
              <w:rPr>
                <w:rFonts w:eastAsia="DengXian" w:cs="Times New Roman"/>
                <w:color w:val="000000"/>
                <w:sz w:val="20"/>
                <w:szCs w:val="20"/>
                <w:lang w:val="bg-BG"/>
              </w:rPr>
              <w:t>Light</w:t>
            </w:r>
            <w:proofErr w:type="spellEnd"/>
          </w:p>
        </w:tc>
        <w:tc>
          <w:tcPr>
            <w:tcW w:w="1692" w:type="dxa"/>
          </w:tcPr>
          <w:p w14:paraId="7DBD4DB1"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8</w:t>
            </w:r>
          </w:p>
        </w:tc>
        <w:tc>
          <w:tcPr>
            <w:tcW w:w="1984" w:type="dxa"/>
          </w:tcPr>
          <w:p w14:paraId="625A8259"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39 491</w:t>
            </w:r>
          </w:p>
        </w:tc>
        <w:tc>
          <w:tcPr>
            <w:tcW w:w="1418" w:type="dxa"/>
          </w:tcPr>
          <w:p w14:paraId="454784B2"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0,01%</w:t>
            </w:r>
          </w:p>
        </w:tc>
        <w:tc>
          <w:tcPr>
            <w:tcW w:w="1701" w:type="dxa"/>
          </w:tcPr>
          <w:p w14:paraId="63BA7DDF"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p>
        </w:tc>
      </w:tr>
      <w:tr w:rsidR="00E6313A" w:rsidRPr="006F3533" w14:paraId="7BDC0C74" w14:textId="77777777" w:rsidTr="00541E06">
        <w:tc>
          <w:tcPr>
            <w:cnfStyle w:val="001000000000" w:firstRow="0" w:lastRow="0" w:firstColumn="1" w:lastColumn="0" w:oddVBand="0" w:evenVBand="0" w:oddHBand="0" w:evenHBand="0" w:firstRowFirstColumn="0" w:firstRowLastColumn="0" w:lastRowFirstColumn="0" w:lastRowLastColumn="0"/>
            <w:tcW w:w="1268" w:type="dxa"/>
            <w:vMerge/>
          </w:tcPr>
          <w:p w14:paraId="1D4F963E" w14:textId="77777777" w:rsidR="00E6313A" w:rsidRPr="006F3533" w:rsidRDefault="00E6313A" w:rsidP="00541E06">
            <w:pPr>
              <w:contextualSpacing/>
              <w:jc w:val="both"/>
              <w:rPr>
                <w:rFonts w:eastAsia="DengXian" w:cs="Times New Roman"/>
                <w:sz w:val="20"/>
                <w:szCs w:val="20"/>
                <w:lang w:val="bg-BG"/>
              </w:rPr>
            </w:pPr>
          </w:p>
        </w:tc>
        <w:tc>
          <w:tcPr>
            <w:tcW w:w="1285" w:type="dxa"/>
          </w:tcPr>
          <w:p w14:paraId="1143813F" w14:textId="77777777" w:rsidR="00E6313A" w:rsidRPr="006F3533" w:rsidRDefault="00E6313A" w:rsidP="00541E06">
            <w:pPr>
              <w:contextualSpacing/>
              <w:jc w:val="center"/>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proofErr w:type="spellStart"/>
            <w:r w:rsidRPr="006F3533">
              <w:rPr>
                <w:rFonts w:eastAsia="DengXian" w:cs="Times New Roman"/>
                <w:color w:val="000000"/>
                <w:sz w:val="20"/>
                <w:szCs w:val="20"/>
                <w:lang w:val="bg-BG"/>
              </w:rPr>
              <w:t>Medium</w:t>
            </w:r>
            <w:proofErr w:type="spellEnd"/>
          </w:p>
        </w:tc>
        <w:tc>
          <w:tcPr>
            <w:tcW w:w="1692" w:type="dxa"/>
          </w:tcPr>
          <w:p w14:paraId="65C2149E"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176</w:t>
            </w:r>
          </w:p>
        </w:tc>
        <w:tc>
          <w:tcPr>
            <w:tcW w:w="1984" w:type="dxa"/>
          </w:tcPr>
          <w:p w14:paraId="619DDD38"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1 150 786</w:t>
            </w:r>
          </w:p>
        </w:tc>
        <w:tc>
          <w:tcPr>
            <w:tcW w:w="1418" w:type="dxa"/>
          </w:tcPr>
          <w:p w14:paraId="003C95CC"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0,38%</w:t>
            </w:r>
          </w:p>
        </w:tc>
        <w:tc>
          <w:tcPr>
            <w:tcW w:w="1701" w:type="dxa"/>
          </w:tcPr>
          <w:p w14:paraId="2F4B6E87"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p>
        </w:tc>
      </w:tr>
      <w:tr w:rsidR="00E6313A" w:rsidRPr="006F3533" w14:paraId="4D985FE4"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vMerge/>
          </w:tcPr>
          <w:p w14:paraId="43D6BD72" w14:textId="77777777" w:rsidR="00E6313A" w:rsidRPr="006F3533" w:rsidRDefault="00E6313A" w:rsidP="00541E06">
            <w:pPr>
              <w:contextualSpacing/>
              <w:jc w:val="both"/>
              <w:rPr>
                <w:rFonts w:eastAsia="DengXian" w:cs="Times New Roman"/>
                <w:sz w:val="20"/>
                <w:szCs w:val="20"/>
                <w:lang w:val="bg-BG"/>
              </w:rPr>
            </w:pPr>
          </w:p>
        </w:tc>
        <w:tc>
          <w:tcPr>
            <w:tcW w:w="1285" w:type="dxa"/>
          </w:tcPr>
          <w:p w14:paraId="202E8945" w14:textId="77777777" w:rsidR="00E6313A" w:rsidRPr="006F3533" w:rsidRDefault="00E6313A" w:rsidP="00541E06">
            <w:pPr>
              <w:contextualSpacing/>
              <w:jc w:val="center"/>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proofErr w:type="spellStart"/>
            <w:r w:rsidRPr="006F3533">
              <w:rPr>
                <w:rFonts w:eastAsia="DengXian" w:cs="Times New Roman"/>
                <w:color w:val="000000"/>
                <w:sz w:val="20"/>
                <w:szCs w:val="20"/>
                <w:lang w:val="bg-BG"/>
              </w:rPr>
              <w:t>Deep</w:t>
            </w:r>
            <w:proofErr w:type="spellEnd"/>
          </w:p>
        </w:tc>
        <w:tc>
          <w:tcPr>
            <w:tcW w:w="1692" w:type="dxa"/>
          </w:tcPr>
          <w:p w14:paraId="3454E127"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119</w:t>
            </w:r>
          </w:p>
        </w:tc>
        <w:tc>
          <w:tcPr>
            <w:tcW w:w="1984" w:type="dxa"/>
          </w:tcPr>
          <w:p w14:paraId="374E5AC7"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235 690</w:t>
            </w:r>
          </w:p>
        </w:tc>
        <w:tc>
          <w:tcPr>
            <w:tcW w:w="1418" w:type="dxa"/>
          </w:tcPr>
          <w:p w14:paraId="53FD5451"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0,08%</w:t>
            </w:r>
          </w:p>
        </w:tc>
        <w:tc>
          <w:tcPr>
            <w:tcW w:w="1701" w:type="dxa"/>
          </w:tcPr>
          <w:p w14:paraId="389880F7"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eastAsia="DengXian" w:cs="Times New Roman"/>
                <w:sz w:val="20"/>
                <w:szCs w:val="20"/>
                <w:lang w:val="bg-BG"/>
              </w:rPr>
            </w:pPr>
          </w:p>
        </w:tc>
      </w:tr>
      <w:tr w:rsidR="00E6313A" w:rsidRPr="006F3533" w14:paraId="7E35D8FF" w14:textId="77777777" w:rsidTr="00541E06">
        <w:tc>
          <w:tcPr>
            <w:cnfStyle w:val="001000000000" w:firstRow="0" w:lastRow="0" w:firstColumn="1" w:lastColumn="0" w:oddVBand="0" w:evenVBand="0" w:oddHBand="0" w:evenHBand="0" w:firstRowFirstColumn="0" w:firstRowLastColumn="0" w:lastRowFirstColumn="0" w:lastRowLastColumn="0"/>
            <w:tcW w:w="1268" w:type="dxa"/>
            <w:vMerge/>
          </w:tcPr>
          <w:p w14:paraId="69A397B3" w14:textId="77777777" w:rsidR="00E6313A" w:rsidRPr="006F3533" w:rsidRDefault="00E6313A" w:rsidP="00541E06">
            <w:pPr>
              <w:contextualSpacing/>
              <w:jc w:val="both"/>
              <w:rPr>
                <w:rFonts w:eastAsia="DengXian" w:cs="Times New Roman"/>
                <w:sz w:val="20"/>
                <w:szCs w:val="20"/>
                <w:lang w:val="bg-BG"/>
              </w:rPr>
            </w:pPr>
          </w:p>
        </w:tc>
        <w:tc>
          <w:tcPr>
            <w:tcW w:w="1285" w:type="dxa"/>
          </w:tcPr>
          <w:p w14:paraId="43FFA11E" w14:textId="77777777" w:rsidR="00E6313A" w:rsidRPr="006F3533" w:rsidRDefault="00E6313A" w:rsidP="00541E06">
            <w:pPr>
              <w:contextualSpacing/>
              <w:jc w:val="center"/>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Total</w:t>
            </w:r>
          </w:p>
        </w:tc>
        <w:tc>
          <w:tcPr>
            <w:tcW w:w="1692" w:type="dxa"/>
          </w:tcPr>
          <w:p w14:paraId="40D4D5BD"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eastAsia="DengXian" w:cs="Times New Roman"/>
                <w:color w:val="000000"/>
                <w:sz w:val="20"/>
                <w:szCs w:val="20"/>
                <w:lang w:val="bg-BG"/>
              </w:rPr>
            </w:pPr>
            <w:r w:rsidRPr="006F3533">
              <w:rPr>
                <w:rFonts w:eastAsia="DengXian" w:cs="Times New Roman"/>
                <w:color w:val="000000"/>
                <w:sz w:val="20"/>
                <w:szCs w:val="20"/>
                <w:lang w:val="bg-BG"/>
              </w:rPr>
              <w:t>303</w:t>
            </w:r>
          </w:p>
        </w:tc>
        <w:tc>
          <w:tcPr>
            <w:tcW w:w="1984" w:type="dxa"/>
          </w:tcPr>
          <w:p w14:paraId="40188555"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1 425 867</w:t>
            </w:r>
          </w:p>
        </w:tc>
        <w:tc>
          <w:tcPr>
            <w:tcW w:w="1418" w:type="dxa"/>
          </w:tcPr>
          <w:p w14:paraId="07BFE746"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p>
        </w:tc>
        <w:tc>
          <w:tcPr>
            <w:tcW w:w="1701" w:type="dxa"/>
          </w:tcPr>
          <w:p w14:paraId="6818104A"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eastAsia="DengXian" w:cs="Times New Roman"/>
                <w:sz w:val="20"/>
                <w:szCs w:val="20"/>
                <w:lang w:val="bg-BG"/>
              </w:rPr>
            </w:pPr>
            <w:r w:rsidRPr="006F3533">
              <w:rPr>
                <w:rFonts w:eastAsia="DengXian" w:cs="Times New Roman"/>
                <w:sz w:val="20"/>
                <w:szCs w:val="20"/>
                <w:lang w:val="bg-BG"/>
              </w:rPr>
              <w:t>56,67%</w:t>
            </w:r>
          </w:p>
        </w:tc>
      </w:tr>
    </w:tbl>
    <w:p w14:paraId="72D2A0F9"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База данни АУЕР, 2025 г.</w:t>
      </w:r>
    </w:p>
    <w:p w14:paraId="157677DB" w14:textId="77777777" w:rsidR="00E6313A" w:rsidRPr="006F3533" w:rsidRDefault="00E6313A" w:rsidP="00E6313A">
      <w:pPr>
        <w:pStyle w:val="Heading2"/>
        <w:jc w:val="both"/>
        <w:rPr>
          <w:lang w:val="bg-BG"/>
        </w:rPr>
      </w:pPr>
      <w:bookmarkStart w:id="91" w:name="_Toc217837111"/>
      <w:bookmarkStart w:id="92" w:name="_Toc217888765"/>
      <w:r w:rsidRPr="006F3533">
        <w:rPr>
          <w:lang w:val="bg-BG"/>
        </w:rPr>
        <w:t>Първично и крайно потребление на енергия по типове жилищни сгради (</w:t>
      </w:r>
      <w:proofErr w:type="spellStart"/>
      <w:r w:rsidRPr="006F3533">
        <w:rPr>
          <w:lang w:val="bg-BG"/>
        </w:rPr>
        <w:t>ktoe</w:t>
      </w:r>
      <w:proofErr w:type="spellEnd"/>
      <w:r w:rsidRPr="006F3533">
        <w:rPr>
          <w:lang w:val="bg-BG"/>
        </w:rPr>
        <w:t>)</w:t>
      </w:r>
      <w:bookmarkEnd w:id="91"/>
      <w:bookmarkEnd w:id="92"/>
      <w:r w:rsidRPr="006F3533">
        <w:rPr>
          <w:lang w:val="bg-BG"/>
        </w:rPr>
        <w:tab/>
      </w:r>
    </w:p>
    <w:p w14:paraId="7CE0C8B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Информацията по-долу е относно крайното и първичното потребление на енергия в сградния сектор, разграничено по основни типове сгради. Източник на данните са годишните статистически издание на Националния статистически институт (НСИ) – Енергийни баланси. В най-актуалното издание – Енергийни баланси 2023 г. се съдържа информация за крайното и първичното потребление на енергия сектор „Домакинства“ и в сектор „Търговия и услуги“. Данните за 2023 г. са използвани като представителни за годината Х-2. Данните за енергопотреблението в сектор „Домакинства“ съответства на енергопотреблението на жилищните сгради.</w:t>
      </w:r>
    </w:p>
    <w:p w14:paraId="56815BF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Представените данни за крайното потребление</w:t>
      </w:r>
      <w:r w:rsidRPr="006F3533">
        <w:rPr>
          <w:lang w:val="bg-BG"/>
        </w:rPr>
        <w:t xml:space="preserve"> </w:t>
      </w:r>
      <w:r w:rsidRPr="006F3533">
        <w:rPr>
          <w:rFonts w:eastAsia="Times New Roman" w:cs="Times New Roman"/>
          <w:szCs w:val="24"/>
          <w:lang w:val="bg-BG"/>
        </w:rPr>
        <w:t>на енергия в жилищните сгради отразяват потреблението за целия сегмент и разбивка между МЖС и ЕФК, като КЕП на МЖС е 93,5% и само 6,5% при ЕФК. Разликата се дължи на методологични, статистически и структурни причини в начина, по който НСИ отчита потреблението. Основната причина е класификация по „тип жилище“, а не по „тип сграда“. НСИ не работи с понятията МЖС и ЕФК така, както в енергийните обследвания.</w:t>
      </w:r>
      <w:r w:rsidRPr="006F3533">
        <w:rPr>
          <w:lang w:val="bg-BG"/>
        </w:rPr>
        <w:t xml:space="preserve"> </w:t>
      </w:r>
      <w:r w:rsidRPr="006F3533">
        <w:rPr>
          <w:rFonts w:eastAsia="Times New Roman" w:cs="Times New Roman"/>
          <w:szCs w:val="24"/>
          <w:lang w:val="bg-BG"/>
        </w:rPr>
        <w:t xml:space="preserve">КЕП се отнася към броя и площта на жилищата, а не към броя сгради. Огромна част от крайното енергийно потребление на домакинствата е в градски условия, т.е. предимно в МЖС. ЕФК често имат по-ниско „декларирано“ потребление поради енергийна бедност: Много ЕФК са частично отоплявани, използват една стая, един отоплителен уред, поддържат по-ниски вътрешни температури. </w:t>
      </w:r>
      <w:r w:rsidRPr="006F3533">
        <w:rPr>
          <w:rFonts w:eastAsia="Times New Roman" w:cs="Calibri"/>
          <w:szCs w:val="24"/>
          <w:lang w:val="bg-BG"/>
        </w:rPr>
        <w:t>Това</w:t>
      </w:r>
      <w:r w:rsidRPr="006F3533">
        <w:rPr>
          <w:rFonts w:eastAsia="Times New Roman" w:cs="Times New Roman"/>
          <w:szCs w:val="24"/>
          <w:lang w:val="bg-BG"/>
        </w:rPr>
        <w:t xml:space="preserve"> </w:t>
      </w:r>
      <w:r w:rsidRPr="006F3533">
        <w:rPr>
          <w:rFonts w:eastAsia="Times New Roman" w:cs="Calibri"/>
          <w:szCs w:val="24"/>
          <w:lang w:val="bg-BG"/>
        </w:rPr>
        <w:t>води</w:t>
      </w:r>
      <w:r w:rsidRPr="006F3533">
        <w:rPr>
          <w:rFonts w:eastAsia="Times New Roman" w:cs="Times New Roman"/>
          <w:szCs w:val="24"/>
          <w:lang w:val="bg-BG"/>
        </w:rPr>
        <w:t xml:space="preserve"> </w:t>
      </w:r>
      <w:r w:rsidRPr="006F3533">
        <w:rPr>
          <w:rFonts w:eastAsia="Times New Roman" w:cs="Calibri"/>
          <w:szCs w:val="24"/>
          <w:lang w:val="bg-BG"/>
        </w:rPr>
        <w:t>до</w:t>
      </w:r>
      <w:r w:rsidRPr="006F3533">
        <w:rPr>
          <w:rFonts w:eastAsia="Times New Roman" w:cs="Times New Roman"/>
          <w:szCs w:val="24"/>
          <w:lang w:val="bg-BG"/>
        </w:rPr>
        <w:t xml:space="preserve"> по-ниско крайно потребление, но до по-лоши енергийни характеристики на сградата.</w:t>
      </w:r>
    </w:p>
    <w:p w14:paraId="3BB0F46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Данните са представени в Таблица 23.</w:t>
      </w:r>
    </w:p>
    <w:p w14:paraId="0E9D1B0B" w14:textId="77777777" w:rsidR="00E6313A" w:rsidRPr="006F3533" w:rsidRDefault="00E6313A" w:rsidP="00E6313A">
      <w:pPr>
        <w:spacing w:line="240" w:lineRule="auto"/>
        <w:jc w:val="both"/>
        <w:rPr>
          <w:rFonts w:cs="Times New Roman"/>
          <w:i/>
          <w:iCs/>
          <w:color w:val="0070C0"/>
          <w:szCs w:val="24"/>
          <w:lang w:val="bg-BG"/>
        </w:rPr>
      </w:pPr>
      <w:r w:rsidRPr="006F3533">
        <w:rPr>
          <w:rFonts w:cs="Times New Roman"/>
          <w:i/>
          <w:iCs/>
          <w:color w:val="0070C0"/>
          <w:szCs w:val="24"/>
          <w:lang w:val="bg-BG"/>
        </w:rPr>
        <w:lastRenderedPageBreak/>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23</w:t>
      </w:r>
      <w:r w:rsidRPr="006F3533">
        <w:rPr>
          <w:rFonts w:cs="Times New Roman"/>
          <w:i/>
          <w:iCs/>
          <w:color w:val="0070C0"/>
          <w:szCs w:val="24"/>
          <w:lang w:val="bg-BG"/>
        </w:rPr>
        <w:fldChar w:fldCharType="end"/>
      </w:r>
      <w:r w:rsidRPr="006F3533">
        <w:rPr>
          <w:rFonts w:cs="Times New Roman"/>
          <w:i/>
          <w:iCs/>
          <w:color w:val="0070C0"/>
          <w:szCs w:val="24"/>
          <w:lang w:val="bg-BG"/>
        </w:rPr>
        <w:t>. Първично и крайно потребление на енергия в различните типове сгради през 2023 г. (</w:t>
      </w:r>
      <w:proofErr w:type="spellStart"/>
      <w:r w:rsidRPr="006F3533">
        <w:rPr>
          <w:rFonts w:cs="Times New Roman"/>
          <w:i/>
          <w:iCs/>
          <w:color w:val="0070C0"/>
          <w:szCs w:val="24"/>
          <w:lang w:val="bg-BG"/>
        </w:rPr>
        <w:t>ktoe</w:t>
      </w:r>
      <w:proofErr w:type="spellEnd"/>
      <w:r w:rsidRPr="006F3533">
        <w:rPr>
          <w:rFonts w:cs="Times New Roman"/>
          <w:i/>
          <w:iCs/>
          <w:color w:val="0070C0"/>
          <w:szCs w:val="24"/>
          <w:lang w:val="bg-BG"/>
        </w:rPr>
        <w:t>)</w:t>
      </w:r>
    </w:p>
    <w:tbl>
      <w:tblPr>
        <w:tblStyle w:val="GridTable4-Accent5"/>
        <w:tblW w:w="5000" w:type="pct"/>
        <w:tblLook w:val="04A0" w:firstRow="1" w:lastRow="0" w:firstColumn="1" w:lastColumn="0" w:noHBand="0" w:noVBand="1"/>
      </w:tblPr>
      <w:tblGrid>
        <w:gridCol w:w="756"/>
        <w:gridCol w:w="3021"/>
        <w:gridCol w:w="879"/>
        <w:gridCol w:w="1071"/>
        <w:gridCol w:w="1071"/>
        <w:gridCol w:w="1133"/>
        <w:gridCol w:w="1131"/>
      </w:tblGrid>
      <w:tr w:rsidR="00E6313A" w:rsidRPr="006F3533" w14:paraId="5A1F1E78" w14:textId="77777777" w:rsidTr="00541E0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 w:type="pct"/>
            <w:vMerge w:val="restart"/>
          </w:tcPr>
          <w:p w14:paraId="3C231FA1" w14:textId="77777777" w:rsidR="00E6313A" w:rsidRPr="006F3533" w:rsidRDefault="00E6313A" w:rsidP="00541E06">
            <w:pPr>
              <w:pStyle w:val="ListParagraph"/>
              <w:ind w:left="0"/>
              <w:jc w:val="both"/>
              <w:rPr>
                <w:rFonts w:cs="Times New Roman"/>
                <w:sz w:val="20"/>
                <w:szCs w:val="20"/>
                <w:lang w:val="bg-BG"/>
              </w:rPr>
            </w:pPr>
            <w:proofErr w:type="spellStart"/>
            <w:r w:rsidRPr="006F3533">
              <w:rPr>
                <w:rFonts w:cs="Times New Roman"/>
                <w:sz w:val="20"/>
                <w:szCs w:val="20"/>
                <w:lang w:val="bg-BG"/>
              </w:rPr>
              <w:t>Code</w:t>
            </w:r>
            <w:proofErr w:type="spellEnd"/>
          </w:p>
        </w:tc>
        <w:tc>
          <w:tcPr>
            <w:tcW w:w="1667" w:type="pct"/>
            <w:vMerge w:val="restart"/>
          </w:tcPr>
          <w:p w14:paraId="2A814AE4" w14:textId="77777777" w:rsidR="00E6313A" w:rsidRPr="006F3533" w:rsidRDefault="00E6313A" w:rsidP="00541E06">
            <w:pPr>
              <w:pStyle w:val="ListParagraph"/>
              <w:ind w:left="0"/>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Building</w:t>
            </w:r>
          </w:p>
          <w:p w14:paraId="3D22D9C8" w14:textId="77777777" w:rsidR="00E6313A" w:rsidRPr="006F3533" w:rsidRDefault="00E6313A" w:rsidP="00541E06">
            <w:pPr>
              <w:pStyle w:val="ListParagraph"/>
              <w:ind w:left="0"/>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Type</w:t>
            </w:r>
            <w:proofErr w:type="spellEnd"/>
          </w:p>
        </w:tc>
        <w:tc>
          <w:tcPr>
            <w:tcW w:w="485" w:type="pct"/>
            <w:vMerge w:val="restart"/>
          </w:tcPr>
          <w:p w14:paraId="7D099609" w14:textId="77777777" w:rsidR="00E6313A" w:rsidRPr="006F3533" w:rsidRDefault="00E6313A" w:rsidP="00541E06">
            <w:pPr>
              <w:pStyle w:val="ListParagraph"/>
              <w:ind w:left="0"/>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M/</w:t>
            </w:r>
          </w:p>
          <w:p w14:paraId="73CDC2F0" w14:textId="77777777" w:rsidR="00E6313A" w:rsidRPr="006F3533" w:rsidRDefault="00E6313A" w:rsidP="00541E06">
            <w:pPr>
              <w:pStyle w:val="ListParagraph"/>
              <w:ind w:left="0"/>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Miav</w:t>
            </w:r>
            <w:proofErr w:type="spellEnd"/>
          </w:p>
        </w:tc>
        <w:tc>
          <w:tcPr>
            <w:tcW w:w="1182" w:type="pct"/>
            <w:gridSpan w:val="2"/>
          </w:tcPr>
          <w:p w14:paraId="37BC7224" w14:textId="77777777" w:rsidR="00E6313A" w:rsidRPr="006F3533" w:rsidRDefault="00E6313A" w:rsidP="00541E06">
            <w:pPr>
              <w:pStyle w:val="ListParagraph"/>
              <w:ind w:left="0"/>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Final</w:t>
            </w:r>
            <w:proofErr w:type="spellEnd"/>
            <w:r w:rsidRPr="006F3533">
              <w:rPr>
                <w:rFonts w:cs="Times New Roman"/>
                <w:sz w:val="20"/>
                <w:szCs w:val="20"/>
                <w:lang w:val="bg-BG"/>
              </w:rPr>
              <w:t xml:space="preserve"> </w:t>
            </w:r>
            <w:proofErr w:type="spellStart"/>
            <w:r w:rsidRPr="006F3533">
              <w:rPr>
                <w:rFonts w:cs="Times New Roman"/>
                <w:sz w:val="20"/>
                <w:szCs w:val="20"/>
                <w:lang w:val="bg-BG"/>
              </w:rPr>
              <w:t>energy</w:t>
            </w:r>
            <w:proofErr w:type="spellEnd"/>
            <w:r w:rsidRPr="006F3533">
              <w:rPr>
                <w:rFonts w:cs="Times New Roman"/>
                <w:sz w:val="20"/>
                <w:szCs w:val="20"/>
                <w:lang w:val="bg-BG"/>
              </w:rPr>
              <w:t xml:space="preserve"> </w:t>
            </w:r>
            <w:proofErr w:type="spellStart"/>
            <w:r w:rsidRPr="006F3533">
              <w:rPr>
                <w:rFonts w:cs="Times New Roman"/>
                <w:sz w:val="20"/>
                <w:szCs w:val="20"/>
                <w:lang w:val="bg-BG"/>
              </w:rPr>
              <w:t>consumption</w:t>
            </w:r>
            <w:proofErr w:type="spellEnd"/>
            <w:r w:rsidRPr="006F3533">
              <w:rPr>
                <w:rFonts w:cs="Times New Roman"/>
                <w:sz w:val="20"/>
                <w:szCs w:val="20"/>
                <w:lang w:val="bg-BG"/>
              </w:rPr>
              <w:t xml:space="preserve">, </w:t>
            </w:r>
            <w:proofErr w:type="spellStart"/>
            <w:r w:rsidRPr="006F3533">
              <w:rPr>
                <w:rFonts w:cs="Times New Roman"/>
                <w:sz w:val="20"/>
                <w:szCs w:val="20"/>
                <w:lang w:val="bg-BG"/>
              </w:rPr>
              <w:t>ktoe</w:t>
            </w:r>
            <w:proofErr w:type="spellEnd"/>
          </w:p>
        </w:tc>
        <w:tc>
          <w:tcPr>
            <w:tcW w:w="1249" w:type="pct"/>
            <w:gridSpan w:val="2"/>
          </w:tcPr>
          <w:p w14:paraId="537399C8" w14:textId="77777777" w:rsidR="00E6313A" w:rsidRPr="006F3533" w:rsidRDefault="00E6313A" w:rsidP="00541E06">
            <w:pPr>
              <w:pStyle w:val="ListParagraph"/>
              <w:ind w:left="0"/>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Primary</w:t>
            </w:r>
            <w:proofErr w:type="spellEnd"/>
            <w:r w:rsidRPr="006F3533">
              <w:rPr>
                <w:rFonts w:cs="Times New Roman"/>
                <w:sz w:val="20"/>
                <w:szCs w:val="20"/>
                <w:lang w:val="bg-BG"/>
              </w:rPr>
              <w:t xml:space="preserve"> </w:t>
            </w:r>
            <w:proofErr w:type="spellStart"/>
            <w:r w:rsidRPr="006F3533">
              <w:rPr>
                <w:rFonts w:cs="Times New Roman"/>
                <w:sz w:val="20"/>
                <w:szCs w:val="20"/>
                <w:lang w:val="bg-BG"/>
              </w:rPr>
              <w:t>energy</w:t>
            </w:r>
            <w:proofErr w:type="spellEnd"/>
            <w:r w:rsidRPr="006F3533">
              <w:rPr>
                <w:rFonts w:cs="Times New Roman"/>
                <w:sz w:val="20"/>
                <w:szCs w:val="20"/>
                <w:lang w:val="bg-BG"/>
              </w:rPr>
              <w:t xml:space="preserve"> </w:t>
            </w:r>
            <w:proofErr w:type="spellStart"/>
            <w:r w:rsidRPr="006F3533">
              <w:rPr>
                <w:rFonts w:cs="Times New Roman"/>
                <w:sz w:val="20"/>
                <w:szCs w:val="20"/>
                <w:lang w:val="bg-BG"/>
              </w:rPr>
              <w:t>consumptio</w:t>
            </w:r>
            <w:proofErr w:type="spellEnd"/>
            <w:r w:rsidRPr="006F3533">
              <w:rPr>
                <w:rFonts w:cs="Times New Roman"/>
                <w:sz w:val="20"/>
                <w:szCs w:val="20"/>
                <w:lang w:val="bg-BG"/>
              </w:rPr>
              <w:t xml:space="preserve">, </w:t>
            </w:r>
          </w:p>
          <w:p w14:paraId="14DF6B2B" w14:textId="77777777" w:rsidR="00E6313A" w:rsidRPr="006F3533" w:rsidRDefault="00E6313A" w:rsidP="00541E06">
            <w:pPr>
              <w:pStyle w:val="ListParagraph"/>
              <w:ind w:left="0"/>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ktoe</w:t>
            </w:r>
            <w:proofErr w:type="spellEnd"/>
          </w:p>
        </w:tc>
      </w:tr>
      <w:tr w:rsidR="00E6313A" w:rsidRPr="006F3533" w14:paraId="33D5F441"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 w:type="pct"/>
            <w:vMerge/>
          </w:tcPr>
          <w:p w14:paraId="76E0D73A" w14:textId="77777777" w:rsidR="00E6313A" w:rsidRPr="006F3533" w:rsidRDefault="00E6313A" w:rsidP="00541E06">
            <w:pPr>
              <w:pStyle w:val="ListParagraph"/>
              <w:ind w:left="0"/>
              <w:jc w:val="both"/>
              <w:rPr>
                <w:rFonts w:cs="Times New Roman"/>
                <w:sz w:val="20"/>
                <w:szCs w:val="20"/>
                <w:lang w:val="bg-BG"/>
              </w:rPr>
            </w:pPr>
          </w:p>
        </w:tc>
        <w:tc>
          <w:tcPr>
            <w:tcW w:w="1667" w:type="pct"/>
            <w:vMerge/>
          </w:tcPr>
          <w:p w14:paraId="2AADD305"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485" w:type="pct"/>
            <w:vMerge/>
          </w:tcPr>
          <w:p w14:paraId="69851F89"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591" w:type="pct"/>
          </w:tcPr>
          <w:p w14:paraId="3317B7DE"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Year</w:t>
            </w:r>
            <w:proofErr w:type="spellEnd"/>
            <w:r w:rsidRPr="006F3533">
              <w:rPr>
                <w:rFonts w:cs="Times New Roman"/>
                <w:sz w:val="20"/>
                <w:szCs w:val="20"/>
                <w:lang w:val="bg-BG"/>
              </w:rPr>
              <w:t xml:space="preserve"> 2023</w:t>
            </w:r>
          </w:p>
        </w:tc>
        <w:tc>
          <w:tcPr>
            <w:tcW w:w="591" w:type="pct"/>
          </w:tcPr>
          <w:p w14:paraId="2FF5851C"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2020</w:t>
            </w:r>
          </w:p>
          <w:p w14:paraId="79004541"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625" w:type="pct"/>
          </w:tcPr>
          <w:p w14:paraId="1A6DD6C3"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Year</w:t>
            </w:r>
            <w:proofErr w:type="spellEnd"/>
            <w:r w:rsidRPr="006F3533">
              <w:rPr>
                <w:rFonts w:cs="Times New Roman"/>
                <w:sz w:val="20"/>
                <w:szCs w:val="20"/>
                <w:lang w:val="bg-BG"/>
              </w:rPr>
              <w:t xml:space="preserve"> 2023</w:t>
            </w:r>
          </w:p>
        </w:tc>
        <w:tc>
          <w:tcPr>
            <w:tcW w:w="624" w:type="pct"/>
          </w:tcPr>
          <w:p w14:paraId="02D4ABF8"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2020</w:t>
            </w:r>
          </w:p>
        </w:tc>
      </w:tr>
      <w:tr w:rsidR="00E6313A" w:rsidRPr="006F3533" w14:paraId="34960765"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417" w:type="pct"/>
          </w:tcPr>
          <w:p w14:paraId="32082D12" w14:textId="77777777" w:rsidR="00E6313A" w:rsidRPr="006F3533" w:rsidRDefault="00E6313A" w:rsidP="00541E06">
            <w:pPr>
              <w:pStyle w:val="ListParagraph"/>
              <w:ind w:left="0"/>
              <w:jc w:val="both"/>
              <w:rPr>
                <w:rFonts w:cs="Times New Roman"/>
                <w:sz w:val="20"/>
                <w:szCs w:val="20"/>
                <w:lang w:val="bg-BG"/>
              </w:rPr>
            </w:pPr>
            <w:r w:rsidRPr="006F3533">
              <w:rPr>
                <w:rFonts w:cs="Times New Roman"/>
                <w:sz w:val="20"/>
                <w:szCs w:val="20"/>
                <w:lang w:val="bg-BG"/>
              </w:rPr>
              <w:t xml:space="preserve">R </w:t>
            </w:r>
          </w:p>
        </w:tc>
        <w:tc>
          <w:tcPr>
            <w:tcW w:w="1667" w:type="pct"/>
          </w:tcPr>
          <w:p w14:paraId="7EB5D2A4"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Residential</w:t>
            </w:r>
            <w:proofErr w:type="spellEnd"/>
            <w:r w:rsidRPr="006F3533">
              <w:rPr>
                <w:rFonts w:cs="Times New Roman"/>
                <w:sz w:val="20"/>
                <w:szCs w:val="20"/>
                <w:lang w:val="bg-BG"/>
              </w:rPr>
              <w:t xml:space="preserve"> </w:t>
            </w:r>
          </w:p>
          <w:p w14:paraId="205EEC3E"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R= (a) + (b1)</w:t>
            </w:r>
          </w:p>
          <w:p w14:paraId="7499DA5E"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proofErr w:type="spellStart"/>
            <w:r w:rsidRPr="006F3533">
              <w:rPr>
                <w:rFonts w:cs="Times New Roman"/>
                <w:color w:val="0070C0"/>
                <w:sz w:val="20"/>
                <w:szCs w:val="20"/>
                <w:lang w:val="bg-BG"/>
              </w:rPr>
              <w:t>Or</w:t>
            </w:r>
            <w:proofErr w:type="spellEnd"/>
          </w:p>
          <w:p w14:paraId="4D5B2BCD"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R = (a) + (b2)</w:t>
            </w:r>
          </w:p>
          <w:p w14:paraId="3DAC47CA"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i/>
                <w:iCs/>
                <w:sz w:val="20"/>
                <w:szCs w:val="20"/>
                <w:lang w:val="bg-BG"/>
              </w:rPr>
              <w:t>Out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of</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which</w:t>
            </w:r>
            <w:proofErr w:type="spellEnd"/>
          </w:p>
        </w:tc>
        <w:tc>
          <w:tcPr>
            <w:tcW w:w="485" w:type="pct"/>
          </w:tcPr>
          <w:p w14:paraId="154AF4F1"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M</w:t>
            </w:r>
          </w:p>
        </w:tc>
        <w:tc>
          <w:tcPr>
            <w:tcW w:w="591" w:type="pct"/>
          </w:tcPr>
          <w:p w14:paraId="77A36BE2"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2047</w:t>
            </w:r>
          </w:p>
        </w:tc>
        <w:tc>
          <w:tcPr>
            <w:tcW w:w="591" w:type="pct"/>
          </w:tcPr>
          <w:p w14:paraId="536EAEFE"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2382</w:t>
            </w:r>
          </w:p>
        </w:tc>
        <w:tc>
          <w:tcPr>
            <w:tcW w:w="625" w:type="pct"/>
          </w:tcPr>
          <w:p w14:paraId="583C23B5"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3848</w:t>
            </w:r>
          </w:p>
        </w:tc>
        <w:tc>
          <w:tcPr>
            <w:tcW w:w="624" w:type="pct"/>
          </w:tcPr>
          <w:p w14:paraId="1632C401"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4137</w:t>
            </w:r>
          </w:p>
        </w:tc>
      </w:tr>
      <w:tr w:rsidR="00E6313A" w:rsidRPr="006F3533" w14:paraId="0708792D"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 w:type="pct"/>
          </w:tcPr>
          <w:p w14:paraId="7AA68DE5" w14:textId="77777777" w:rsidR="00E6313A" w:rsidRPr="006F3533" w:rsidRDefault="00E6313A" w:rsidP="00541E06">
            <w:pPr>
              <w:jc w:val="both"/>
              <w:rPr>
                <w:rFonts w:cs="Times New Roman"/>
                <w:i/>
                <w:iCs/>
                <w:sz w:val="20"/>
                <w:szCs w:val="20"/>
                <w:lang w:val="bg-BG"/>
              </w:rPr>
            </w:pPr>
            <w:r w:rsidRPr="006F3533">
              <w:rPr>
                <w:rFonts w:cs="Times New Roman"/>
                <w:i/>
                <w:iCs/>
                <w:sz w:val="20"/>
                <w:szCs w:val="20"/>
                <w:lang w:val="bg-BG"/>
              </w:rPr>
              <w:t>(a)</w:t>
            </w:r>
          </w:p>
        </w:tc>
        <w:tc>
          <w:tcPr>
            <w:tcW w:w="1667" w:type="pct"/>
          </w:tcPr>
          <w:p w14:paraId="629E9315"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single-family</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houses</w:t>
            </w:r>
            <w:proofErr w:type="spellEnd"/>
          </w:p>
          <w:p w14:paraId="787D876F"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of</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different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types</w:t>
            </w:r>
            <w:proofErr w:type="spellEnd"/>
          </w:p>
        </w:tc>
        <w:tc>
          <w:tcPr>
            <w:tcW w:w="485" w:type="pct"/>
          </w:tcPr>
          <w:p w14:paraId="02C1A25E"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Miav</w:t>
            </w:r>
            <w:proofErr w:type="spellEnd"/>
          </w:p>
        </w:tc>
        <w:tc>
          <w:tcPr>
            <w:tcW w:w="591" w:type="pct"/>
          </w:tcPr>
          <w:p w14:paraId="597E9922"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 xml:space="preserve">133 </w:t>
            </w:r>
          </w:p>
        </w:tc>
        <w:tc>
          <w:tcPr>
            <w:tcW w:w="591" w:type="pct"/>
          </w:tcPr>
          <w:p w14:paraId="68C594E7"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 xml:space="preserve">155 </w:t>
            </w:r>
          </w:p>
        </w:tc>
        <w:tc>
          <w:tcPr>
            <w:tcW w:w="625" w:type="pct"/>
          </w:tcPr>
          <w:p w14:paraId="7EEE53CE"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 xml:space="preserve">250 </w:t>
            </w:r>
          </w:p>
        </w:tc>
        <w:tc>
          <w:tcPr>
            <w:tcW w:w="624" w:type="pct"/>
          </w:tcPr>
          <w:p w14:paraId="181209A3"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 xml:space="preserve">269 </w:t>
            </w:r>
          </w:p>
        </w:tc>
      </w:tr>
      <w:tr w:rsidR="00E6313A" w:rsidRPr="006F3533" w14:paraId="0DC1E3B7"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417" w:type="pct"/>
          </w:tcPr>
          <w:p w14:paraId="6B1D6758" w14:textId="77777777" w:rsidR="00E6313A" w:rsidRPr="006F3533" w:rsidRDefault="00E6313A" w:rsidP="00541E06">
            <w:pPr>
              <w:pStyle w:val="ListParagraph"/>
              <w:ind w:left="0"/>
              <w:jc w:val="both"/>
              <w:rPr>
                <w:rFonts w:cs="Times New Roman"/>
                <w:i/>
                <w:iCs/>
                <w:sz w:val="20"/>
                <w:szCs w:val="20"/>
                <w:lang w:val="bg-BG"/>
              </w:rPr>
            </w:pPr>
            <w:r w:rsidRPr="006F3533">
              <w:rPr>
                <w:rFonts w:cs="Times New Roman"/>
                <w:i/>
                <w:iCs/>
                <w:sz w:val="20"/>
                <w:szCs w:val="20"/>
                <w:lang w:val="bg-BG"/>
              </w:rPr>
              <w:t>(b1)</w:t>
            </w:r>
          </w:p>
          <w:p w14:paraId="62129D6B" w14:textId="77777777" w:rsidR="00E6313A" w:rsidRPr="006F3533" w:rsidRDefault="00E6313A" w:rsidP="00541E06">
            <w:pPr>
              <w:pStyle w:val="ListParagraph"/>
              <w:ind w:left="0"/>
              <w:jc w:val="both"/>
              <w:rPr>
                <w:rFonts w:cs="Times New Roman"/>
                <w:i/>
                <w:iCs/>
                <w:sz w:val="20"/>
                <w:szCs w:val="20"/>
                <w:lang w:val="bg-BG"/>
              </w:rPr>
            </w:pPr>
          </w:p>
          <w:p w14:paraId="7F2DF4D9" w14:textId="77777777" w:rsidR="00E6313A" w:rsidRPr="006F3533" w:rsidRDefault="00E6313A" w:rsidP="00541E06">
            <w:pPr>
              <w:pStyle w:val="ListParagraph"/>
              <w:ind w:left="0"/>
              <w:jc w:val="both"/>
              <w:rPr>
                <w:rFonts w:cs="Times New Roman"/>
                <w:i/>
                <w:iCs/>
                <w:sz w:val="20"/>
                <w:szCs w:val="20"/>
                <w:lang w:val="bg-BG"/>
              </w:rPr>
            </w:pPr>
          </w:p>
          <w:p w14:paraId="21172703" w14:textId="77777777" w:rsidR="00E6313A" w:rsidRPr="006F3533" w:rsidRDefault="00E6313A" w:rsidP="00541E06">
            <w:pPr>
              <w:pStyle w:val="ListParagraph"/>
              <w:ind w:left="0"/>
              <w:jc w:val="both"/>
              <w:rPr>
                <w:rFonts w:cs="Times New Roman"/>
                <w:i/>
                <w:iCs/>
                <w:sz w:val="20"/>
                <w:szCs w:val="20"/>
                <w:lang w:val="bg-BG"/>
              </w:rPr>
            </w:pPr>
          </w:p>
        </w:tc>
        <w:tc>
          <w:tcPr>
            <w:tcW w:w="1667" w:type="pct"/>
          </w:tcPr>
          <w:p w14:paraId="10407370"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apartment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blocks</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or</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multi-family</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buildings</w:t>
            </w:r>
            <w:proofErr w:type="spellEnd"/>
            <w:r w:rsidRPr="006F3533">
              <w:rPr>
                <w:rFonts w:cs="Times New Roman"/>
                <w:i/>
                <w:iCs/>
                <w:sz w:val="20"/>
                <w:szCs w:val="20"/>
                <w:lang w:val="bg-BG"/>
              </w:rPr>
              <w:t xml:space="preserve"> </w:t>
            </w:r>
          </w:p>
          <w:p w14:paraId="13993EE5"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i/>
                <w:iCs/>
                <w:sz w:val="20"/>
                <w:szCs w:val="20"/>
                <w:lang w:val="bg-BG"/>
              </w:rPr>
            </w:pPr>
          </w:p>
          <w:p w14:paraId="790E9B4C"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i/>
                <w:iCs/>
                <w:sz w:val="20"/>
                <w:szCs w:val="20"/>
                <w:lang w:val="bg-BG"/>
              </w:rPr>
            </w:pPr>
          </w:p>
        </w:tc>
        <w:tc>
          <w:tcPr>
            <w:tcW w:w="485" w:type="pct"/>
          </w:tcPr>
          <w:p w14:paraId="4068B715"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Miav</w:t>
            </w:r>
            <w:proofErr w:type="spellEnd"/>
          </w:p>
          <w:p w14:paraId="0C447FDE"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p w14:paraId="3AEA15F4"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p w14:paraId="41591538"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591" w:type="pct"/>
          </w:tcPr>
          <w:p w14:paraId="118FEE8C"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 xml:space="preserve">1 914 </w:t>
            </w:r>
          </w:p>
        </w:tc>
        <w:tc>
          <w:tcPr>
            <w:tcW w:w="591" w:type="pct"/>
          </w:tcPr>
          <w:p w14:paraId="59BF253C"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 xml:space="preserve">2 227 </w:t>
            </w:r>
          </w:p>
        </w:tc>
        <w:tc>
          <w:tcPr>
            <w:tcW w:w="625" w:type="pct"/>
          </w:tcPr>
          <w:p w14:paraId="1504475D"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 xml:space="preserve">3 598 </w:t>
            </w:r>
          </w:p>
        </w:tc>
        <w:tc>
          <w:tcPr>
            <w:tcW w:w="624" w:type="pct"/>
          </w:tcPr>
          <w:p w14:paraId="60328915"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 xml:space="preserve">3 868 </w:t>
            </w:r>
          </w:p>
        </w:tc>
      </w:tr>
      <w:tr w:rsidR="00E6313A" w:rsidRPr="006F3533" w14:paraId="387EC39E"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 w:type="pct"/>
          </w:tcPr>
          <w:p w14:paraId="6249AB56" w14:textId="77777777" w:rsidR="00E6313A" w:rsidRPr="006F3533" w:rsidRDefault="00E6313A" w:rsidP="00541E06">
            <w:pPr>
              <w:pStyle w:val="ListParagraph"/>
              <w:ind w:left="0"/>
              <w:jc w:val="both"/>
              <w:rPr>
                <w:rFonts w:cs="Times New Roman"/>
                <w:i/>
                <w:iCs/>
                <w:sz w:val="20"/>
                <w:szCs w:val="20"/>
                <w:lang w:val="bg-BG"/>
              </w:rPr>
            </w:pPr>
            <w:r w:rsidRPr="006F3533">
              <w:rPr>
                <w:rFonts w:cs="Times New Roman"/>
                <w:i/>
                <w:iCs/>
                <w:sz w:val="20"/>
                <w:szCs w:val="20"/>
                <w:lang w:val="bg-BG"/>
              </w:rPr>
              <w:t>(b2)</w:t>
            </w:r>
          </w:p>
        </w:tc>
        <w:tc>
          <w:tcPr>
            <w:tcW w:w="1667" w:type="pct"/>
          </w:tcPr>
          <w:p w14:paraId="3F3EE380"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residential</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building</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unit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in</w:t>
            </w:r>
            <w:proofErr w:type="spellEnd"/>
          </w:p>
          <w:p w14:paraId="6AAA767F"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apartment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blocks</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or</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multi-family</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buildings</w:t>
            </w:r>
            <w:proofErr w:type="spellEnd"/>
          </w:p>
          <w:p w14:paraId="2890CD8A"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
        </w:tc>
        <w:tc>
          <w:tcPr>
            <w:tcW w:w="485" w:type="pct"/>
          </w:tcPr>
          <w:p w14:paraId="5629F415"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Miav</w:t>
            </w:r>
            <w:proofErr w:type="spellEnd"/>
          </w:p>
        </w:tc>
        <w:tc>
          <w:tcPr>
            <w:tcW w:w="591" w:type="pct"/>
          </w:tcPr>
          <w:p w14:paraId="2285B860"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c>
          <w:tcPr>
            <w:tcW w:w="591" w:type="pct"/>
          </w:tcPr>
          <w:p w14:paraId="7EFF002E"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c>
          <w:tcPr>
            <w:tcW w:w="625" w:type="pct"/>
          </w:tcPr>
          <w:p w14:paraId="17B6E597"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c>
          <w:tcPr>
            <w:tcW w:w="624" w:type="pct"/>
          </w:tcPr>
          <w:p w14:paraId="5E929584"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r>
      <w:tr w:rsidR="00E6313A" w:rsidRPr="006F3533" w14:paraId="3E8B1E0F"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417" w:type="pct"/>
          </w:tcPr>
          <w:p w14:paraId="722355FE" w14:textId="77777777" w:rsidR="00E6313A" w:rsidRPr="006F3533" w:rsidRDefault="00E6313A" w:rsidP="00541E06">
            <w:pPr>
              <w:pStyle w:val="ListParagraph"/>
              <w:ind w:left="0"/>
              <w:jc w:val="both"/>
              <w:rPr>
                <w:rFonts w:cs="Times New Roman"/>
                <w:sz w:val="20"/>
                <w:szCs w:val="20"/>
                <w:lang w:val="bg-BG"/>
              </w:rPr>
            </w:pPr>
            <w:r w:rsidRPr="006F3533">
              <w:rPr>
                <w:rFonts w:cs="Times New Roman"/>
                <w:sz w:val="20"/>
                <w:szCs w:val="20"/>
                <w:lang w:val="bg-BG"/>
              </w:rPr>
              <w:t>NR</w:t>
            </w:r>
          </w:p>
        </w:tc>
        <w:tc>
          <w:tcPr>
            <w:tcW w:w="1667" w:type="pct"/>
          </w:tcPr>
          <w:p w14:paraId="50A6EA0F"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Non-residential</w:t>
            </w:r>
            <w:proofErr w:type="spellEnd"/>
          </w:p>
          <w:p w14:paraId="2E6E13CC"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70C0"/>
                <w:sz w:val="20"/>
                <w:szCs w:val="20"/>
                <w:lang w:val="bg-BG"/>
              </w:rPr>
              <w:t>NR = (c) + (d) + (e) + (f) +(g) + (h) +(i)</w:t>
            </w:r>
          </w:p>
          <w:p w14:paraId="4FFA447D" w14:textId="77777777" w:rsidR="00E6313A" w:rsidRPr="006F3533" w:rsidRDefault="00E6313A" w:rsidP="00541E06">
            <w:pPr>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i/>
                <w:iCs/>
                <w:sz w:val="20"/>
                <w:szCs w:val="20"/>
                <w:lang w:val="bg-BG"/>
              </w:rPr>
              <w:t>Out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of</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which</w:t>
            </w:r>
            <w:proofErr w:type="spellEnd"/>
          </w:p>
        </w:tc>
        <w:tc>
          <w:tcPr>
            <w:tcW w:w="485" w:type="pct"/>
          </w:tcPr>
          <w:p w14:paraId="4F223EE9"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M</w:t>
            </w:r>
          </w:p>
        </w:tc>
        <w:tc>
          <w:tcPr>
            <w:tcW w:w="591" w:type="pct"/>
          </w:tcPr>
          <w:p w14:paraId="6FD43FC4"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1263.08</w:t>
            </w:r>
          </w:p>
        </w:tc>
        <w:tc>
          <w:tcPr>
            <w:tcW w:w="591" w:type="pct"/>
          </w:tcPr>
          <w:p w14:paraId="3C9F3B36"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1267.79</w:t>
            </w:r>
          </w:p>
        </w:tc>
        <w:tc>
          <w:tcPr>
            <w:tcW w:w="625" w:type="pct"/>
          </w:tcPr>
          <w:p w14:paraId="43AF6DF2"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2371.09</w:t>
            </w:r>
          </w:p>
        </w:tc>
        <w:tc>
          <w:tcPr>
            <w:tcW w:w="624" w:type="pct"/>
          </w:tcPr>
          <w:p w14:paraId="3C19A2E6" w14:textId="77777777" w:rsidR="00E6313A" w:rsidRPr="006F3533" w:rsidRDefault="00E6313A" w:rsidP="00541E06">
            <w:pPr>
              <w:pStyle w:val="ListParagraph"/>
              <w:ind w:left="0"/>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2469.00</w:t>
            </w:r>
          </w:p>
        </w:tc>
      </w:tr>
      <w:tr w:rsidR="00E6313A" w:rsidRPr="006F3533" w14:paraId="596FBF43"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 w:type="pct"/>
          </w:tcPr>
          <w:p w14:paraId="7A0CEA61" w14:textId="77777777" w:rsidR="00E6313A" w:rsidRPr="006F3533" w:rsidRDefault="00E6313A" w:rsidP="00541E06">
            <w:pPr>
              <w:pStyle w:val="ListParagraph"/>
              <w:ind w:left="0"/>
              <w:jc w:val="both"/>
              <w:rPr>
                <w:rFonts w:cs="Times New Roman"/>
                <w:sz w:val="20"/>
                <w:szCs w:val="20"/>
                <w:lang w:val="bg-BG"/>
              </w:rPr>
            </w:pPr>
            <w:r w:rsidRPr="006F3533">
              <w:rPr>
                <w:rFonts w:cs="Times New Roman"/>
                <w:sz w:val="20"/>
                <w:szCs w:val="20"/>
                <w:lang w:val="bg-BG"/>
              </w:rPr>
              <w:t>T</w:t>
            </w:r>
          </w:p>
        </w:tc>
        <w:tc>
          <w:tcPr>
            <w:tcW w:w="1667" w:type="pct"/>
          </w:tcPr>
          <w:p w14:paraId="5C888FA3"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Total</w:t>
            </w:r>
          </w:p>
          <w:p w14:paraId="7DFB388D"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70C0"/>
                <w:sz w:val="20"/>
                <w:szCs w:val="20"/>
                <w:lang w:val="bg-BG"/>
              </w:rPr>
              <w:t>T=R + NR</w:t>
            </w:r>
          </w:p>
        </w:tc>
        <w:tc>
          <w:tcPr>
            <w:tcW w:w="485" w:type="pct"/>
          </w:tcPr>
          <w:p w14:paraId="29B57F59"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M</w:t>
            </w:r>
          </w:p>
        </w:tc>
        <w:tc>
          <w:tcPr>
            <w:tcW w:w="591" w:type="pct"/>
          </w:tcPr>
          <w:p w14:paraId="32E33234"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591" w:type="pct"/>
          </w:tcPr>
          <w:p w14:paraId="5109C98F"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625" w:type="pct"/>
          </w:tcPr>
          <w:p w14:paraId="7F865686"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c>
          <w:tcPr>
            <w:tcW w:w="624" w:type="pct"/>
          </w:tcPr>
          <w:p w14:paraId="5FB2623E" w14:textId="77777777" w:rsidR="00E6313A" w:rsidRPr="006F3533" w:rsidRDefault="00E6313A" w:rsidP="00541E06">
            <w:pPr>
              <w:pStyle w:val="ListParagraph"/>
              <w:ind w:left="0"/>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r>
    </w:tbl>
    <w:p w14:paraId="2F0945E8"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 xml:space="preserve">Източник: НСИ </w:t>
      </w:r>
    </w:p>
    <w:p w14:paraId="11CBA396" w14:textId="77777777" w:rsidR="00E6313A" w:rsidRPr="006F3533" w:rsidRDefault="00E6313A" w:rsidP="00E6313A">
      <w:pPr>
        <w:pStyle w:val="Heading2"/>
        <w:jc w:val="both"/>
        <w:rPr>
          <w:szCs w:val="24"/>
          <w:lang w:val="bg-BG"/>
        </w:rPr>
      </w:pPr>
      <w:bookmarkStart w:id="93" w:name="_Toc217837112"/>
      <w:bookmarkStart w:id="94" w:name="_Toc217888766"/>
      <w:r w:rsidRPr="006F3533">
        <w:rPr>
          <w:lang w:val="bg-BG"/>
        </w:rPr>
        <w:t>Първично и крайно потребление на енергия по вид крайно потребление (</w:t>
      </w:r>
      <w:proofErr w:type="spellStart"/>
      <w:r w:rsidRPr="006F3533">
        <w:rPr>
          <w:lang w:val="bg-BG"/>
        </w:rPr>
        <w:t>ktoe</w:t>
      </w:r>
      <w:proofErr w:type="spellEnd"/>
      <w:r w:rsidRPr="006F3533">
        <w:rPr>
          <w:lang w:val="bg-BG"/>
        </w:rPr>
        <w:t>)</w:t>
      </w:r>
      <w:bookmarkEnd w:id="93"/>
      <w:bookmarkEnd w:id="94"/>
      <w:r w:rsidRPr="006F3533">
        <w:rPr>
          <w:szCs w:val="24"/>
          <w:lang w:val="bg-BG"/>
        </w:rPr>
        <w:tab/>
      </w:r>
    </w:p>
    <w:p w14:paraId="4C4F5DD9" w14:textId="77777777" w:rsidR="00E6313A" w:rsidRPr="006F3533" w:rsidRDefault="00E6313A" w:rsidP="00E6313A">
      <w:pPr>
        <w:spacing w:line="240" w:lineRule="auto"/>
        <w:jc w:val="both"/>
        <w:rPr>
          <w:rFonts w:eastAsia="Times New Roman" w:cs="Times New Roman"/>
          <w:szCs w:val="24"/>
          <w:lang w:val="bg-BG"/>
        </w:rPr>
      </w:pPr>
      <w:bookmarkStart w:id="95" w:name="_Hlk217805211"/>
      <w:r w:rsidRPr="006F3533">
        <w:rPr>
          <w:rFonts w:eastAsia="Times New Roman" w:cs="Times New Roman"/>
          <w:szCs w:val="24"/>
          <w:lang w:val="bg-BG"/>
        </w:rPr>
        <w:t>Разделът представя крайното и първичното потребление на енергия в сградния жилищен сектор за 2023 г., по вида на крайното потребление. В Енергийните баланси на НСИ е публикувана информация за сектор „Домакинства“, респективно за потреблението на жилищните сгради.</w:t>
      </w:r>
    </w:p>
    <w:p w14:paraId="1BD03C0E" w14:textId="77777777" w:rsidR="00E6313A" w:rsidRPr="006F3533" w:rsidRDefault="00E6313A" w:rsidP="00E6313A">
      <w:pPr>
        <w:spacing w:line="240" w:lineRule="auto"/>
        <w:jc w:val="both"/>
        <w:rPr>
          <w:rFonts w:eastAsia="Calibri" w:cs="Times New Roman"/>
          <w:i/>
          <w:iCs/>
          <w:color w:val="0070C0"/>
          <w:szCs w:val="24"/>
          <w:lang w:val="bg-BG"/>
        </w:rPr>
      </w:pPr>
      <w:r w:rsidRPr="006F3533">
        <w:rPr>
          <w:rFonts w:eastAsia="Calibri" w:cs="Times New Roman"/>
          <w:i/>
          <w:iCs/>
          <w:color w:val="0070C0"/>
          <w:szCs w:val="24"/>
          <w:lang w:val="bg-BG"/>
        </w:rPr>
        <w:t xml:space="preserve">Таблица № </w:t>
      </w:r>
      <w:r w:rsidRPr="006F3533">
        <w:rPr>
          <w:rFonts w:eastAsia="Calibri" w:cs="Times New Roman"/>
          <w:i/>
          <w:iCs/>
          <w:color w:val="0070C0"/>
          <w:szCs w:val="24"/>
          <w:lang w:val="bg-BG"/>
        </w:rPr>
        <w:fldChar w:fldCharType="begin"/>
      </w:r>
      <w:r w:rsidRPr="006F3533">
        <w:rPr>
          <w:rFonts w:eastAsia="Calibri" w:cs="Times New Roman"/>
          <w:i/>
          <w:iCs/>
          <w:color w:val="0070C0"/>
          <w:szCs w:val="24"/>
          <w:lang w:val="bg-BG"/>
        </w:rPr>
        <w:instrText xml:space="preserve"> SEQ Таблица_№ \* ARABIC </w:instrText>
      </w:r>
      <w:r w:rsidRPr="006F3533">
        <w:rPr>
          <w:rFonts w:eastAsia="Calibri" w:cs="Times New Roman"/>
          <w:i/>
          <w:iCs/>
          <w:color w:val="0070C0"/>
          <w:szCs w:val="24"/>
          <w:lang w:val="bg-BG"/>
        </w:rPr>
        <w:fldChar w:fldCharType="separate"/>
      </w:r>
      <w:r w:rsidRPr="006F3533">
        <w:rPr>
          <w:rFonts w:eastAsia="Calibri" w:cs="Times New Roman"/>
          <w:i/>
          <w:iCs/>
          <w:noProof/>
          <w:color w:val="0070C0"/>
          <w:szCs w:val="24"/>
          <w:lang w:val="bg-BG"/>
        </w:rPr>
        <w:t>24</w:t>
      </w:r>
      <w:r w:rsidRPr="006F3533">
        <w:rPr>
          <w:rFonts w:eastAsia="Calibri" w:cs="Times New Roman"/>
          <w:i/>
          <w:iCs/>
          <w:color w:val="0070C0"/>
          <w:szCs w:val="24"/>
          <w:lang w:val="bg-BG"/>
        </w:rPr>
        <w:fldChar w:fldCharType="end"/>
      </w:r>
      <w:r w:rsidRPr="006F3533">
        <w:rPr>
          <w:rFonts w:eastAsia="Calibri" w:cs="Times New Roman"/>
          <w:i/>
          <w:iCs/>
          <w:color w:val="0070C0"/>
          <w:szCs w:val="24"/>
          <w:lang w:val="bg-BG"/>
        </w:rPr>
        <w:t>: Първично и крайно потребление на е енергия в сградите по видове крайно потребление за 2023 г. (</w:t>
      </w:r>
      <w:proofErr w:type="spellStart"/>
      <w:r w:rsidRPr="006F3533">
        <w:rPr>
          <w:rFonts w:eastAsia="Calibri" w:cs="Times New Roman"/>
          <w:i/>
          <w:iCs/>
          <w:color w:val="0070C0"/>
          <w:szCs w:val="24"/>
          <w:lang w:val="bg-BG"/>
        </w:rPr>
        <w:t>ktoe</w:t>
      </w:r>
      <w:proofErr w:type="spellEnd"/>
      <w:r w:rsidRPr="006F3533">
        <w:rPr>
          <w:rFonts w:eastAsia="Calibri" w:cs="Times New Roman"/>
          <w:i/>
          <w:iCs/>
          <w:color w:val="0070C0"/>
          <w:szCs w:val="24"/>
          <w:lang w:val="bg-BG"/>
        </w:rPr>
        <w:t>)</w:t>
      </w:r>
    </w:p>
    <w:tbl>
      <w:tblPr>
        <w:tblStyle w:val="GridTable4-Accent5"/>
        <w:tblW w:w="5000" w:type="pct"/>
        <w:tblLook w:val="04A0" w:firstRow="1" w:lastRow="0" w:firstColumn="1" w:lastColumn="0" w:noHBand="0" w:noVBand="1"/>
      </w:tblPr>
      <w:tblGrid>
        <w:gridCol w:w="2488"/>
        <w:gridCol w:w="1671"/>
        <w:gridCol w:w="1635"/>
        <w:gridCol w:w="1635"/>
        <w:gridCol w:w="1633"/>
      </w:tblGrid>
      <w:tr w:rsidR="00E6313A" w:rsidRPr="006F3533" w14:paraId="0B9FBA7D"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pct"/>
            <w:vMerge w:val="restart"/>
            <w:hideMark/>
          </w:tcPr>
          <w:p w14:paraId="1E9C9FFB" w14:textId="77777777" w:rsidR="00E6313A" w:rsidRPr="006F3533" w:rsidRDefault="00E6313A" w:rsidP="00541E06">
            <w:pPr>
              <w:contextualSpacing/>
              <w:jc w:val="both"/>
              <w:rPr>
                <w:rFonts w:cs="Times New Roman"/>
                <w:sz w:val="20"/>
                <w:szCs w:val="20"/>
                <w:lang w:val="bg-BG"/>
              </w:rPr>
            </w:pPr>
            <w:proofErr w:type="spellStart"/>
            <w:r w:rsidRPr="006F3533">
              <w:rPr>
                <w:rFonts w:cs="Times New Roman"/>
                <w:sz w:val="20"/>
                <w:szCs w:val="20"/>
                <w:lang w:val="bg-BG"/>
              </w:rPr>
              <w:t>End</w:t>
            </w:r>
            <w:proofErr w:type="spellEnd"/>
            <w:r w:rsidRPr="006F3533">
              <w:rPr>
                <w:rFonts w:cs="Times New Roman"/>
                <w:sz w:val="20"/>
                <w:szCs w:val="20"/>
                <w:lang w:val="bg-BG"/>
              </w:rPr>
              <w:t xml:space="preserve"> </w:t>
            </w:r>
            <w:proofErr w:type="spellStart"/>
            <w:r w:rsidRPr="006F3533">
              <w:rPr>
                <w:rFonts w:cs="Times New Roman"/>
                <w:sz w:val="20"/>
                <w:szCs w:val="20"/>
                <w:lang w:val="bg-BG"/>
              </w:rPr>
              <w:t>use</w:t>
            </w:r>
            <w:proofErr w:type="spellEnd"/>
          </w:p>
        </w:tc>
        <w:tc>
          <w:tcPr>
            <w:tcW w:w="1824" w:type="pct"/>
            <w:gridSpan w:val="2"/>
            <w:hideMark/>
          </w:tcPr>
          <w:p w14:paraId="79B2312E"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Residential</w:t>
            </w:r>
            <w:proofErr w:type="spellEnd"/>
            <w:r w:rsidRPr="006F3533">
              <w:rPr>
                <w:rFonts w:cs="Times New Roman"/>
                <w:sz w:val="20"/>
                <w:szCs w:val="20"/>
                <w:lang w:val="bg-BG"/>
              </w:rPr>
              <w:t xml:space="preserve"> </w:t>
            </w:r>
            <w:proofErr w:type="spellStart"/>
            <w:r w:rsidRPr="006F3533">
              <w:rPr>
                <w:rFonts w:cs="Times New Roman"/>
                <w:sz w:val="20"/>
                <w:szCs w:val="20"/>
                <w:lang w:val="bg-BG"/>
              </w:rPr>
              <w:t>buildings</w:t>
            </w:r>
            <w:proofErr w:type="spellEnd"/>
          </w:p>
        </w:tc>
        <w:tc>
          <w:tcPr>
            <w:tcW w:w="1803" w:type="pct"/>
            <w:gridSpan w:val="2"/>
            <w:hideMark/>
          </w:tcPr>
          <w:p w14:paraId="4415991D" w14:textId="77777777" w:rsidR="00E6313A" w:rsidRPr="006F3533" w:rsidRDefault="00E6313A" w:rsidP="00541E06">
            <w:pPr>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Non-residential</w:t>
            </w:r>
            <w:proofErr w:type="spellEnd"/>
            <w:r w:rsidRPr="006F3533">
              <w:rPr>
                <w:rFonts w:cs="Times New Roman"/>
                <w:sz w:val="20"/>
                <w:szCs w:val="20"/>
                <w:lang w:val="bg-BG"/>
              </w:rPr>
              <w:t xml:space="preserve"> </w:t>
            </w:r>
            <w:proofErr w:type="spellStart"/>
            <w:r w:rsidRPr="006F3533">
              <w:rPr>
                <w:rFonts w:cs="Times New Roman"/>
                <w:sz w:val="20"/>
                <w:szCs w:val="20"/>
                <w:lang w:val="bg-BG"/>
              </w:rPr>
              <w:t>buildings</w:t>
            </w:r>
            <w:proofErr w:type="spellEnd"/>
          </w:p>
        </w:tc>
      </w:tr>
      <w:tr w:rsidR="00E6313A" w:rsidRPr="006F3533" w14:paraId="6F5EF73B"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09C215CB" w14:textId="77777777" w:rsidR="00E6313A" w:rsidRPr="006F3533" w:rsidRDefault="00E6313A" w:rsidP="00541E06">
            <w:pPr>
              <w:rPr>
                <w:rFonts w:cs="Times New Roman"/>
                <w:sz w:val="20"/>
                <w:szCs w:val="20"/>
                <w:lang w:val="bg-BG"/>
              </w:rPr>
            </w:pPr>
          </w:p>
        </w:tc>
        <w:tc>
          <w:tcPr>
            <w:tcW w:w="922" w:type="pct"/>
            <w:hideMark/>
          </w:tcPr>
          <w:p w14:paraId="75CAD20D"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Primary</w:t>
            </w:r>
            <w:proofErr w:type="spellEnd"/>
            <w:r w:rsidRPr="006F3533">
              <w:rPr>
                <w:rFonts w:cs="Times New Roman"/>
                <w:sz w:val="20"/>
                <w:szCs w:val="20"/>
                <w:lang w:val="bg-BG"/>
              </w:rPr>
              <w:t xml:space="preserve"> </w:t>
            </w:r>
            <w:proofErr w:type="spellStart"/>
            <w:r w:rsidRPr="006F3533">
              <w:rPr>
                <w:rFonts w:cs="Times New Roman"/>
                <w:sz w:val="20"/>
                <w:szCs w:val="20"/>
                <w:lang w:val="bg-BG"/>
              </w:rPr>
              <w:t>energy</w:t>
            </w:r>
            <w:proofErr w:type="spellEnd"/>
            <w:r w:rsidRPr="006F3533">
              <w:rPr>
                <w:rFonts w:cs="Times New Roman"/>
                <w:sz w:val="20"/>
                <w:szCs w:val="20"/>
                <w:lang w:val="bg-BG"/>
              </w:rPr>
              <w:t xml:space="preserve"> </w:t>
            </w:r>
            <w:proofErr w:type="spellStart"/>
            <w:r w:rsidRPr="006F3533">
              <w:rPr>
                <w:rFonts w:cs="Times New Roman"/>
                <w:sz w:val="20"/>
                <w:szCs w:val="20"/>
                <w:lang w:val="bg-BG"/>
              </w:rPr>
              <w:t>consumption</w:t>
            </w:r>
            <w:proofErr w:type="spellEnd"/>
            <w:r w:rsidRPr="006F3533">
              <w:rPr>
                <w:rFonts w:cs="Times New Roman"/>
                <w:sz w:val="20"/>
                <w:szCs w:val="20"/>
                <w:lang w:val="bg-BG"/>
              </w:rPr>
              <w:t xml:space="preserve"> </w:t>
            </w: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2023</w:t>
            </w:r>
          </w:p>
          <w:p w14:paraId="00E93D9A"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ktoe</w:t>
            </w:r>
            <w:proofErr w:type="spellEnd"/>
          </w:p>
        </w:tc>
        <w:tc>
          <w:tcPr>
            <w:tcW w:w="902" w:type="pct"/>
            <w:hideMark/>
          </w:tcPr>
          <w:p w14:paraId="0EED009C"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Final</w:t>
            </w:r>
            <w:proofErr w:type="spellEnd"/>
            <w:r w:rsidRPr="006F3533">
              <w:rPr>
                <w:rFonts w:cs="Times New Roman"/>
                <w:sz w:val="20"/>
                <w:szCs w:val="20"/>
                <w:lang w:val="bg-BG"/>
              </w:rPr>
              <w:t xml:space="preserve"> </w:t>
            </w:r>
            <w:proofErr w:type="spellStart"/>
            <w:r w:rsidRPr="006F3533">
              <w:rPr>
                <w:rFonts w:cs="Times New Roman"/>
                <w:sz w:val="20"/>
                <w:szCs w:val="20"/>
                <w:lang w:val="bg-BG"/>
              </w:rPr>
              <w:t>energy</w:t>
            </w:r>
            <w:proofErr w:type="spellEnd"/>
            <w:r w:rsidRPr="006F3533">
              <w:rPr>
                <w:rFonts w:cs="Times New Roman"/>
                <w:sz w:val="20"/>
                <w:szCs w:val="20"/>
                <w:lang w:val="bg-BG"/>
              </w:rPr>
              <w:t xml:space="preserve"> </w:t>
            </w:r>
            <w:proofErr w:type="spellStart"/>
            <w:r w:rsidRPr="006F3533">
              <w:rPr>
                <w:rFonts w:cs="Times New Roman"/>
                <w:sz w:val="20"/>
                <w:szCs w:val="20"/>
                <w:lang w:val="bg-BG"/>
              </w:rPr>
              <w:t>consumption</w:t>
            </w:r>
            <w:proofErr w:type="spellEnd"/>
            <w:r w:rsidRPr="006F3533">
              <w:rPr>
                <w:rFonts w:cs="Times New Roman"/>
                <w:sz w:val="20"/>
                <w:szCs w:val="20"/>
                <w:lang w:val="bg-BG"/>
              </w:rPr>
              <w:t xml:space="preserve"> </w:t>
            </w: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2023</w:t>
            </w:r>
          </w:p>
          <w:p w14:paraId="353D14F9"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ktoe</w:t>
            </w:r>
            <w:proofErr w:type="spellEnd"/>
          </w:p>
        </w:tc>
        <w:tc>
          <w:tcPr>
            <w:tcW w:w="902" w:type="pct"/>
            <w:hideMark/>
          </w:tcPr>
          <w:p w14:paraId="035A718F"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Primary</w:t>
            </w:r>
            <w:proofErr w:type="spellEnd"/>
            <w:r w:rsidRPr="006F3533">
              <w:rPr>
                <w:rFonts w:cs="Times New Roman"/>
                <w:sz w:val="20"/>
                <w:szCs w:val="20"/>
                <w:lang w:val="bg-BG"/>
              </w:rPr>
              <w:t xml:space="preserve"> </w:t>
            </w:r>
            <w:proofErr w:type="spellStart"/>
            <w:r w:rsidRPr="006F3533">
              <w:rPr>
                <w:rFonts w:cs="Times New Roman"/>
                <w:sz w:val="20"/>
                <w:szCs w:val="20"/>
                <w:lang w:val="bg-BG"/>
              </w:rPr>
              <w:t>energy</w:t>
            </w:r>
            <w:proofErr w:type="spellEnd"/>
            <w:r w:rsidRPr="006F3533">
              <w:rPr>
                <w:rFonts w:cs="Times New Roman"/>
                <w:sz w:val="20"/>
                <w:szCs w:val="20"/>
                <w:lang w:val="bg-BG"/>
              </w:rPr>
              <w:t xml:space="preserve"> </w:t>
            </w:r>
            <w:proofErr w:type="spellStart"/>
            <w:r w:rsidRPr="006F3533">
              <w:rPr>
                <w:rFonts w:cs="Times New Roman"/>
                <w:sz w:val="20"/>
                <w:szCs w:val="20"/>
                <w:lang w:val="bg-BG"/>
              </w:rPr>
              <w:t>consumption</w:t>
            </w:r>
            <w:proofErr w:type="spellEnd"/>
            <w:r w:rsidRPr="006F3533">
              <w:rPr>
                <w:rFonts w:cs="Times New Roman"/>
                <w:sz w:val="20"/>
                <w:szCs w:val="20"/>
                <w:lang w:val="bg-BG"/>
              </w:rPr>
              <w:t xml:space="preserve"> </w:t>
            </w: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2023</w:t>
            </w:r>
          </w:p>
          <w:p w14:paraId="3FC335A8"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ktoe</w:t>
            </w:r>
            <w:proofErr w:type="spellEnd"/>
          </w:p>
        </w:tc>
        <w:tc>
          <w:tcPr>
            <w:tcW w:w="901" w:type="pct"/>
            <w:hideMark/>
          </w:tcPr>
          <w:p w14:paraId="3EEE40CA"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Final</w:t>
            </w:r>
            <w:proofErr w:type="spellEnd"/>
            <w:r w:rsidRPr="006F3533">
              <w:rPr>
                <w:rFonts w:cs="Times New Roman"/>
                <w:sz w:val="20"/>
                <w:szCs w:val="20"/>
                <w:lang w:val="bg-BG"/>
              </w:rPr>
              <w:t xml:space="preserve"> </w:t>
            </w:r>
            <w:proofErr w:type="spellStart"/>
            <w:r w:rsidRPr="006F3533">
              <w:rPr>
                <w:rFonts w:cs="Times New Roman"/>
                <w:sz w:val="20"/>
                <w:szCs w:val="20"/>
                <w:lang w:val="bg-BG"/>
              </w:rPr>
              <w:t>energy</w:t>
            </w:r>
            <w:proofErr w:type="spellEnd"/>
            <w:r w:rsidRPr="006F3533">
              <w:rPr>
                <w:rFonts w:cs="Times New Roman"/>
                <w:sz w:val="20"/>
                <w:szCs w:val="20"/>
                <w:lang w:val="bg-BG"/>
              </w:rPr>
              <w:t xml:space="preserve"> </w:t>
            </w:r>
            <w:proofErr w:type="spellStart"/>
            <w:r w:rsidRPr="006F3533">
              <w:rPr>
                <w:rFonts w:cs="Times New Roman"/>
                <w:sz w:val="20"/>
                <w:szCs w:val="20"/>
                <w:lang w:val="bg-BG"/>
              </w:rPr>
              <w:t>consumption</w:t>
            </w:r>
            <w:proofErr w:type="spellEnd"/>
            <w:r w:rsidRPr="006F3533">
              <w:rPr>
                <w:rFonts w:cs="Times New Roman"/>
                <w:sz w:val="20"/>
                <w:szCs w:val="20"/>
                <w:lang w:val="bg-BG"/>
              </w:rPr>
              <w:t xml:space="preserve"> </w:t>
            </w: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2023</w:t>
            </w:r>
          </w:p>
          <w:p w14:paraId="553863F1" w14:textId="77777777" w:rsidR="00E6313A" w:rsidRPr="006F3533" w:rsidRDefault="00E6313A" w:rsidP="00541E06">
            <w:pPr>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ktoe</w:t>
            </w:r>
            <w:proofErr w:type="spellEnd"/>
          </w:p>
        </w:tc>
      </w:tr>
      <w:tr w:rsidR="00E6313A" w:rsidRPr="006F3533" w14:paraId="76C09A88" w14:textId="77777777" w:rsidTr="00541E06">
        <w:tc>
          <w:tcPr>
            <w:cnfStyle w:val="001000000000" w:firstRow="0" w:lastRow="0" w:firstColumn="1" w:lastColumn="0" w:oddVBand="0" w:evenVBand="0" w:oddHBand="0" w:evenHBand="0" w:firstRowFirstColumn="0" w:firstRowLastColumn="0" w:lastRowFirstColumn="0" w:lastRowLastColumn="0"/>
            <w:tcW w:w="1373" w:type="pct"/>
            <w:hideMark/>
          </w:tcPr>
          <w:p w14:paraId="293F74BE" w14:textId="77777777" w:rsidR="00E6313A" w:rsidRPr="006F3533" w:rsidRDefault="00E6313A" w:rsidP="00541E06">
            <w:pPr>
              <w:contextualSpacing/>
              <w:jc w:val="both"/>
              <w:rPr>
                <w:rFonts w:cs="Times New Roman"/>
                <w:sz w:val="20"/>
                <w:szCs w:val="20"/>
                <w:lang w:val="bg-BG"/>
              </w:rPr>
            </w:pPr>
            <w:proofErr w:type="spellStart"/>
            <w:r w:rsidRPr="006F3533">
              <w:rPr>
                <w:rFonts w:cs="Times New Roman"/>
                <w:sz w:val="20"/>
                <w:szCs w:val="20"/>
                <w:lang w:val="bg-BG"/>
              </w:rPr>
              <w:t>Space</w:t>
            </w:r>
            <w:proofErr w:type="spellEnd"/>
            <w:r w:rsidRPr="006F3533">
              <w:rPr>
                <w:rFonts w:cs="Times New Roman"/>
                <w:sz w:val="20"/>
                <w:szCs w:val="20"/>
                <w:lang w:val="bg-BG"/>
              </w:rPr>
              <w:t xml:space="preserve"> </w:t>
            </w:r>
            <w:proofErr w:type="spellStart"/>
            <w:r w:rsidRPr="006F3533">
              <w:rPr>
                <w:rFonts w:cs="Times New Roman"/>
                <w:sz w:val="20"/>
                <w:szCs w:val="20"/>
                <w:lang w:val="bg-BG"/>
              </w:rPr>
              <w:t>heating</w:t>
            </w:r>
            <w:proofErr w:type="spellEnd"/>
          </w:p>
        </w:tc>
        <w:tc>
          <w:tcPr>
            <w:tcW w:w="922" w:type="pct"/>
            <w:hideMark/>
          </w:tcPr>
          <w:p w14:paraId="026E5C7E"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2 201</w:t>
            </w:r>
          </w:p>
        </w:tc>
        <w:tc>
          <w:tcPr>
            <w:tcW w:w="902" w:type="pct"/>
            <w:hideMark/>
          </w:tcPr>
          <w:p w14:paraId="5EDEFB7A"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1 171 </w:t>
            </w:r>
          </w:p>
        </w:tc>
        <w:tc>
          <w:tcPr>
            <w:tcW w:w="902" w:type="pct"/>
            <w:hideMark/>
          </w:tcPr>
          <w:p w14:paraId="2B626FE2"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1353,85</w:t>
            </w:r>
          </w:p>
        </w:tc>
        <w:tc>
          <w:tcPr>
            <w:tcW w:w="901" w:type="pct"/>
            <w:hideMark/>
          </w:tcPr>
          <w:p w14:paraId="7A6B058B"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721.37</w:t>
            </w:r>
          </w:p>
        </w:tc>
      </w:tr>
      <w:tr w:rsidR="00E6313A" w:rsidRPr="006F3533" w14:paraId="799D2CE4"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pct"/>
            <w:hideMark/>
          </w:tcPr>
          <w:p w14:paraId="55F5491E" w14:textId="77777777" w:rsidR="00E6313A" w:rsidRPr="006F3533" w:rsidRDefault="00E6313A" w:rsidP="00541E06">
            <w:pPr>
              <w:contextualSpacing/>
              <w:jc w:val="both"/>
              <w:rPr>
                <w:rFonts w:cs="Times New Roman"/>
                <w:sz w:val="20"/>
                <w:szCs w:val="20"/>
                <w:lang w:val="bg-BG"/>
              </w:rPr>
            </w:pPr>
            <w:proofErr w:type="spellStart"/>
            <w:r w:rsidRPr="006F3533">
              <w:rPr>
                <w:rFonts w:cs="Times New Roman"/>
                <w:sz w:val="20"/>
                <w:szCs w:val="20"/>
                <w:lang w:val="bg-BG"/>
              </w:rPr>
              <w:t>Space</w:t>
            </w:r>
            <w:proofErr w:type="spellEnd"/>
            <w:r w:rsidRPr="006F3533">
              <w:rPr>
                <w:rFonts w:cs="Times New Roman"/>
                <w:sz w:val="20"/>
                <w:szCs w:val="20"/>
                <w:lang w:val="bg-BG"/>
              </w:rPr>
              <w:t xml:space="preserve"> </w:t>
            </w:r>
            <w:proofErr w:type="spellStart"/>
            <w:r w:rsidRPr="006F3533">
              <w:rPr>
                <w:rFonts w:cs="Times New Roman"/>
                <w:sz w:val="20"/>
                <w:szCs w:val="20"/>
                <w:lang w:val="bg-BG"/>
              </w:rPr>
              <w:t>cooling</w:t>
            </w:r>
            <w:proofErr w:type="spellEnd"/>
          </w:p>
        </w:tc>
        <w:tc>
          <w:tcPr>
            <w:tcW w:w="922" w:type="pct"/>
            <w:hideMark/>
          </w:tcPr>
          <w:p w14:paraId="3E02EB86"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838</w:t>
            </w:r>
          </w:p>
        </w:tc>
        <w:tc>
          <w:tcPr>
            <w:tcW w:w="902" w:type="pct"/>
            <w:hideMark/>
          </w:tcPr>
          <w:p w14:paraId="1112558A"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446 </w:t>
            </w:r>
          </w:p>
        </w:tc>
        <w:tc>
          <w:tcPr>
            <w:tcW w:w="902" w:type="pct"/>
            <w:hideMark/>
          </w:tcPr>
          <w:p w14:paraId="07684B27"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324,24</w:t>
            </w:r>
          </w:p>
        </w:tc>
        <w:tc>
          <w:tcPr>
            <w:tcW w:w="901" w:type="pct"/>
            <w:hideMark/>
          </w:tcPr>
          <w:p w14:paraId="4717DD9A"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172.76</w:t>
            </w:r>
          </w:p>
        </w:tc>
      </w:tr>
      <w:tr w:rsidR="00E6313A" w:rsidRPr="006F3533" w14:paraId="01AC4C3A" w14:textId="77777777" w:rsidTr="00541E06">
        <w:tc>
          <w:tcPr>
            <w:cnfStyle w:val="001000000000" w:firstRow="0" w:lastRow="0" w:firstColumn="1" w:lastColumn="0" w:oddVBand="0" w:evenVBand="0" w:oddHBand="0" w:evenHBand="0" w:firstRowFirstColumn="0" w:firstRowLastColumn="0" w:lastRowFirstColumn="0" w:lastRowLastColumn="0"/>
            <w:tcW w:w="1373" w:type="pct"/>
            <w:hideMark/>
          </w:tcPr>
          <w:p w14:paraId="1DD01FC4" w14:textId="77777777" w:rsidR="00E6313A" w:rsidRPr="006F3533" w:rsidRDefault="00E6313A" w:rsidP="00541E06">
            <w:pPr>
              <w:contextualSpacing/>
              <w:jc w:val="both"/>
              <w:rPr>
                <w:rFonts w:cs="Times New Roman"/>
                <w:sz w:val="20"/>
                <w:szCs w:val="20"/>
                <w:lang w:val="bg-BG"/>
              </w:rPr>
            </w:pPr>
            <w:proofErr w:type="spellStart"/>
            <w:r w:rsidRPr="006F3533">
              <w:rPr>
                <w:rFonts w:cs="Times New Roman"/>
                <w:sz w:val="20"/>
                <w:szCs w:val="20"/>
                <w:lang w:val="bg-BG"/>
              </w:rPr>
              <w:t>Domestic</w:t>
            </w:r>
            <w:proofErr w:type="spellEnd"/>
            <w:r w:rsidRPr="006F3533">
              <w:rPr>
                <w:rFonts w:cs="Times New Roman"/>
                <w:sz w:val="20"/>
                <w:szCs w:val="20"/>
                <w:lang w:val="bg-BG"/>
              </w:rPr>
              <w:t xml:space="preserve"> </w:t>
            </w:r>
            <w:proofErr w:type="spellStart"/>
            <w:r w:rsidRPr="006F3533">
              <w:rPr>
                <w:rFonts w:cs="Times New Roman"/>
                <w:sz w:val="20"/>
                <w:szCs w:val="20"/>
                <w:lang w:val="bg-BG"/>
              </w:rPr>
              <w:t>hot</w:t>
            </w:r>
            <w:proofErr w:type="spellEnd"/>
            <w:r w:rsidRPr="006F3533">
              <w:rPr>
                <w:rFonts w:cs="Times New Roman"/>
                <w:sz w:val="20"/>
                <w:szCs w:val="20"/>
                <w:lang w:val="bg-BG"/>
              </w:rPr>
              <w:t xml:space="preserve"> </w:t>
            </w:r>
            <w:proofErr w:type="spellStart"/>
            <w:r w:rsidRPr="006F3533">
              <w:rPr>
                <w:rFonts w:cs="Times New Roman"/>
                <w:sz w:val="20"/>
                <w:szCs w:val="20"/>
                <w:lang w:val="bg-BG"/>
              </w:rPr>
              <w:t>water</w:t>
            </w:r>
            <w:proofErr w:type="spellEnd"/>
          </w:p>
        </w:tc>
        <w:tc>
          <w:tcPr>
            <w:tcW w:w="922" w:type="pct"/>
            <w:hideMark/>
          </w:tcPr>
          <w:p w14:paraId="545F5C46"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368</w:t>
            </w:r>
          </w:p>
        </w:tc>
        <w:tc>
          <w:tcPr>
            <w:tcW w:w="902" w:type="pct"/>
            <w:hideMark/>
          </w:tcPr>
          <w:p w14:paraId="6963BA80"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196 </w:t>
            </w:r>
          </w:p>
        </w:tc>
        <w:tc>
          <w:tcPr>
            <w:tcW w:w="902" w:type="pct"/>
            <w:hideMark/>
          </w:tcPr>
          <w:p w14:paraId="31F6AEDF"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136,19</w:t>
            </w:r>
          </w:p>
        </w:tc>
        <w:tc>
          <w:tcPr>
            <w:tcW w:w="901" w:type="pct"/>
            <w:hideMark/>
          </w:tcPr>
          <w:p w14:paraId="5F9F69D7"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72.56</w:t>
            </w:r>
          </w:p>
        </w:tc>
      </w:tr>
      <w:tr w:rsidR="00E6313A" w:rsidRPr="006F3533" w14:paraId="258C5FFF"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pct"/>
            <w:hideMark/>
          </w:tcPr>
          <w:p w14:paraId="49F50EDB" w14:textId="77777777" w:rsidR="00E6313A" w:rsidRPr="006F3533" w:rsidRDefault="00E6313A" w:rsidP="00541E06">
            <w:pPr>
              <w:contextualSpacing/>
              <w:jc w:val="both"/>
              <w:rPr>
                <w:rFonts w:cs="Times New Roman"/>
                <w:sz w:val="20"/>
                <w:szCs w:val="20"/>
                <w:lang w:val="bg-BG"/>
              </w:rPr>
            </w:pPr>
            <w:proofErr w:type="spellStart"/>
            <w:r w:rsidRPr="006F3533">
              <w:rPr>
                <w:rFonts w:cs="Times New Roman"/>
                <w:sz w:val="20"/>
                <w:szCs w:val="20"/>
                <w:lang w:val="bg-BG"/>
              </w:rPr>
              <w:t>Ventilation</w:t>
            </w:r>
            <w:proofErr w:type="spellEnd"/>
          </w:p>
        </w:tc>
        <w:tc>
          <w:tcPr>
            <w:tcW w:w="922" w:type="pct"/>
            <w:hideMark/>
          </w:tcPr>
          <w:p w14:paraId="5947D3D5"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4</w:t>
            </w:r>
          </w:p>
        </w:tc>
        <w:tc>
          <w:tcPr>
            <w:tcW w:w="902" w:type="pct"/>
            <w:hideMark/>
          </w:tcPr>
          <w:p w14:paraId="33966EEB"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2 </w:t>
            </w:r>
          </w:p>
        </w:tc>
        <w:tc>
          <w:tcPr>
            <w:tcW w:w="902" w:type="pct"/>
            <w:hideMark/>
          </w:tcPr>
          <w:p w14:paraId="2D29ED5D"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46,90</w:t>
            </w:r>
          </w:p>
        </w:tc>
        <w:tc>
          <w:tcPr>
            <w:tcW w:w="901" w:type="pct"/>
            <w:hideMark/>
          </w:tcPr>
          <w:p w14:paraId="3C83C0E8"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24.99</w:t>
            </w:r>
          </w:p>
        </w:tc>
      </w:tr>
      <w:tr w:rsidR="00E6313A" w:rsidRPr="006F3533" w14:paraId="02232D23" w14:textId="77777777" w:rsidTr="00541E06">
        <w:tc>
          <w:tcPr>
            <w:cnfStyle w:val="001000000000" w:firstRow="0" w:lastRow="0" w:firstColumn="1" w:lastColumn="0" w:oddVBand="0" w:evenVBand="0" w:oddHBand="0" w:evenHBand="0" w:firstRowFirstColumn="0" w:firstRowLastColumn="0" w:lastRowFirstColumn="0" w:lastRowLastColumn="0"/>
            <w:tcW w:w="1373" w:type="pct"/>
            <w:hideMark/>
          </w:tcPr>
          <w:p w14:paraId="154B79B4" w14:textId="77777777" w:rsidR="00E6313A" w:rsidRPr="006F3533" w:rsidRDefault="00E6313A" w:rsidP="00541E06">
            <w:pPr>
              <w:contextualSpacing/>
              <w:jc w:val="both"/>
              <w:rPr>
                <w:rFonts w:cs="Times New Roman"/>
                <w:sz w:val="20"/>
                <w:szCs w:val="20"/>
                <w:lang w:val="bg-BG"/>
              </w:rPr>
            </w:pPr>
            <w:proofErr w:type="spellStart"/>
            <w:r w:rsidRPr="006F3533">
              <w:rPr>
                <w:rFonts w:cs="Times New Roman"/>
                <w:sz w:val="20"/>
                <w:szCs w:val="20"/>
                <w:lang w:val="bg-BG"/>
              </w:rPr>
              <w:t>Built-in</w:t>
            </w:r>
            <w:proofErr w:type="spellEnd"/>
            <w:r w:rsidRPr="006F3533">
              <w:rPr>
                <w:rFonts w:cs="Times New Roman"/>
                <w:sz w:val="20"/>
                <w:szCs w:val="20"/>
                <w:lang w:val="bg-BG"/>
              </w:rPr>
              <w:t xml:space="preserve"> </w:t>
            </w:r>
            <w:proofErr w:type="spellStart"/>
            <w:r w:rsidRPr="006F3533">
              <w:rPr>
                <w:rFonts w:cs="Times New Roman"/>
                <w:sz w:val="20"/>
                <w:szCs w:val="20"/>
                <w:lang w:val="bg-BG"/>
              </w:rPr>
              <w:t>Lighting</w:t>
            </w:r>
            <w:proofErr w:type="spellEnd"/>
          </w:p>
        </w:tc>
        <w:tc>
          <w:tcPr>
            <w:tcW w:w="922" w:type="pct"/>
            <w:hideMark/>
          </w:tcPr>
          <w:p w14:paraId="0B88AD7C"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348</w:t>
            </w:r>
          </w:p>
        </w:tc>
        <w:tc>
          <w:tcPr>
            <w:tcW w:w="902" w:type="pct"/>
            <w:hideMark/>
          </w:tcPr>
          <w:p w14:paraId="15741F47"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185 </w:t>
            </w:r>
          </w:p>
        </w:tc>
        <w:tc>
          <w:tcPr>
            <w:tcW w:w="902" w:type="pct"/>
            <w:hideMark/>
          </w:tcPr>
          <w:p w14:paraId="22E0A73C"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337,21</w:t>
            </w:r>
          </w:p>
        </w:tc>
        <w:tc>
          <w:tcPr>
            <w:tcW w:w="901" w:type="pct"/>
            <w:hideMark/>
          </w:tcPr>
          <w:p w14:paraId="1F7C645E"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179.67</w:t>
            </w:r>
          </w:p>
        </w:tc>
      </w:tr>
      <w:tr w:rsidR="00E6313A" w:rsidRPr="006F3533" w14:paraId="47BE7B18"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pct"/>
            <w:hideMark/>
          </w:tcPr>
          <w:p w14:paraId="1A875A07" w14:textId="77777777" w:rsidR="00E6313A" w:rsidRPr="006F3533" w:rsidRDefault="00E6313A" w:rsidP="00541E06">
            <w:pPr>
              <w:contextualSpacing/>
              <w:jc w:val="both"/>
              <w:rPr>
                <w:rFonts w:cs="Times New Roman"/>
                <w:sz w:val="20"/>
                <w:szCs w:val="20"/>
                <w:lang w:val="bg-BG"/>
              </w:rPr>
            </w:pPr>
            <w:proofErr w:type="spellStart"/>
            <w:r w:rsidRPr="006F3533">
              <w:rPr>
                <w:rFonts w:cs="Times New Roman"/>
                <w:sz w:val="20"/>
                <w:szCs w:val="20"/>
                <w:lang w:val="bg-BG"/>
              </w:rPr>
              <w:t>Other</w:t>
            </w:r>
            <w:proofErr w:type="spellEnd"/>
            <w:r w:rsidRPr="006F3533">
              <w:rPr>
                <w:rFonts w:cs="Times New Roman"/>
                <w:sz w:val="20"/>
                <w:szCs w:val="20"/>
                <w:lang w:val="bg-BG"/>
              </w:rPr>
              <w:t xml:space="preserve"> </w:t>
            </w:r>
            <w:proofErr w:type="spellStart"/>
            <w:r w:rsidRPr="006F3533">
              <w:rPr>
                <w:rFonts w:cs="Times New Roman"/>
                <w:sz w:val="20"/>
                <w:szCs w:val="20"/>
                <w:lang w:val="bg-BG"/>
              </w:rPr>
              <w:t>technical</w:t>
            </w:r>
            <w:proofErr w:type="spellEnd"/>
            <w:r w:rsidRPr="006F3533">
              <w:rPr>
                <w:rFonts w:cs="Times New Roman"/>
                <w:sz w:val="20"/>
                <w:szCs w:val="20"/>
                <w:lang w:val="bg-BG"/>
              </w:rPr>
              <w:t xml:space="preserve"> </w:t>
            </w:r>
            <w:proofErr w:type="spellStart"/>
            <w:r w:rsidRPr="006F3533">
              <w:rPr>
                <w:rFonts w:cs="Times New Roman"/>
                <w:sz w:val="20"/>
                <w:szCs w:val="20"/>
                <w:lang w:val="bg-BG"/>
              </w:rPr>
              <w:t>building</w:t>
            </w:r>
            <w:proofErr w:type="spellEnd"/>
            <w:r w:rsidRPr="006F3533">
              <w:rPr>
                <w:rFonts w:cs="Times New Roman"/>
                <w:sz w:val="20"/>
                <w:szCs w:val="20"/>
                <w:lang w:val="bg-BG"/>
              </w:rPr>
              <w:t xml:space="preserve"> </w:t>
            </w:r>
            <w:proofErr w:type="spellStart"/>
            <w:r w:rsidRPr="006F3533">
              <w:rPr>
                <w:rFonts w:cs="Times New Roman"/>
                <w:sz w:val="20"/>
                <w:szCs w:val="20"/>
                <w:lang w:val="bg-BG"/>
              </w:rPr>
              <w:t>systems</w:t>
            </w:r>
            <w:proofErr w:type="spellEnd"/>
          </w:p>
        </w:tc>
        <w:tc>
          <w:tcPr>
            <w:tcW w:w="922" w:type="pct"/>
            <w:hideMark/>
          </w:tcPr>
          <w:p w14:paraId="55958EDE"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89</w:t>
            </w:r>
          </w:p>
        </w:tc>
        <w:tc>
          <w:tcPr>
            <w:tcW w:w="902" w:type="pct"/>
            <w:hideMark/>
          </w:tcPr>
          <w:p w14:paraId="6596C0B3"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48 </w:t>
            </w:r>
          </w:p>
        </w:tc>
        <w:tc>
          <w:tcPr>
            <w:tcW w:w="902" w:type="pct"/>
            <w:hideMark/>
          </w:tcPr>
          <w:p w14:paraId="636B7C00"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172,70</w:t>
            </w:r>
          </w:p>
        </w:tc>
        <w:tc>
          <w:tcPr>
            <w:tcW w:w="901" w:type="pct"/>
            <w:hideMark/>
          </w:tcPr>
          <w:p w14:paraId="2D80F833" w14:textId="77777777" w:rsidR="00E6313A" w:rsidRPr="006F3533" w:rsidRDefault="00E6313A" w:rsidP="00541E06">
            <w:pPr>
              <w:contextualSpacing/>
              <w:jc w:val="right"/>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92.02</w:t>
            </w:r>
          </w:p>
        </w:tc>
      </w:tr>
      <w:tr w:rsidR="00E6313A" w:rsidRPr="006F3533" w14:paraId="28C42A0A" w14:textId="77777777" w:rsidTr="00541E06">
        <w:tc>
          <w:tcPr>
            <w:cnfStyle w:val="001000000000" w:firstRow="0" w:lastRow="0" w:firstColumn="1" w:lastColumn="0" w:oddVBand="0" w:evenVBand="0" w:oddHBand="0" w:evenHBand="0" w:firstRowFirstColumn="0" w:firstRowLastColumn="0" w:lastRowFirstColumn="0" w:lastRowLastColumn="0"/>
            <w:tcW w:w="1373" w:type="pct"/>
            <w:hideMark/>
          </w:tcPr>
          <w:p w14:paraId="718514E4" w14:textId="77777777" w:rsidR="00E6313A" w:rsidRPr="006F3533" w:rsidRDefault="00E6313A" w:rsidP="00541E06">
            <w:pPr>
              <w:contextualSpacing/>
              <w:jc w:val="both"/>
              <w:rPr>
                <w:rFonts w:cs="Times New Roman"/>
                <w:sz w:val="20"/>
                <w:szCs w:val="20"/>
                <w:lang w:val="bg-BG"/>
              </w:rPr>
            </w:pPr>
            <w:r w:rsidRPr="006F3533">
              <w:rPr>
                <w:rFonts w:cs="Times New Roman"/>
                <w:sz w:val="20"/>
                <w:szCs w:val="20"/>
                <w:lang w:val="bg-BG"/>
              </w:rPr>
              <w:lastRenderedPageBreak/>
              <w:t xml:space="preserve">Total </w:t>
            </w:r>
          </w:p>
        </w:tc>
        <w:tc>
          <w:tcPr>
            <w:tcW w:w="922" w:type="pct"/>
            <w:hideMark/>
          </w:tcPr>
          <w:p w14:paraId="197F727B"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3 848</w:t>
            </w:r>
          </w:p>
          <w:p w14:paraId="495791B4"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cs="Times New Roman"/>
                <w:i/>
                <w:iCs/>
                <w:color w:val="0070C0"/>
                <w:sz w:val="20"/>
                <w:szCs w:val="20"/>
                <w:lang w:val="bg-BG"/>
              </w:rPr>
            </w:pPr>
            <w:r w:rsidRPr="006F3533">
              <w:rPr>
                <w:rFonts w:cs="Times New Roman"/>
                <w:i/>
                <w:iCs/>
                <w:color w:val="0070C0"/>
                <w:sz w:val="20"/>
                <w:szCs w:val="20"/>
                <w:lang w:val="bg-BG"/>
              </w:rPr>
              <w:t>[</w:t>
            </w:r>
            <w:proofErr w:type="spellStart"/>
            <w:r w:rsidRPr="006F3533">
              <w:rPr>
                <w:rFonts w:cs="Times New Roman"/>
                <w:i/>
                <w:iCs/>
                <w:color w:val="0070C0"/>
                <w:sz w:val="20"/>
                <w:szCs w:val="20"/>
                <w:lang w:val="bg-BG"/>
              </w:rPr>
              <w:t>Should</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match</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preceding</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table</w:t>
            </w:r>
            <w:proofErr w:type="spellEnd"/>
            <w:r w:rsidRPr="006F3533">
              <w:rPr>
                <w:rFonts w:cs="Times New Roman"/>
                <w:i/>
                <w:iCs/>
                <w:color w:val="0070C0"/>
                <w:sz w:val="20"/>
                <w:szCs w:val="20"/>
                <w:lang w:val="bg-BG"/>
              </w:rPr>
              <w:t>]</w:t>
            </w:r>
          </w:p>
        </w:tc>
        <w:tc>
          <w:tcPr>
            <w:tcW w:w="902" w:type="pct"/>
            <w:hideMark/>
          </w:tcPr>
          <w:p w14:paraId="3F7D88FF"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2 047</w:t>
            </w:r>
          </w:p>
          <w:p w14:paraId="4DFD79F9" w14:textId="77777777" w:rsidR="00E6313A" w:rsidRPr="006F3533" w:rsidRDefault="00E6313A" w:rsidP="00541E06">
            <w:pPr>
              <w:contextualSpacing/>
              <w:jc w:val="both"/>
              <w:cnfStyle w:val="000000000000" w:firstRow="0" w:lastRow="0" w:firstColumn="0" w:lastColumn="0" w:oddVBand="0" w:evenVBand="0" w:oddHBand="0" w:evenHBand="0" w:firstRowFirstColumn="0" w:firstRowLastColumn="0" w:lastRowFirstColumn="0" w:lastRowLastColumn="0"/>
              <w:rPr>
                <w:rFonts w:cs="Times New Roman"/>
                <w:i/>
                <w:iCs/>
                <w:color w:val="0070C0"/>
                <w:sz w:val="20"/>
                <w:szCs w:val="20"/>
                <w:lang w:val="bg-BG"/>
              </w:rPr>
            </w:pPr>
            <w:r w:rsidRPr="006F3533">
              <w:rPr>
                <w:rFonts w:cs="Times New Roman"/>
                <w:i/>
                <w:iCs/>
                <w:color w:val="0070C0"/>
                <w:sz w:val="20"/>
                <w:szCs w:val="20"/>
                <w:lang w:val="bg-BG"/>
              </w:rPr>
              <w:t>[</w:t>
            </w:r>
            <w:proofErr w:type="spellStart"/>
            <w:r w:rsidRPr="006F3533">
              <w:rPr>
                <w:rFonts w:cs="Times New Roman"/>
                <w:i/>
                <w:iCs/>
                <w:color w:val="0070C0"/>
                <w:sz w:val="20"/>
                <w:szCs w:val="20"/>
                <w:lang w:val="bg-BG"/>
              </w:rPr>
              <w:t>Should</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match</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preceding</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table</w:t>
            </w:r>
            <w:proofErr w:type="spellEnd"/>
            <w:r w:rsidRPr="006F3533">
              <w:rPr>
                <w:rFonts w:cs="Times New Roman"/>
                <w:i/>
                <w:iCs/>
                <w:color w:val="0070C0"/>
                <w:sz w:val="20"/>
                <w:szCs w:val="20"/>
                <w:lang w:val="bg-BG"/>
              </w:rPr>
              <w:t>]</w:t>
            </w:r>
          </w:p>
        </w:tc>
        <w:tc>
          <w:tcPr>
            <w:tcW w:w="902" w:type="pct"/>
            <w:hideMark/>
          </w:tcPr>
          <w:p w14:paraId="103D2F69"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i/>
                <w:iCs/>
                <w:color w:val="0070C0"/>
                <w:sz w:val="20"/>
                <w:szCs w:val="20"/>
                <w:lang w:val="bg-BG"/>
              </w:rPr>
            </w:pPr>
            <w:r w:rsidRPr="006F3533">
              <w:rPr>
                <w:rFonts w:cs="Times New Roman"/>
                <w:sz w:val="20"/>
                <w:szCs w:val="20"/>
                <w:lang w:val="bg-BG"/>
              </w:rPr>
              <w:t>2371.09</w:t>
            </w:r>
            <w:r w:rsidRPr="006F3533">
              <w:rPr>
                <w:rFonts w:cs="Times New Roman"/>
                <w:i/>
                <w:iCs/>
                <w:color w:val="0070C0"/>
                <w:sz w:val="20"/>
                <w:szCs w:val="20"/>
                <w:lang w:val="bg-BG"/>
              </w:rPr>
              <w:br/>
              <w:t>[</w:t>
            </w:r>
            <w:proofErr w:type="spellStart"/>
            <w:r w:rsidRPr="006F3533">
              <w:rPr>
                <w:rFonts w:cs="Times New Roman"/>
                <w:i/>
                <w:iCs/>
                <w:color w:val="0070C0"/>
                <w:sz w:val="20"/>
                <w:szCs w:val="20"/>
                <w:lang w:val="bg-BG"/>
              </w:rPr>
              <w:t>Should</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match</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preceding</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table</w:t>
            </w:r>
            <w:proofErr w:type="spellEnd"/>
            <w:r w:rsidRPr="006F3533">
              <w:rPr>
                <w:rFonts w:cs="Times New Roman"/>
                <w:i/>
                <w:iCs/>
                <w:color w:val="0070C0"/>
                <w:sz w:val="20"/>
                <w:szCs w:val="20"/>
                <w:lang w:val="bg-BG"/>
              </w:rPr>
              <w:t>]</w:t>
            </w:r>
          </w:p>
        </w:tc>
        <w:tc>
          <w:tcPr>
            <w:tcW w:w="901" w:type="pct"/>
            <w:hideMark/>
          </w:tcPr>
          <w:p w14:paraId="16507C7B" w14:textId="77777777" w:rsidR="00E6313A" w:rsidRPr="006F3533" w:rsidRDefault="00E6313A" w:rsidP="00541E06">
            <w:pPr>
              <w:contextualSpacing/>
              <w:jc w:val="right"/>
              <w:cnfStyle w:val="000000000000" w:firstRow="0" w:lastRow="0" w:firstColumn="0" w:lastColumn="0" w:oddVBand="0" w:evenVBand="0" w:oddHBand="0" w:evenHBand="0" w:firstRowFirstColumn="0" w:firstRowLastColumn="0" w:lastRowFirstColumn="0" w:lastRowLastColumn="0"/>
              <w:rPr>
                <w:rFonts w:cs="Times New Roman"/>
                <w:i/>
                <w:iCs/>
                <w:color w:val="0070C0"/>
                <w:sz w:val="20"/>
                <w:szCs w:val="20"/>
                <w:lang w:val="bg-BG"/>
              </w:rPr>
            </w:pPr>
            <w:r w:rsidRPr="006F3533">
              <w:rPr>
                <w:rFonts w:cs="Times New Roman"/>
                <w:sz w:val="20"/>
                <w:szCs w:val="20"/>
                <w:lang w:val="bg-BG"/>
              </w:rPr>
              <w:t>1263.38</w:t>
            </w:r>
            <w:r w:rsidRPr="006F3533">
              <w:rPr>
                <w:rFonts w:cs="Times New Roman"/>
                <w:i/>
                <w:iCs/>
                <w:color w:val="0070C0"/>
                <w:sz w:val="20"/>
                <w:szCs w:val="20"/>
                <w:lang w:val="bg-BG"/>
              </w:rPr>
              <w:br/>
              <w:t>[</w:t>
            </w:r>
            <w:proofErr w:type="spellStart"/>
            <w:r w:rsidRPr="006F3533">
              <w:rPr>
                <w:rFonts w:cs="Times New Roman"/>
                <w:i/>
                <w:iCs/>
                <w:color w:val="0070C0"/>
                <w:sz w:val="20"/>
                <w:szCs w:val="20"/>
                <w:lang w:val="bg-BG"/>
              </w:rPr>
              <w:t>Should</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match</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preceding</w:t>
            </w:r>
            <w:proofErr w:type="spellEnd"/>
            <w:r w:rsidRPr="006F3533">
              <w:rPr>
                <w:rFonts w:cs="Times New Roman"/>
                <w:i/>
                <w:iCs/>
                <w:color w:val="0070C0"/>
                <w:sz w:val="20"/>
                <w:szCs w:val="20"/>
                <w:lang w:val="bg-BG"/>
              </w:rPr>
              <w:t xml:space="preserve"> </w:t>
            </w:r>
            <w:proofErr w:type="spellStart"/>
            <w:r w:rsidRPr="006F3533">
              <w:rPr>
                <w:rFonts w:cs="Times New Roman"/>
                <w:i/>
                <w:iCs/>
                <w:color w:val="0070C0"/>
                <w:sz w:val="20"/>
                <w:szCs w:val="20"/>
                <w:lang w:val="bg-BG"/>
              </w:rPr>
              <w:t>table</w:t>
            </w:r>
            <w:proofErr w:type="spellEnd"/>
            <w:r w:rsidRPr="006F3533">
              <w:rPr>
                <w:rFonts w:cs="Times New Roman"/>
                <w:i/>
                <w:iCs/>
                <w:color w:val="0070C0"/>
                <w:sz w:val="20"/>
                <w:szCs w:val="20"/>
                <w:lang w:val="bg-BG"/>
              </w:rPr>
              <w:t>]</w:t>
            </w:r>
          </w:p>
        </w:tc>
      </w:tr>
    </w:tbl>
    <w:p w14:paraId="088D93AF"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 xml:space="preserve">Източник: НСИ </w:t>
      </w:r>
    </w:p>
    <w:p w14:paraId="3A675014" w14:textId="77777777" w:rsidR="00E6313A" w:rsidRPr="006F3533" w:rsidRDefault="00E6313A" w:rsidP="00E6313A">
      <w:pPr>
        <w:pStyle w:val="Heading2"/>
        <w:jc w:val="both"/>
        <w:rPr>
          <w:lang w:val="bg-BG"/>
        </w:rPr>
      </w:pPr>
      <w:bookmarkStart w:id="96" w:name="_Toc217837113"/>
      <w:bookmarkStart w:id="97" w:name="_Toc217888767"/>
      <w:bookmarkEnd w:id="95"/>
      <w:r w:rsidRPr="006F3533">
        <w:rPr>
          <w:lang w:val="bg-BG"/>
        </w:rPr>
        <w:t>Спестявания на енергия (</w:t>
      </w:r>
      <w:proofErr w:type="spellStart"/>
      <w:r w:rsidRPr="006F3533">
        <w:rPr>
          <w:lang w:val="bg-BG"/>
        </w:rPr>
        <w:t>ktoe</w:t>
      </w:r>
      <w:proofErr w:type="spellEnd"/>
      <w:r w:rsidRPr="006F3533">
        <w:rPr>
          <w:lang w:val="bg-BG"/>
        </w:rPr>
        <w:t>)</w:t>
      </w:r>
      <w:bookmarkEnd w:id="96"/>
      <w:bookmarkEnd w:id="97"/>
      <w:r w:rsidRPr="006F3533">
        <w:rPr>
          <w:lang w:val="bg-BG"/>
        </w:rPr>
        <w:tab/>
      </w:r>
    </w:p>
    <w:p w14:paraId="2877EF40"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Спестяванията на енергия в сградния сектор са определени чрез сравнение на крайното и първичното потребление на енергия между базовата година 2020 г. и референтната година 2023 г., на база официалните данни на Националния статистически институт (НСИ), представени в предходните таблици на плана.</w:t>
      </w:r>
    </w:p>
    <w:p w14:paraId="1C2237E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Методът на изчисление следва разлика между потреблението в базовата година и потреблението в текущата година, както е логически обосновано за отчитане на реално постигнати спестявания на енергия:</w:t>
      </w:r>
    </w:p>
    <w:p w14:paraId="67C66D1B" w14:textId="77777777" w:rsidR="00E6313A" w:rsidRPr="006F3533" w:rsidRDefault="00E6313A" w:rsidP="00E6313A">
      <w:pPr>
        <w:spacing w:before="100" w:beforeAutospacing="1" w:after="100" w:afterAutospacing="1" w:line="240" w:lineRule="auto"/>
        <w:jc w:val="both"/>
        <w:rPr>
          <w:rFonts w:eastAsia="Times New Roman" w:cs="Times New Roman"/>
          <w:b/>
          <w:bCs/>
          <w:szCs w:val="24"/>
          <w:lang w:val="bg-BG"/>
        </w:rPr>
      </w:pPr>
      <w:r w:rsidRPr="006F3533">
        <w:rPr>
          <w:rFonts w:eastAsia="Times New Roman" w:cs="Times New Roman"/>
          <w:b/>
          <w:bCs/>
          <w:i/>
          <w:iCs/>
          <w:szCs w:val="24"/>
          <w:lang w:val="bg-BG"/>
        </w:rPr>
        <w:t>Енергийни спестявания = Потребление (2020 г.) – Потребление (2023 г.)</w:t>
      </w:r>
    </w:p>
    <w:p w14:paraId="425491C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Изчислените енергийни спестявания са представени в таблицата по-долу. На база на актуализираните данни, енергийните спестявания в жилищните сгради за периода 2020–2023 г. възлизат на:</w:t>
      </w:r>
    </w:p>
    <w:p w14:paraId="41687700" w14:textId="77777777" w:rsidR="00E6313A" w:rsidRPr="006F3533" w:rsidRDefault="00E6313A" w:rsidP="00E6313A">
      <w:pPr>
        <w:numPr>
          <w:ilvl w:val="0"/>
          <w:numId w:val="11"/>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b/>
          <w:bCs/>
          <w:szCs w:val="24"/>
          <w:lang w:val="bg-BG"/>
        </w:rPr>
        <w:t xml:space="preserve">335 </w:t>
      </w:r>
      <w:proofErr w:type="spellStart"/>
      <w:r w:rsidRPr="006F3533">
        <w:rPr>
          <w:rFonts w:eastAsia="Times New Roman" w:cs="Times New Roman"/>
          <w:b/>
          <w:bCs/>
          <w:szCs w:val="24"/>
          <w:lang w:val="bg-BG"/>
        </w:rPr>
        <w:t>ktoe</w:t>
      </w:r>
      <w:proofErr w:type="spellEnd"/>
      <w:r w:rsidRPr="006F3533">
        <w:rPr>
          <w:rFonts w:eastAsia="Times New Roman" w:cs="Times New Roman"/>
          <w:b/>
          <w:bCs/>
          <w:szCs w:val="24"/>
          <w:lang w:val="bg-BG"/>
        </w:rPr>
        <w:t xml:space="preserve"> </w:t>
      </w:r>
      <w:r w:rsidRPr="006F3533">
        <w:rPr>
          <w:rFonts w:eastAsia="Times New Roman" w:cs="Times New Roman"/>
          <w:szCs w:val="24"/>
          <w:lang w:val="bg-BG"/>
        </w:rPr>
        <w:t>спестена крайна енергия</w:t>
      </w:r>
    </w:p>
    <w:p w14:paraId="5FAA0554" w14:textId="77777777" w:rsidR="00E6313A" w:rsidRPr="006F3533" w:rsidRDefault="00E6313A" w:rsidP="00E6313A">
      <w:pPr>
        <w:numPr>
          <w:ilvl w:val="0"/>
          <w:numId w:val="11"/>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b/>
          <w:bCs/>
          <w:szCs w:val="24"/>
          <w:lang w:val="bg-BG"/>
        </w:rPr>
        <w:t xml:space="preserve">289 </w:t>
      </w:r>
      <w:proofErr w:type="spellStart"/>
      <w:r w:rsidRPr="006F3533">
        <w:rPr>
          <w:rFonts w:eastAsia="Times New Roman" w:cs="Times New Roman"/>
          <w:b/>
          <w:bCs/>
          <w:szCs w:val="24"/>
          <w:lang w:val="bg-BG"/>
        </w:rPr>
        <w:t>ktoe</w:t>
      </w:r>
      <w:proofErr w:type="spellEnd"/>
      <w:r w:rsidRPr="006F3533">
        <w:rPr>
          <w:rFonts w:eastAsia="Times New Roman" w:cs="Times New Roman"/>
          <w:b/>
          <w:bCs/>
          <w:szCs w:val="24"/>
          <w:lang w:val="bg-BG"/>
        </w:rPr>
        <w:t xml:space="preserve"> </w:t>
      </w:r>
      <w:r w:rsidRPr="006F3533">
        <w:rPr>
          <w:rFonts w:eastAsia="Times New Roman" w:cs="Times New Roman"/>
          <w:szCs w:val="24"/>
          <w:lang w:val="bg-BG"/>
        </w:rPr>
        <w:t>спестена първична енергия</w:t>
      </w:r>
    </w:p>
    <w:p w14:paraId="189B488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Тези стойности отразяват нетния ефект от прилаганите политики в жилищния сграден сектор през разглеждания период. </w:t>
      </w:r>
    </w:p>
    <w:p w14:paraId="183B0551" w14:textId="77777777" w:rsidR="00E6313A" w:rsidRPr="006F3533" w:rsidRDefault="00E6313A" w:rsidP="00E6313A">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25</w:t>
      </w:r>
      <w:r w:rsidRPr="006F3533">
        <w:rPr>
          <w:rFonts w:cs="Times New Roman"/>
          <w:i/>
          <w:iCs/>
          <w:color w:val="0070C0"/>
          <w:szCs w:val="24"/>
          <w:lang w:val="bg-BG"/>
        </w:rPr>
        <w:fldChar w:fldCharType="end"/>
      </w:r>
      <w:r w:rsidRPr="006F3533">
        <w:rPr>
          <w:rFonts w:cs="Times New Roman"/>
          <w:i/>
          <w:iCs/>
          <w:color w:val="0070C0"/>
          <w:szCs w:val="24"/>
          <w:lang w:val="bg-BG"/>
        </w:rPr>
        <w:t>:  Реализирани спестявания на първично и крайно потребление на енергия в сградите към 2023 г. (</w:t>
      </w:r>
      <w:proofErr w:type="spellStart"/>
      <w:r w:rsidRPr="006F3533">
        <w:rPr>
          <w:rFonts w:cs="Times New Roman"/>
          <w:i/>
          <w:iCs/>
          <w:color w:val="0070C0"/>
          <w:szCs w:val="24"/>
          <w:lang w:val="bg-BG"/>
        </w:rPr>
        <w:t>ktoe</w:t>
      </w:r>
      <w:proofErr w:type="spellEnd"/>
      <w:r w:rsidRPr="006F3533">
        <w:rPr>
          <w:rFonts w:cs="Times New Roman"/>
          <w:i/>
          <w:iCs/>
          <w:color w:val="0070C0"/>
          <w:szCs w:val="24"/>
          <w:lang w:val="bg-BG"/>
        </w:rPr>
        <w:t>)</w:t>
      </w:r>
    </w:p>
    <w:tbl>
      <w:tblPr>
        <w:tblStyle w:val="GridTable4-Accent5"/>
        <w:tblW w:w="5000" w:type="pct"/>
        <w:tblLook w:val="04A0" w:firstRow="1" w:lastRow="0" w:firstColumn="1" w:lastColumn="0" w:noHBand="0" w:noVBand="1"/>
      </w:tblPr>
      <w:tblGrid>
        <w:gridCol w:w="2427"/>
        <w:gridCol w:w="3237"/>
        <w:gridCol w:w="3398"/>
      </w:tblGrid>
      <w:tr w:rsidR="00E6313A" w:rsidRPr="006F3533" w14:paraId="1C7EE162"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9" w:type="pct"/>
            <w:hideMark/>
          </w:tcPr>
          <w:p w14:paraId="2B47C1D4" w14:textId="77777777" w:rsidR="00E6313A" w:rsidRPr="006F3533" w:rsidRDefault="00E6313A" w:rsidP="00541E06">
            <w:pPr>
              <w:spacing w:after="255"/>
              <w:contextualSpacing/>
              <w:jc w:val="both"/>
              <w:rPr>
                <w:sz w:val="20"/>
                <w:szCs w:val="20"/>
                <w:lang w:val="bg-BG"/>
              </w:rPr>
            </w:pPr>
            <w:r w:rsidRPr="006F3533">
              <w:rPr>
                <w:sz w:val="20"/>
                <w:szCs w:val="20"/>
                <w:lang w:val="bg-BG"/>
              </w:rPr>
              <w:t xml:space="preserve">Building </w:t>
            </w:r>
            <w:proofErr w:type="spellStart"/>
            <w:r w:rsidRPr="006F3533">
              <w:rPr>
                <w:sz w:val="20"/>
                <w:szCs w:val="20"/>
                <w:lang w:val="bg-BG"/>
              </w:rPr>
              <w:t>type</w:t>
            </w:r>
            <w:proofErr w:type="spellEnd"/>
          </w:p>
        </w:tc>
        <w:tc>
          <w:tcPr>
            <w:tcW w:w="1786" w:type="pct"/>
            <w:hideMark/>
          </w:tcPr>
          <w:p w14:paraId="7AE3ADD7" w14:textId="77777777" w:rsidR="00E6313A" w:rsidRPr="006F3533" w:rsidRDefault="00E6313A" w:rsidP="00541E06">
            <w:pPr>
              <w:spacing w:after="255"/>
              <w:contextualSpacing/>
              <w:jc w:val="both"/>
              <w:cnfStyle w:val="100000000000" w:firstRow="1" w:lastRow="0" w:firstColumn="0" w:lastColumn="0" w:oddVBand="0" w:evenVBand="0" w:oddHBand="0" w:evenHBand="0" w:firstRowFirstColumn="0" w:firstRowLastColumn="0" w:lastRowFirstColumn="0" w:lastRowLastColumn="0"/>
              <w:rPr>
                <w:sz w:val="20"/>
                <w:szCs w:val="20"/>
                <w:lang w:val="bg-BG"/>
              </w:rPr>
            </w:pPr>
            <w:proofErr w:type="spellStart"/>
            <w:r w:rsidRPr="006F3533">
              <w:rPr>
                <w:sz w:val="20"/>
                <w:szCs w:val="20"/>
                <w:lang w:val="bg-BG"/>
              </w:rPr>
              <w:t>Savings</w:t>
            </w:r>
            <w:proofErr w:type="spellEnd"/>
            <w:r w:rsidRPr="006F3533">
              <w:rPr>
                <w:sz w:val="20"/>
                <w:szCs w:val="20"/>
                <w:lang w:val="bg-BG"/>
              </w:rPr>
              <w:t xml:space="preserve"> </w:t>
            </w:r>
            <w:proofErr w:type="spellStart"/>
            <w:r w:rsidRPr="006F3533">
              <w:rPr>
                <w:sz w:val="20"/>
                <w:szCs w:val="20"/>
                <w:lang w:val="bg-BG"/>
              </w:rPr>
              <w:t>in</w:t>
            </w:r>
            <w:proofErr w:type="spellEnd"/>
            <w:r w:rsidRPr="006F3533">
              <w:rPr>
                <w:sz w:val="20"/>
                <w:szCs w:val="20"/>
                <w:lang w:val="bg-BG"/>
              </w:rPr>
              <w:t xml:space="preserve"> </w:t>
            </w:r>
            <w:proofErr w:type="spellStart"/>
            <w:r w:rsidRPr="006F3533">
              <w:rPr>
                <w:sz w:val="20"/>
                <w:szCs w:val="20"/>
                <w:lang w:val="bg-BG"/>
              </w:rPr>
              <w:t>primary</w:t>
            </w:r>
            <w:proofErr w:type="spellEnd"/>
            <w:r w:rsidRPr="006F3533">
              <w:rPr>
                <w:sz w:val="20"/>
                <w:szCs w:val="20"/>
                <w:lang w:val="bg-BG"/>
              </w:rPr>
              <w:t xml:space="preserve"> </w:t>
            </w:r>
            <w:proofErr w:type="spellStart"/>
            <w:r w:rsidRPr="006F3533">
              <w:rPr>
                <w:sz w:val="20"/>
                <w:szCs w:val="20"/>
                <w:lang w:val="bg-BG"/>
              </w:rPr>
              <w:t>energy</w:t>
            </w:r>
            <w:proofErr w:type="spellEnd"/>
            <w:r w:rsidRPr="006F3533">
              <w:rPr>
                <w:sz w:val="20"/>
                <w:szCs w:val="20"/>
                <w:lang w:val="bg-BG"/>
              </w:rPr>
              <w:t xml:space="preserve"> </w:t>
            </w:r>
            <w:proofErr w:type="spellStart"/>
            <w:r w:rsidRPr="006F3533">
              <w:rPr>
                <w:sz w:val="20"/>
                <w:szCs w:val="20"/>
                <w:lang w:val="bg-BG"/>
              </w:rPr>
              <w:t>consumption</w:t>
            </w:r>
            <w:proofErr w:type="spellEnd"/>
          </w:p>
          <w:p w14:paraId="0B910A6B" w14:textId="77777777" w:rsidR="00E6313A" w:rsidRPr="006F3533" w:rsidRDefault="00E6313A" w:rsidP="00541E06">
            <w:pPr>
              <w:spacing w:after="255"/>
              <w:contextualSpacing/>
              <w:jc w:val="both"/>
              <w:cnfStyle w:val="100000000000" w:firstRow="1" w:lastRow="0" w:firstColumn="0" w:lastColumn="0" w:oddVBand="0" w:evenVBand="0" w:oddHBand="0" w:evenHBand="0" w:firstRowFirstColumn="0" w:firstRowLastColumn="0" w:lastRowFirstColumn="0" w:lastRowLastColumn="0"/>
              <w:rPr>
                <w:sz w:val="20"/>
                <w:szCs w:val="20"/>
                <w:lang w:val="bg-BG"/>
              </w:rPr>
            </w:pPr>
            <w:proofErr w:type="spellStart"/>
            <w:r w:rsidRPr="006F3533">
              <w:rPr>
                <w:sz w:val="20"/>
                <w:szCs w:val="20"/>
                <w:lang w:val="bg-BG"/>
              </w:rPr>
              <w:t>ktoe</w:t>
            </w:r>
            <w:proofErr w:type="spellEnd"/>
          </w:p>
        </w:tc>
        <w:tc>
          <w:tcPr>
            <w:tcW w:w="1875" w:type="pct"/>
            <w:hideMark/>
          </w:tcPr>
          <w:p w14:paraId="56496158" w14:textId="77777777" w:rsidR="00E6313A" w:rsidRPr="006F3533" w:rsidRDefault="00E6313A" w:rsidP="00541E06">
            <w:pPr>
              <w:spacing w:after="255"/>
              <w:contextualSpacing/>
              <w:jc w:val="both"/>
              <w:cnfStyle w:val="100000000000" w:firstRow="1" w:lastRow="0" w:firstColumn="0" w:lastColumn="0" w:oddVBand="0" w:evenVBand="0" w:oddHBand="0" w:evenHBand="0" w:firstRowFirstColumn="0" w:firstRowLastColumn="0" w:lastRowFirstColumn="0" w:lastRowLastColumn="0"/>
              <w:rPr>
                <w:sz w:val="20"/>
                <w:szCs w:val="20"/>
                <w:lang w:val="bg-BG"/>
              </w:rPr>
            </w:pPr>
            <w:proofErr w:type="spellStart"/>
            <w:r w:rsidRPr="006F3533">
              <w:rPr>
                <w:sz w:val="20"/>
                <w:szCs w:val="20"/>
                <w:lang w:val="bg-BG"/>
              </w:rPr>
              <w:t>Savings</w:t>
            </w:r>
            <w:proofErr w:type="spellEnd"/>
            <w:r w:rsidRPr="006F3533">
              <w:rPr>
                <w:sz w:val="20"/>
                <w:szCs w:val="20"/>
                <w:lang w:val="bg-BG"/>
              </w:rPr>
              <w:t xml:space="preserve"> </w:t>
            </w:r>
            <w:proofErr w:type="spellStart"/>
            <w:r w:rsidRPr="006F3533">
              <w:rPr>
                <w:sz w:val="20"/>
                <w:szCs w:val="20"/>
                <w:lang w:val="bg-BG"/>
              </w:rPr>
              <w:t>in</w:t>
            </w:r>
            <w:proofErr w:type="spellEnd"/>
            <w:r w:rsidRPr="006F3533">
              <w:rPr>
                <w:sz w:val="20"/>
                <w:szCs w:val="20"/>
                <w:lang w:val="bg-BG"/>
              </w:rPr>
              <w:t xml:space="preserve"> </w:t>
            </w:r>
            <w:proofErr w:type="spellStart"/>
            <w:r w:rsidRPr="006F3533">
              <w:rPr>
                <w:sz w:val="20"/>
                <w:szCs w:val="20"/>
                <w:lang w:val="bg-BG"/>
              </w:rPr>
              <w:t>final</w:t>
            </w:r>
            <w:proofErr w:type="spellEnd"/>
            <w:r w:rsidRPr="006F3533">
              <w:rPr>
                <w:sz w:val="20"/>
                <w:szCs w:val="20"/>
                <w:lang w:val="bg-BG"/>
              </w:rPr>
              <w:t xml:space="preserve"> </w:t>
            </w:r>
            <w:proofErr w:type="spellStart"/>
            <w:r w:rsidRPr="006F3533">
              <w:rPr>
                <w:sz w:val="20"/>
                <w:szCs w:val="20"/>
                <w:lang w:val="bg-BG"/>
              </w:rPr>
              <w:t>energy</w:t>
            </w:r>
            <w:proofErr w:type="spellEnd"/>
            <w:r w:rsidRPr="006F3533">
              <w:rPr>
                <w:sz w:val="20"/>
                <w:szCs w:val="20"/>
                <w:lang w:val="bg-BG"/>
              </w:rPr>
              <w:t xml:space="preserve"> </w:t>
            </w:r>
            <w:proofErr w:type="spellStart"/>
            <w:r w:rsidRPr="006F3533">
              <w:rPr>
                <w:sz w:val="20"/>
                <w:szCs w:val="20"/>
                <w:lang w:val="bg-BG"/>
              </w:rPr>
              <w:t>consumption</w:t>
            </w:r>
            <w:proofErr w:type="spellEnd"/>
            <w:r w:rsidRPr="006F3533">
              <w:rPr>
                <w:sz w:val="20"/>
                <w:szCs w:val="20"/>
                <w:lang w:val="bg-BG"/>
              </w:rPr>
              <w:t xml:space="preserve"> </w:t>
            </w:r>
          </w:p>
          <w:p w14:paraId="582848D4" w14:textId="77777777" w:rsidR="00E6313A" w:rsidRPr="006F3533" w:rsidRDefault="00E6313A" w:rsidP="00541E06">
            <w:pPr>
              <w:spacing w:after="255"/>
              <w:contextualSpacing/>
              <w:jc w:val="both"/>
              <w:cnfStyle w:val="100000000000" w:firstRow="1" w:lastRow="0" w:firstColumn="0" w:lastColumn="0" w:oddVBand="0" w:evenVBand="0" w:oddHBand="0" w:evenHBand="0" w:firstRowFirstColumn="0" w:firstRowLastColumn="0" w:lastRowFirstColumn="0" w:lastRowLastColumn="0"/>
              <w:rPr>
                <w:sz w:val="20"/>
                <w:szCs w:val="20"/>
                <w:lang w:val="bg-BG"/>
              </w:rPr>
            </w:pPr>
            <w:proofErr w:type="spellStart"/>
            <w:r w:rsidRPr="006F3533">
              <w:rPr>
                <w:sz w:val="20"/>
                <w:szCs w:val="20"/>
                <w:lang w:val="bg-BG"/>
              </w:rPr>
              <w:t>ktoe</w:t>
            </w:r>
            <w:proofErr w:type="spellEnd"/>
          </w:p>
        </w:tc>
      </w:tr>
      <w:tr w:rsidR="00E6313A" w:rsidRPr="006F3533" w14:paraId="61209543"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9" w:type="pct"/>
            <w:hideMark/>
          </w:tcPr>
          <w:p w14:paraId="4A992373" w14:textId="77777777" w:rsidR="00E6313A" w:rsidRPr="006F3533" w:rsidRDefault="00E6313A" w:rsidP="00541E06">
            <w:pPr>
              <w:spacing w:after="255"/>
              <w:contextualSpacing/>
              <w:jc w:val="both"/>
              <w:rPr>
                <w:sz w:val="20"/>
                <w:szCs w:val="20"/>
                <w:lang w:val="bg-BG"/>
              </w:rPr>
            </w:pPr>
            <w:proofErr w:type="spellStart"/>
            <w:r w:rsidRPr="006F3533">
              <w:rPr>
                <w:sz w:val="20"/>
                <w:szCs w:val="20"/>
                <w:lang w:val="bg-BG"/>
              </w:rPr>
              <w:t>Residential</w:t>
            </w:r>
            <w:proofErr w:type="spellEnd"/>
          </w:p>
        </w:tc>
        <w:tc>
          <w:tcPr>
            <w:tcW w:w="1786" w:type="pct"/>
            <w:hideMark/>
          </w:tcPr>
          <w:p w14:paraId="6FF1CB1D" w14:textId="77777777" w:rsidR="00E6313A" w:rsidRPr="006F3533" w:rsidRDefault="00E6313A" w:rsidP="00541E06">
            <w:pPr>
              <w:spacing w:after="255"/>
              <w:contextualSpacing/>
              <w:jc w:val="both"/>
              <w:cnfStyle w:val="000000100000" w:firstRow="0" w:lastRow="0" w:firstColumn="0" w:lastColumn="0" w:oddVBand="0" w:evenVBand="0" w:oddHBand="1" w:evenHBand="0" w:firstRowFirstColumn="0" w:firstRowLastColumn="0" w:lastRowFirstColumn="0" w:lastRowLastColumn="0"/>
              <w:rPr>
                <w:color w:val="0070C0"/>
                <w:sz w:val="20"/>
                <w:szCs w:val="20"/>
                <w:lang w:val="bg-BG"/>
              </w:rPr>
            </w:pPr>
            <w:r w:rsidRPr="006F3533">
              <w:rPr>
                <w:color w:val="0070C0"/>
                <w:sz w:val="20"/>
                <w:szCs w:val="20"/>
                <w:lang w:val="bg-BG"/>
              </w:rPr>
              <w:t xml:space="preserve">PEC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Year</w:t>
            </w:r>
            <w:proofErr w:type="spellEnd"/>
            <w:r w:rsidRPr="006F3533">
              <w:rPr>
                <w:color w:val="0070C0"/>
                <w:sz w:val="20"/>
                <w:szCs w:val="20"/>
                <w:lang w:val="bg-BG"/>
              </w:rPr>
              <w:t xml:space="preserve"> (X-2) –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the</w:t>
            </w:r>
            <w:proofErr w:type="spellEnd"/>
            <w:r w:rsidRPr="006F3533">
              <w:rPr>
                <w:color w:val="0070C0"/>
                <w:sz w:val="20"/>
                <w:szCs w:val="20"/>
                <w:lang w:val="bg-BG"/>
              </w:rPr>
              <w:t xml:space="preserve"> </w:t>
            </w:r>
            <w:proofErr w:type="spellStart"/>
            <w:r w:rsidRPr="006F3533">
              <w:rPr>
                <w:color w:val="0070C0"/>
                <w:sz w:val="20"/>
                <w:szCs w:val="20"/>
                <w:lang w:val="bg-BG"/>
              </w:rPr>
              <w:t>previous</w:t>
            </w:r>
            <w:proofErr w:type="spellEnd"/>
            <w:r w:rsidRPr="006F3533">
              <w:rPr>
                <w:color w:val="0070C0"/>
                <w:sz w:val="20"/>
                <w:szCs w:val="20"/>
                <w:lang w:val="bg-BG"/>
              </w:rPr>
              <w:t xml:space="preserve"> </w:t>
            </w:r>
            <w:proofErr w:type="spellStart"/>
            <w:r w:rsidRPr="006F3533">
              <w:rPr>
                <w:color w:val="0070C0"/>
                <w:sz w:val="20"/>
                <w:szCs w:val="20"/>
                <w:lang w:val="bg-BG"/>
              </w:rPr>
              <w:t>plan</w:t>
            </w:r>
            <w:proofErr w:type="spellEnd"/>
            <w:r w:rsidRPr="006F3533">
              <w:rPr>
                <w:color w:val="0070C0"/>
                <w:sz w:val="20"/>
                <w:szCs w:val="20"/>
                <w:lang w:val="bg-BG"/>
              </w:rPr>
              <w:t xml:space="preserve"> </w:t>
            </w:r>
            <w:r w:rsidRPr="006F3533">
              <w:rPr>
                <w:color w:val="EE0000"/>
                <w:sz w:val="20"/>
                <w:szCs w:val="20"/>
                <w:lang w:val="bg-BG"/>
              </w:rPr>
              <w:t>289</w:t>
            </w:r>
          </w:p>
        </w:tc>
        <w:tc>
          <w:tcPr>
            <w:tcW w:w="1875" w:type="pct"/>
            <w:hideMark/>
          </w:tcPr>
          <w:p w14:paraId="2A0A1DA9" w14:textId="77777777" w:rsidR="00E6313A" w:rsidRPr="006F3533" w:rsidRDefault="00E6313A" w:rsidP="00541E06">
            <w:pPr>
              <w:spacing w:after="255"/>
              <w:contextualSpacing/>
              <w:jc w:val="both"/>
              <w:cnfStyle w:val="000000100000" w:firstRow="0" w:lastRow="0" w:firstColumn="0" w:lastColumn="0" w:oddVBand="0" w:evenVBand="0" w:oddHBand="1" w:evenHBand="0" w:firstRowFirstColumn="0" w:firstRowLastColumn="0" w:lastRowFirstColumn="0" w:lastRowLastColumn="0"/>
              <w:rPr>
                <w:color w:val="0070C0"/>
                <w:sz w:val="20"/>
                <w:szCs w:val="20"/>
                <w:lang w:val="bg-BG"/>
              </w:rPr>
            </w:pPr>
            <w:r w:rsidRPr="006F3533">
              <w:rPr>
                <w:color w:val="0070C0"/>
                <w:sz w:val="20"/>
                <w:szCs w:val="20"/>
                <w:lang w:val="bg-BG"/>
              </w:rPr>
              <w:t xml:space="preserve">FEC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Year</w:t>
            </w:r>
            <w:proofErr w:type="spellEnd"/>
            <w:r w:rsidRPr="006F3533">
              <w:rPr>
                <w:color w:val="0070C0"/>
                <w:sz w:val="20"/>
                <w:szCs w:val="20"/>
                <w:lang w:val="bg-BG"/>
              </w:rPr>
              <w:t xml:space="preserve"> X-2) –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the</w:t>
            </w:r>
            <w:proofErr w:type="spellEnd"/>
            <w:r w:rsidRPr="006F3533">
              <w:rPr>
                <w:color w:val="0070C0"/>
                <w:sz w:val="20"/>
                <w:szCs w:val="20"/>
                <w:lang w:val="bg-BG"/>
              </w:rPr>
              <w:t xml:space="preserve"> </w:t>
            </w:r>
            <w:proofErr w:type="spellStart"/>
            <w:r w:rsidRPr="006F3533">
              <w:rPr>
                <w:color w:val="0070C0"/>
                <w:sz w:val="20"/>
                <w:szCs w:val="20"/>
                <w:lang w:val="bg-BG"/>
              </w:rPr>
              <w:t>previous</w:t>
            </w:r>
            <w:proofErr w:type="spellEnd"/>
            <w:r w:rsidRPr="006F3533">
              <w:rPr>
                <w:color w:val="0070C0"/>
                <w:sz w:val="20"/>
                <w:szCs w:val="20"/>
                <w:lang w:val="bg-BG"/>
              </w:rPr>
              <w:t xml:space="preserve"> </w:t>
            </w:r>
            <w:proofErr w:type="spellStart"/>
            <w:r w:rsidRPr="006F3533">
              <w:rPr>
                <w:color w:val="0070C0"/>
                <w:sz w:val="20"/>
                <w:szCs w:val="20"/>
                <w:lang w:val="bg-BG"/>
              </w:rPr>
              <w:t>plan</w:t>
            </w:r>
            <w:proofErr w:type="spellEnd"/>
            <w:r w:rsidRPr="006F3533">
              <w:rPr>
                <w:color w:val="0070C0"/>
                <w:sz w:val="20"/>
                <w:szCs w:val="20"/>
                <w:lang w:val="bg-BG"/>
              </w:rPr>
              <w:t xml:space="preserve"> </w:t>
            </w:r>
            <w:r w:rsidRPr="006F3533">
              <w:rPr>
                <w:color w:val="EE0000"/>
                <w:sz w:val="20"/>
                <w:szCs w:val="20"/>
                <w:lang w:val="bg-BG"/>
              </w:rPr>
              <w:t>335</w:t>
            </w:r>
          </w:p>
        </w:tc>
      </w:tr>
      <w:tr w:rsidR="00E6313A" w:rsidRPr="006F3533" w14:paraId="36690F53" w14:textId="77777777" w:rsidTr="00541E06">
        <w:tc>
          <w:tcPr>
            <w:cnfStyle w:val="001000000000" w:firstRow="0" w:lastRow="0" w:firstColumn="1" w:lastColumn="0" w:oddVBand="0" w:evenVBand="0" w:oddHBand="0" w:evenHBand="0" w:firstRowFirstColumn="0" w:firstRowLastColumn="0" w:lastRowFirstColumn="0" w:lastRowLastColumn="0"/>
            <w:tcW w:w="1339" w:type="pct"/>
            <w:hideMark/>
          </w:tcPr>
          <w:p w14:paraId="3A0B265F" w14:textId="77777777" w:rsidR="00E6313A" w:rsidRPr="006F3533" w:rsidRDefault="00E6313A" w:rsidP="00541E06">
            <w:pPr>
              <w:spacing w:after="255"/>
              <w:contextualSpacing/>
              <w:jc w:val="both"/>
              <w:rPr>
                <w:sz w:val="20"/>
                <w:szCs w:val="20"/>
                <w:lang w:val="bg-BG"/>
              </w:rPr>
            </w:pPr>
            <w:proofErr w:type="spellStart"/>
            <w:r w:rsidRPr="006F3533">
              <w:rPr>
                <w:sz w:val="20"/>
                <w:szCs w:val="20"/>
                <w:lang w:val="bg-BG"/>
              </w:rPr>
              <w:t>Non-residential</w:t>
            </w:r>
            <w:proofErr w:type="spellEnd"/>
            <w:r w:rsidRPr="006F3533">
              <w:rPr>
                <w:sz w:val="20"/>
                <w:szCs w:val="20"/>
                <w:lang w:val="bg-BG"/>
              </w:rPr>
              <w:t xml:space="preserve"> </w:t>
            </w:r>
          </w:p>
        </w:tc>
        <w:tc>
          <w:tcPr>
            <w:tcW w:w="1786" w:type="pct"/>
            <w:hideMark/>
          </w:tcPr>
          <w:p w14:paraId="58CBEE17" w14:textId="77777777" w:rsidR="00E6313A" w:rsidRPr="006F3533" w:rsidRDefault="00E6313A" w:rsidP="00541E06">
            <w:pPr>
              <w:spacing w:after="255"/>
              <w:contextualSpacing/>
              <w:jc w:val="both"/>
              <w:cnfStyle w:val="000000000000" w:firstRow="0" w:lastRow="0" w:firstColumn="0" w:lastColumn="0" w:oddVBand="0" w:evenVBand="0" w:oddHBand="0" w:evenHBand="0" w:firstRowFirstColumn="0" w:firstRowLastColumn="0" w:lastRowFirstColumn="0" w:lastRowLastColumn="0"/>
              <w:rPr>
                <w:color w:val="0070C0"/>
                <w:sz w:val="20"/>
                <w:szCs w:val="20"/>
                <w:lang w:val="bg-BG"/>
              </w:rPr>
            </w:pPr>
            <w:r w:rsidRPr="006F3533">
              <w:rPr>
                <w:color w:val="0070C0"/>
                <w:sz w:val="20"/>
                <w:szCs w:val="20"/>
                <w:lang w:val="bg-BG"/>
              </w:rPr>
              <w:t xml:space="preserve">PEC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the</w:t>
            </w:r>
            <w:proofErr w:type="spellEnd"/>
            <w:r w:rsidRPr="006F3533">
              <w:rPr>
                <w:color w:val="0070C0"/>
                <w:sz w:val="20"/>
                <w:szCs w:val="20"/>
                <w:lang w:val="bg-BG"/>
              </w:rPr>
              <w:t xml:space="preserve"> </w:t>
            </w:r>
            <w:proofErr w:type="spellStart"/>
            <w:r w:rsidRPr="006F3533">
              <w:rPr>
                <w:color w:val="0070C0"/>
                <w:sz w:val="20"/>
                <w:szCs w:val="20"/>
                <w:lang w:val="bg-BG"/>
              </w:rPr>
              <w:t>previous</w:t>
            </w:r>
            <w:proofErr w:type="spellEnd"/>
            <w:r w:rsidRPr="006F3533">
              <w:rPr>
                <w:color w:val="0070C0"/>
                <w:sz w:val="20"/>
                <w:szCs w:val="20"/>
                <w:lang w:val="bg-BG"/>
              </w:rPr>
              <w:t xml:space="preserve"> </w:t>
            </w:r>
            <w:proofErr w:type="spellStart"/>
            <w:r w:rsidRPr="006F3533">
              <w:rPr>
                <w:color w:val="0070C0"/>
                <w:sz w:val="20"/>
                <w:szCs w:val="20"/>
                <w:lang w:val="bg-BG"/>
              </w:rPr>
              <w:t>plan</w:t>
            </w:r>
            <w:proofErr w:type="spellEnd"/>
            <w:r w:rsidRPr="006F3533">
              <w:rPr>
                <w:color w:val="0070C0"/>
                <w:sz w:val="20"/>
                <w:szCs w:val="20"/>
                <w:lang w:val="bg-BG"/>
              </w:rPr>
              <w:t xml:space="preserve"> (2019) –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Year</w:t>
            </w:r>
            <w:proofErr w:type="spellEnd"/>
            <w:r w:rsidRPr="006F3533">
              <w:rPr>
                <w:color w:val="0070C0"/>
                <w:sz w:val="20"/>
                <w:szCs w:val="20"/>
                <w:lang w:val="bg-BG"/>
              </w:rPr>
              <w:t xml:space="preserve"> 2023) </w:t>
            </w:r>
            <w:r w:rsidRPr="006F3533">
              <w:rPr>
                <w:color w:val="EE0000"/>
                <w:sz w:val="20"/>
                <w:szCs w:val="20"/>
                <w:lang w:val="bg-BG"/>
              </w:rPr>
              <w:t>97,91</w:t>
            </w:r>
          </w:p>
        </w:tc>
        <w:tc>
          <w:tcPr>
            <w:tcW w:w="1875" w:type="pct"/>
            <w:hideMark/>
          </w:tcPr>
          <w:p w14:paraId="2279D18F" w14:textId="77777777" w:rsidR="00E6313A" w:rsidRPr="006F3533" w:rsidRDefault="00E6313A" w:rsidP="00541E06">
            <w:pPr>
              <w:spacing w:after="255"/>
              <w:contextualSpacing/>
              <w:jc w:val="both"/>
              <w:cnfStyle w:val="000000000000" w:firstRow="0" w:lastRow="0" w:firstColumn="0" w:lastColumn="0" w:oddVBand="0" w:evenVBand="0" w:oddHBand="0" w:evenHBand="0" w:firstRowFirstColumn="0" w:firstRowLastColumn="0" w:lastRowFirstColumn="0" w:lastRowLastColumn="0"/>
              <w:rPr>
                <w:color w:val="0070C0"/>
                <w:sz w:val="20"/>
                <w:szCs w:val="20"/>
                <w:lang w:val="bg-BG"/>
              </w:rPr>
            </w:pPr>
            <w:r w:rsidRPr="006F3533">
              <w:rPr>
                <w:color w:val="0070C0"/>
                <w:sz w:val="20"/>
                <w:szCs w:val="20"/>
                <w:lang w:val="bg-BG"/>
              </w:rPr>
              <w:t xml:space="preserve">PEC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the</w:t>
            </w:r>
            <w:proofErr w:type="spellEnd"/>
            <w:r w:rsidRPr="006F3533">
              <w:rPr>
                <w:color w:val="0070C0"/>
                <w:sz w:val="20"/>
                <w:szCs w:val="20"/>
                <w:lang w:val="bg-BG"/>
              </w:rPr>
              <w:t xml:space="preserve"> </w:t>
            </w:r>
            <w:proofErr w:type="spellStart"/>
            <w:r w:rsidRPr="006F3533">
              <w:rPr>
                <w:color w:val="0070C0"/>
                <w:sz w:val="20"/>
                <w:szCs w:val="20"/>
                <w:lang w:val="bg-BG"/>
              </w:rPr>
              <w:t>previous</w:t>
            </w:r>
            <w:proofErr w:type="spellEnd"/>
            <w:r w:rsidRPr="006F3533">
              <w:rPr>
                <w:color w:val="0070C0"/>
                <w:sz w:val="20"/>
                <w:szCs w:val="20"/>
                <w:lang w:val="bg-BG"/>
              </w:rPr>
              <w:t xml:space="preserve"> </w:t>
            </w:r>
            <w:proofErr w:type="spellStart"/>
            <w:r w:rsidRPr="006F3533">
              <w:rPr>
                <w:color w:val="0070C0"/>
                <w:sz w:val="20"/>
                <w:szCs w:val="20"/>
                <w:lang w:val="bg-BG"/>
              </w:rPr>
              <w:t>plan</w:t>
            </w:r>
            <w:proofErr w:type="spellEnd"/>
            <w:r w:rsidRPr="006F3533">
              <w:rPr>
                <w:color w:val="0070C0"/>
                <w:sz w:val="20"/>
                <w:szCs w:val="20"/>
                <w:lang w:val="bg-BG"/>
              </w:rPr>
              <w:t xml:space="preserve"> (2019) –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Year</w:t>
            </w:r>
            <w:proofErr w:type="spellEnd"/>
            <w:r w:rsidRPr="006F3533">
              <w:rPr>
                <w:color w:val="0070C0"/>
                <w:sz w:val="20"/>
                <w:szCs w:val="20"/>
                <w:lang w:val="bg-BG"/>
              </w:rPr>
              <w:t xml:space="preserve"> 2023) </w:t>
            </w:r>
            <w:r w:rsidRPr="006F3533">
              <w:rPr>
                <w:color w:val="EE0000"/>
                <w:sz w:val="20"/>
                <w:szCs w:val="20"/>
                <w:lang w:val="bg-BG"/>
              </w:rPr>
              <w:t>4,41</w:t>
            </w:r>
          </w:p>
        </w:tc>
      </w:tr>
      <w:tr w:rsidR="00E6313A" w:rsidRPr="006F3533" w14:paraId="5C93E8FC"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9" w:type="pct"/>
            <w:hideMark/>
          </w:tcPr>
          <w:p w14:paraId="777DBBB7" w14:textId="77777777" w:rsidR="00E6313A" w:rsidRPr="006F3533" w:rsidRDefault="00E6313A" w:rsidP="00541E06">
            <w:pPr>
              <w:spacing w:after="255"/>
              <w:contextualSpacing/>
              <w:jc w:val="both"/>
              <w:rPr>
                <w:i/>
                <w:iCs/>
                <w:sz w:val="20"/>
                <w:szCs w:val="20"/>
                <w:lang w:val="bg-BG"/>
              </w:rPr>
            </w:pPr>
            <w:proofErr w:type="spellStart"/>
            <w:r w:rsidRPr="006F3533">
              <w:rPr>
                <w:i/>
                <w:iCs/>
                <w:sz w:val="20"/>
                <w:szCs w:val="20"/>
                <w:lang w:val="bg-BG"/>
              </w:rPr>
              <w:t>Out</w:t>
            </w:r>
            <w:proofErr w:type="spellEnd"/>
            <w:r w:rsidRPr="006F3533">
              <w:rPr>
                <w:i/>
                <w:iCs/>
                <w:sz w:val="20"/>
                <w:szCs w:val="20"/>
                <w:lang w:val="bg-BG"/>
              </w:rPr>
              <w:t xml:space="preserve"> </w:t>
            </w:r>
            <w:proofErr w:type="spellStart"/>
            <w:r w:rsidRPr="006F3533">
              <w:rPr>
                <w:i/>
                <w:iCs/>
                <w:sz w:val="20"/>
                <w:szCs w:val="20"/>
                <w:lang w:val="bg-BG"/>
              </w:rPr>
              <w:t>of</w:t>
            </w:r>
            <w:proofErr w:type="spellEnd"/>
            <w:r w:rsidRPr="006F3533">
              <w:rPr>
                <w:i/>
                <w:iCs/>
                <w:sz w:val="20"/>
                <w:szCs w:val="20"/>
                <w:lang w:val="bg-BG"/>
              </w:rPr>
              <w:t xml:space="preserve"> </w:t>
            </w:r>
            <w:proofErr w:type="spellStart"/>
            <w:r w:rsidRPr="006F3533">
              <w:rPr>
                <w:i/>
                <w:iCs/>
                <w:sz w:val="20"/>
                <w:szCs w:val="20"/>
                <w:lang w:val="bg-BG"/>
              </w:rPr>
              <w:t>which</w:t>
            </w:r>
            <w:proofErr w:type="spellEnd"/>
            <w:r w:rsidRPr="006F3533">
              <w:rPr>
                <w:i/>
                <w:iCs/>
                <w:sz w:val="20"/>
                <w:szCs w:val="20"/>
                <w:lang w:val="bg-BG"/>
              </w:rPr>
              <w:t xml:space="preserve"> </w:t>
            </w:r>
            <w:proofErr w:type="spellStart"/>
            <w:r w:rsidRPr="006F3533">
              <w:rPr>
                <w:i/>
                <w:iCs/>
                <w:sz w:val="20"/>
                <w:szCs w:val="20"/>
                <w:lang w:val="bg-BG"/>
              </w:rPr>
              <w:t>public</w:t>
            </w:r>
            <w:proofErr w:type="spellEnd"/>
            <w:r w:rsidRPr="006F3533">
              <w:rPr>
                <w:i/>
                <w:iCs/>
                <w:sz w:val="20"/>
                <w:szCs w:val="20"/>
                <w:lang w:val="bg-BG"/>
              </w:rPr>
              <w:t xml:space="preserve"> </w:t>
            </w:r>
            <w:proofErr w:type="spellStart"/>
            <w:r w:rsidRPr="006F3533">
              <w:rPr>
                <w:i/>
                <w:iCs/>
                <w:sz w:val="20"/>
                <w:szCs w:val="20"/>
                <w:lang w:val="bg-BG"/>
              </w:rPr>
              <w:t>buildings</w:t>
            </w:r>
            <w:proofErr w:type="spellEnd"/>
          </w:p>
        </w:tc>
        <w:tc>
          <w:tcPr>
            <w:tcW w:w="1786" w:type="pct"/>
            <w:hideMark/>
          </w:tcPr>
          <w:p w14:paraId="2D975025" w14:textId="77777777" w:rsidR="00E6313A" w:rsidRPr="006F3533" w:rsidRDefault="00E6313A" w:rsidP="00541E06">
            <w:pPr>
              <w:spacing w:after="255"/>
              <w:contextualSpacing/>
              <w:jc w:val="both"/>
              <w:cnfStyle w:val="000000100000" w:firstRow="0" w:lastRow="0" w:firstColumn="0" w:lastColumn="0" w:oddVBand="0" w:evenVBand="0" w:oddHBand="1" w:evenHBand="0" w:firstRowFirstColumn="0" w:firstRowLastColumn="0" w:lastRowFirstColumn="0" w:lastRowLastColumn="0"/>
              <w:rPr>
                <w:color w:val="0070C0"/>
                <w:sz w:val="20"/>
                <w:szCs w:val="20"/>
                <w:lang w:val="bg-BG"/>
              </w:rPr>
            </w:pPr>
            <w:r w:rsidRPr="006F3533">
              <w:rPr>
                <w:color w:val="0070C0"/>
                <w:sz w:val="20"/>
                <w:szCs w:val="20"/>
                <w:lang w:val="bg-BG"/>
              </w:rPr>
              <w:t xml:space="preserve">PEC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Year</w:t>
            </w:r>
            <w:proofErr w:type="spellEnd"/>
            <w:r w:rsidRPr="006F3533">
              <w:rPr>
                <w:color w:val="0070C0"/>
                <w:sz w:val="20"/>
                <w:szCs w:val="20"/>
                <w:lang w:val="bg-BG"/>
              </w:rPr>
              <w:t xml:space="preserve"> 2023) –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the</w:t>
            </w:r>
            <w:proofErr w:type="spellEnd"/>
            <w:r w:rsidRPr="006F3533">
              <w:rPr>
                <w:color w:val="0070C0"/>
                <w:sz w:val="20"/>
                <w:szCs w:val="20"/>
                <w:lang w:val="bg-BG"/>
              </w:rPr>
              <w:t xml:space="preserve"> </w:t>
            </w:r>
            <w:proofErr w:type="spellStart"/>
            <w:r w:rsidRPr="006F3533">
              <w:rPr>
                <w:color w:val="0070C0"/>
                <w:sz w:val="20"/>
                <w:szCs w:val="20"/>
                <w:lang w:val="bg-BG"/>
              </w:rPr>
              <w:t>previous</w:t>
            </w:r>
            <w:proofErr w:type="spellEnd"/>
            <w:r w:rsidRPr="006F3533">
              <w:rPr>
                <w:color w:val="0070C0"/>
                <w:sz w:val="20"/>
                <w:szCs w:val="20"/>
                <w:lang w:val="bg-BG"/>
              </w:rPr>
              <w:t xml:space="preserve"> </w:t>
            </w:r>
            <w:proofErr w:type="spellStart"/>
            <w:r w:rsidRPr="006F3533">
              <w:rPr>
                <w:color w:val="0070C0"/>
                <w:sz w:val="20"/>
                <w:szCs w:val="20"/>
                <w:lang w:val="bg-BG"/>
              </w:rPr>
              <w:t>plan</w:t>
            </w:r>
            <w:proofErr w:type="spellEnd"/>
            <w:r w:rsidRPr="006F3533">
              <w:rPr>
                <w:color w:val="0070C0"/>
                <w:sz w:val="20"/>
                <w:szCs w:val="20"/>
                <w:lang w:val="bg-BG"/>
              </w:rPr>
              <w:t xml:space="preserve"> 2019</w:t>
            </w:r>
          </w:p>
        </w:tc>
        <w:tc>
          <w:tcPr>
            <w:tcW w:w="1875" w:type="pct"/>
            <w:hideMark/>
          </w:tcPr>
          <w:p w14:paraId="20EA6E3D" w14:textId="77777777" w:rsidR="00E6313A" w:rsidRPr="006F3533" w:rsidRDefault="00E6313A" w:rsidP="00541E06">
            <w:pPr>
              <w:spacing w:after="255"/>
              <w:contextualSpacing/>
              <w:jc w:val="both"/>
              <w:cnfStyle w:val="000000100000" w:firstRow="0" w:lastRow="0" w:firstColumn="0" w:lastColumn="0" w:oddVBand="0" w:evenVBand="0" w:oddHBand="1" w:evenHBand="0" w:firstRowFirstColumn="0" w:firstRowLastColumn="0" w:lastRowFirstColumn="0" w:lastRowLastColumn="0"/>
              <w:rPr>
                <w:color w:val="0070C0"/>
                <w:sz w:val="20"/>
                <w:szCs w:val="20"/>
                <w:lang w:val="bg-BG"/>
              </w:rPr>
            </w:pPr>
            <w:r w:rsidRPr="006F3533">
              <w:rPr>
                <w:color w:val="0070C0"/>
                <w:sz w:val="20"/>
                <w:szCs w:val="20"/>
                <w:lang w:val="bg-BG"/>
              </w:rPr>
              <w:t xml:space="preserve">FEC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Year</w:t>
            </w:r>
            <w:proofErr w:type="spellEnd"/>
            <w:r w:rsidRPr="006F3533">
              <w:rPr>
                <w:color w:val="0070C0"/>
                <w:sz w:val="20"/>
                <w:szCs w:val="20"/>
                <w:lang w:val="bg-BG"/>
              </w:rPr>
              <w:t xml:space="preserve"> 2023) – </w:t>
            </w:r>
            <w:proofErr w:type="spellStart"/>
            <w:r w:rsidRPr="006F3533">
              <w:rPr>
                <w:color w:val="0070C0"/>
                <w:sz w:val="20"/>
                <w:szCs w:val="20"/>
                <w:lang w:val="bg-BG"/>
              </w:rPr>
              <w:t>value</w:t>
            </w:r>
            <w:proofErr w:type="spellEnd"/>
            <w:r w:rsidRPr="006F3533">
              <w:rPr>
                <w:color w:val="0070C0"/>
                <w:sz w:val="20"/>
                <w:szCs w:val="20"/>
                <w:lang w:val="bg-BG"/>
              </w:rPr>
              <w:t xml:space="preserve"> </w:t>
            </w:r>
            <w:proofErr w:type="spellStart"/>
            <w:r w:rsidRPr="006F3533">
              <w:rPr>
                <w:color w:val="0070C0"/>
                <w:sz w:val="20"/>
                <w:szCs w:val="20"/>
                <w:lang w:val="bg-BG"/>
              </w:rPr>
              <w:t>in</w:t>
            </w:r>
            <w:proofErr w:type="spellEnd"/>
            <w:r w:rsidRPr="006F3533">
              <w:rPr>
                <w:color w:val="0070C0"/>
                <w:sz w:val="20"/>
                <w:szCs w:val="20"/>
                <w:lang w:val="bg-BG"/>
              </w:rPr>
              <w:t xml:space="preserve"> </w:t>
            </w:r>
            <w:proofErr w:type="spellStart"/>
            <w:r w:rsidRPr="006F3533">
              <w:rPr>
                <w:color w:val="0070C0"/>
                <w:sz w:val="20"/>
                <w:szCs w:val="20"/>
                <w:lang w:val="bg-BG"/>
              </w:rPr>
              <w:t>the</w:t>
            </w:r>
            <w:proofErr w:type="spellEnd"/>
            <w:r w:rsidRPr="006F3533">
              <w:rPr>
                <w:color w:val="0070C0"/>
                <w:sz w:val="20"/>
                <w:szCs w:val="20"/>
                <w:lang w:val="bg-BG"/>
              </w:rPr>
              <w:t xml:space="preserve"> </w:t>
            </w:r>
            <w:proofErr w:type="spellStart"/>
            <w:r w:rsidRPr="006F3533">
              <w:rPr>
                <w:color w:val="0070C0"/>
                <w:sz w:val="20"/>
                <w:szCs w:val="20"/>
                <w:lang w:val="bg-BG"/>
              </w:rPr>
              <w:t>previous</w:t>
            </w:r>
            <w:proofErr w:type="spellEnd"/>
            <w:r w:rsidRPr="006F3533">
              <w:rPr>
                <w:color w:val="0070C0"/>
                <w:sz w:val="20"/>
                <w:szCs w:val="20"/>
                <w:lang w:val="bg-BG"/>
              </w:rPr>
              <w:t xml:space="preserve"> </w:t>
            </w:r>
            <w:proofErr w:type="spellStart"/>
            <w:r w:rsidRPr="006F3533">
              <w:rPr>
                <w:color w:val="0070C0"/>
                <w:sz w:val="20"/>
                <w:szCs w:val="20"/>
                <w:lang w:val="bg-BG"/>
              </w:rPr>
              <w:t>plan</w:t>
            </w:r>
            <w:proofErr w:type="spellEnd"/>
            <w:r w:rsidRPr="006F3533">
              <w:rPr>
                <w:color w:val="0070C0"/>
                <w:sz w:val="20"/>
                <w:szCs w:val="20"/>
                <w:lang w:val="bg-BG"/>
              </w:rPr>
              <w:t xml:space="preserve"> 2019</w:t>
            </w:r>
          </w:p>
        </w:tc>
      </w:tr>
      <w:tr w:rsidR="00E6313A" w:rsidRPr="006F3533" w14:paraId="6DEED787" w14:textId="77777777" w:rsidTr="00541E06">
        <w:tc>
          <w:tcPr>
            <w:cnfStyle w:val="001000000000" w:firstRow="0" w:lastRow="0" w:firstColumn="1" w:lastColumn="0" w:oddVBand="0" w:evenVBand="0" w:oddHBand="0" w:evenHBand="0" w:firstRowFirstColumn="0" w:firstRowLastColumn="0" w:lastRowFirstColumn="0" w:lastRowLastColumn="0"/>
            <w:tcW w:w="1339" w:type="pct"/>
            <w:hideMark/>
          </w:tcPr>
          <w:p w14:paraId="315DE8AF" w14:textId="77777777" w:rsidR="00E6313A" w:rsidRPr="006F3533" w:rsidRDefault="00E6313A" w:rsidP="00541E06">
            <w:pPr>
              <w:spacing w:after="255"/>
              <w:contextualSpacing/>
              <w:jc w:val="both"/>
              <w:rPr>
                <w:sz w:val="20"/>
                <w:szCs w:val="20"/>
                <w:lang w:val="bg-BG"/>
              </w:rPr>
            </w:pPr>
            <w:r w:rsidRPr="006F3533">
              <w:rPr>
                <w:sz w:val="20"/>
                <w:szCs w:val="20"/>
                <w:lang w:val="bg-BG"/>
              </w:rPr>
              <w:t xml:space="preserve">Total </w:t>
            </w:r>
            <w:proofErr w:type="spellStart"/>
            <w:r w:rsidRPr="006F3533">
              <w:rPr>
                <w:sz w:val="20"/>
                <w:szCs w:val="20"/>
                <w:lang w:val="bg-BG"/>
              </w:rPr>
              <w:t>savings</w:t>
            </w:r>
            <w:proofErr w:type="spellEnd"/>
            <w:r w:rsidRPr="006F3533">
              <w:rPr>
                <w:sz w:val="20"/>
                <w:szCs w:val="20"/>
                <w:lang w:val="bg-BG"/>
              </w:rPr>
              <w:t xml:space="preserve"> </w:t>
            </w:r>
          </w:p>
        </w:tc>
        <w:tc>
          <w:tcPr>
            <w:tcW w:w="1786" w:type="pct"/>
            <w:hideMark/>
          </w:tcPr>
          <w:p w14:paraId="7AB452F1" w14:textId="77777777" w:rsidR="00E6313A" w:rsidRPr="006F3533" w:rsidRDefault="00E6313A" w:rsidP="00541E06">
            <w:pPr>
              <w:spacing w:after="255"/>
              <w:contextualSpacing/>
              <w:jc w:val="both"/>
              <w:cnfStyle w:val="000000000000" w:firstRow="0" w:lastRow="0" w:firstColumn="0" w:lastColumn="0" w:oddVBand="0" w:evenVBand="0" w:oddHBand="0" w:evenHBand="0" w:firstRowFirstColumn="0" w:firstRowLastColumn="0" w:lastRowFirstColumn="0" w:lastRowLastColumn="0"/>
              <w:rPr>
                <w:color w:val="0070C0"/>
                <w:sz w:val="20"/>
                <w:szCs w:val="20"/>
                <w:lang w:val="bg-BG"/>
              </w:rPr>
            </w:pPr>
            <w:proofErr w:type="spellStart"/>
            <w:r w:rsidRPr="006F3533">
              <w:rPr>
                <w:color w:val="0070C0"/>
                <w:sz w:val="20"/>
                <w:szCs w:val="20"/>
                <w:lang w:val="bg-BG"/>
              </w:rPr>
              <w:t>Savings</w:t>
            </w:r>
            <w:proofErr w:type="spellEnd"/>
            <w:r w:rsidRPr="006F3533">
              <w:rPr>
                <w:color w:val="0070C0"/>
                <w:sz w:val="20"/>
                <w:szCs w:val="20"/>
                <w:lang w:val="bg-BG"/>
              </w:rPr>
              <w:t xml:space="preserve"> </w:t>
            </w:r>
            <w:proofErr w:type="spellStart"/>
            <w:r w:rsidRPr="006F3533">
              <w:rPr>
                <w:color w:val="0070C0"/>
                <w:sz w:val="20"/>
                <w:szCs w:val="20"/>
                <w:lang w:val="bg-BG"/>
              </w:rPr>
              <w:t>residential</w:t>
            </w:r>
            <w:proofErr w:type="spellEnd"/>
            <w:r w:rsidRPr="006F3533">
              <w:rPr>
                <w:color w:val="0070C0"/>
                <w:sz w:val="20"/>
                <w:szCs w:val="20"/>
                <w:lang w:val="bg-BG"/>
              </w:rPr>
              <w:t xml:space="preserve"> + </w:t>
            </w:r>
            <w:proofErr w:type="spellStart"/>
            <w:r w:rsidRPr="006F3533">
              <w:rPr>
                <w:color w:val="0070C0"/>
                <w:sz w:val="20"/>
                <w:szCs w:val="20"/>
                <w:lang w:val="bg-BG"/>
              </w:rPr>
              <w:t>non-residential</w:t>
            </w:r>
            <w:proofErr w:type="spellEnd"/>
            <w:r w:rsidRPr="006F3533">
              <w:rPr>
                <w:color w:val="EE0000"/>
                <w:sz w:val="20"/>
                <w:szCs w:val="20"/>
                <w:lang w:val="bg-BG"/>
              </w:rPr>
              <w:t xml:space="preserve"> 386,91</w:t>
            </w:r>
          </w:p>
        </w:tc>
        <w:tc>
          <w:tcPr>
            <w:tcW w:w="1875" w:type="pct"/>
            <w:hideMark/>
          </w:tcPr>
          <w:p w14:paraId="72DEF1CA" w14:textId="77777777" w:rsidR="00E6313A" w:rsidRPr="006F3533" w:rsidRDefault="00E6313A" w:rsidP="00541E06">
            <w:pPr>
              <w:spacing w:after="255"/>
              <w:contextualSpacing/>
              <w:jc w:val="both"/>
              <w:cnfStyle w:val="000000000000" w:firstRow="0" w:lastRow="0" w:firstColumn="0" w:lastColumn="0" w:oddVBand="0" w:evenVBand="0" w:oddHBand="0" w:evenHBand="0" w:firstRowFirstColumn="0" w:firstRowLastColumn="0" w:lastRowFirstColumn="0" w:lastRowLastColumn="0"/>
              <w:rPr>
                <w:color w:val="0070C0"/>
                <w:sz w:val="20"/>
                <w:szCs w:val="20"/>
                <w:lang w:val="bg-BG"/>
              </w:rPr>
            </w:pPr>
            <w:proofErr w:type="spellStart"/>
            <w:r w:rsidRPr="006F3533">
              <w:rPr>
                <w:color w:val="0070C0"/>
                <w:sz w:val="20"/>
                <w:szCs w:val="20"/>
                <w:lang w:val="bg-BG"/>
              </w:rPr>
              <w:t>Savings</w:t>
            </w:r>
            <w:proofErr w:type="spellEnd"/>
            <w:r w:rsidRPr="006F3533">
              <w:rPr>
                <w:color w:val="0070C0"/>
                <w:sz w:val="20"/>
                <w:szCs w:val="20"/>
                <w:lang w:val="bg-BG"/>
              </w:rPr>
              <w:t xml:space="preserve"> </w:t>
            </w:r>
            <w:proofErr w:type="spellStart"/>
            <w:r w:rsidRPr="006F3533">
              <w:rPr>
                <w:color w:val="0070C0"/>
                <w:sz w:val="20"/>
                <w:szCs w:val="20"/>
                <w:lang w:val="bg-BG"/>
              </w:rPr>
              <w:t>residential</w:t>
            </w:r>
            <w:proofErr w:type="spellEnd"/>
            <w:r w:rsidRPr="006F3533">
              <w:rPr>
                <w:color w:val="0070C0"/>
                <w:sz w:val="20"/>
                <w:szCs w:val="20"/>
                <w:lang w:val="bg-BG"/>
              </w:rPr>
              <w:t xml:space="preserve"> + </w:t>
            </w:r>
            <w:proofErr w:type="spellStart"/>
            <w:r w:rsidRPr="006F3533">
              <w:rPr>
                <w:color w:val="0070C0"/>
                <w:sz w:val="20"/>
                <w:szCs w:val="20"/>
                <w:lang w:val="bg-BG"/>
              </w:rPr>
              <w:t>non-residentia</w:t>
            </w:r>
            <w:proofErr w:type="spellEnd"/>
            <w:r w:rsidRPr="006F3533">
              <w:rPr>
                <w:color w:val="0070C0"/>
                <w:sz w:val="20"/>
                <w:szCs w:val="20"/>
                <w:lang w:val="bg-BG"/>
              </w:rPr>
              <w:t xml:space="preserve"> </w:t>
            </w:r>
            <w:r w:rsidRPr="006F3533">
              <w:rPr>
                <w:color w:val="EE0000"/>
                <w:sz w:val="20"/>
                <w:szCs w:val="20"/>
                <w:lang w:val="bg-BG"/>
              </w:rPr>
              <w:t>339,41</w:t>
            </w:r>
          </w:p>
        </w:tc>
      </w:tr>
    </w:tbl>
    <w:p w14:paraId="7ECF4DB3" w14:textId="77777777" w:rsidR="00E6313A" w:rsidRPr="006F3533" w:rsidRDefault="00E6313A" w:rsidP="00E6313A">
      <w:pPr>
        <w:pStyle w:val="Heading2"/>
        <w:jc w:val="both"/>
        <w:rPr>
          <w:lang w:val="bg-BG"/>
        </w:rPr>
      </w:pPr>
    </w:p>
    <w:p w14:paraId="71E4CF60" w14:textId="77777777" w:rsidR="00E6313A" w:rsidRPr="006F3533" w:rsidRDefault="00E6313A" w:rsidP="00E6313A">
      <w:pPr>
        <w:pStyle w:val="Heading2"/>
        <w:jc w:val="both"/>
        <w:rPr>
          <w:lang w:val="bg-BG"/>
        </w:rPr>
      </w:pPr>
      <w:bookmarkStart w:id="98" w:name="_Toc217837114"/>
      <w:bookmarkStart w:id="99" w:name="_Toc217888768"/>
      <w:r w:rsidRPr="006F3533">
        <w:rPr>
          <w:lang w:val="bg-BG"/>
        </w:rPr>
        <w:t>Изводи за Националния план за обновяване на сградите</w:t>
      </w:r>
      <w:bookmarkEnd w:id="98"/>
      <w:bookmarkEnd w:id="99"/>
      <w:r w:rsidRPr="006F3533">
        <w:rPr>
          <w:lang w:val="bg-BG"/>
        </w:rPr>
        <w:tab/>
      </w:r>
    </w:p>
    <w:p w14:paraId="71F47FBF"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Данните за периода 2020–2023 г. показват, че макар да са реализирани значителни брутни енергийни спестявания в жилищните сгради, те не са достатъчни да компенсират растежа на жилищния фонд, което прави ускореното и дълбоко обновяване на съществуващите сгради ключов приоритет за Националния план.</w:t>
      </w:r>
    </w:p>
    <w:p w14:paraId="4BD5B58D"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lastRenderedPageBreak/>
        <w:t>Националния план за обновяване на сградите</w:t>
      </w:r>
      <w:r w:rsidRPr="006F3533">
        <w:rPr>
          <w:rFonts w:eastAsia="Calibri" w:cs="Times New Roman"/>
          <w:lang w:val="bg-BG"/>
        </w:rPr>
        <w:t xml:space="preserve"> трябва д</w:t>
      </w:r>
      <w:r w:rsidRPr="006F3533">
        <w:rPr>
          <w:rFonts w:eastAsia="Times New Roman" w:cs="Times New Roman"/>
          <w:szCs w:val="24"/>
          <w:lang w:val="bg-BG"/>
        </w:rPr>
        <w:t>а адресира съществуващия фонд, чрез мерки за енергийна ефективност, включително мерки по внедряване на възобновяеми енергийни източници.</w:t>
      </w:r>
    </w:p>
    <w:p w14:paraId="60A2C31A" w14:textId="7CF5AAA8" w:rsidR="00E6313A" w:rsidRPr="006F3533" w:rsidRDefault="00E6313A" w:rsidP="00E6313A">
      <w:pPr>
        <w:pStyle w:val="Heading2"/>
        <w:jc w:val="both"/>
        <w:rPr>
          <w:lang w:val="bg-BG"/>
        </w:rPr>
      </w:pPr>
      <w:bookmarkStart w:id="100" w:name="_Toc217837115"/>
      <w:bookmarkStart w:id="101" w:name="_Toc217888769"/>
      <w:r w:rsidRPr="006F3533">
        <w:rPr>
          <w:lang w:val="bg-BG"/>
        </w:rPr>
        <w:t xml:space="preserve">Дял на енергията от възобновяеми източници в сградния </w:t>
      </w:r>
      <w:proofErr w:type="spellStart"/>
      <w:r w:rsidRPr="006F3533">
        <w:rPr>
          <w:lang w:val="bg-BG"/>
        </w:rPr>
        <w:t>секто</w:t>
      </w:r>
      <w:bookmarkEnd w:id="100"/>
      <w:bookmarkEnd w:id="101"/>
      <w:proofErr w:type="spellEnd"/>
      <w:r w:rsidRPr="006F3533">
        <w:rPr>
          <w:lang w:val="bg-BG"/>
        </w:rPr>
        <w:tab/>
      </w:r>
    </w:p>
    <w:p w14:paraId="5F23B753" w14:textId="77777777" w:rsidR="00E6313A" w:rsidRPr="006F3533" w:rsidRDefault="00E6313A" w:rsidP="00E6313A">
      <w:pPr>
        <w:spacing w:before="100" w:beforeAutospacing="1" w:after="100" w:afterAutospacing="1" w:line="240" w:lineRule="auto"/>
        <w:jc w:val="both"/>
        <w:rPr>
          <w:rFonts w:eastAsia="Times New Roman" w:cs="Times New Roman"/>
          <w:b/>
          <w:bCs/>
          <w:szCs w:val="24"/>
          <w:lang w:val="bg-BG" w:eastAsia="en-GB"/>
        </w:rPr>
      </w:pPr>
      <w:r w:rsidRPr="006F3533">
        <w:rPr>
          <w:rFonts w:eastAsia="Times New Roman" w:cs="Times New Roman"/>
          <w:szCs w:val="24"/>
          <w:lang w:val="bg-BG" w:eastAsia="en-GB"/>
        </w:rPr>
        <w:t>Към момента в България не съществува централизирана и систематизирана база данни</w:t>
      </w:r>
      <w:r w:rsidRPr="006F3533">
        <w:rPr>
          <w:rFonts w:eastAsia="Times New Roman" w:cs="Times New Roman"/>
          <w:b/>
          <w:bCs/>
          <w:szCs w:val="24"/>
          <w:lang w:val="bg-BG" w:eastAsia="en-GB"/>
        </w:rPr>
        <w:t xml:space="preserve">, </w:t>
      </w:r>
      <w:r w:rsidRPr="006F3533">
        <w:rPr>
          <w:rFonts w:eastAsia="Times New Roman" w:cs="Times New Roman"/>
          <w:szCs w:val="24"/>
          <w:lang w:val="bg-BG" w:eastAsia="en-GB"/>
        </w:rPr>
        <w:t>която да позволява надеждно отчитане на инсталираната мощност от възобновяеми енергийни източници, или реално произведената енергия на ниво сграден сектор</w:t>
      </w:r>
      <w:r w:rsidRPr="006F3533">
        <w:rPr>
          <w:rFonts w:eastAsia="Times New Roman" w:cs="Times New Roman"/>
          <w:b/>
          <w:bCs/>
          <w:szCs w:val="24"/>
          <w:lang w:val="bg-BG" w:eastAsia="en-GB"/>
        </w:rPr>
        <w:t>.</w:t>
      </w:r>
    </w:p>
    <w:p w14:paraId="783CE72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Не е налична никаква информация за сградите, които нямат издаден сертификат за енергийните характеристики.</w:t>
      </w:r>
    </w:p>
    <w:p w14:paraId="537CDAF9"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Настоящият анализ е представен в съответствие с официалните национални енергийни баланси на Националния статистически институт (НСИ), които предоставят данни за крайното потребление на енергия от възобновяеми източници по икономически сектори. Този подход е в съответствие с наличната национална статистика и позволява количествена оценка на дела на ВЕИ в жилищния сегмент на сградния сектор. </w:t>
      </w:r>
    </w:p>
    <w:p w14:paraId="77E95C9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Възобновяемата енергия представлява около 29,2% от крайното енергийно потребление на домакинствата</w:t>
      </w:r>
    </w:p>
    <w:p w14:paraId="4E9220C3"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eastAsia="en-GB"/>
        </w:rPr>
        <w:t xml:space="preserve">Според националните енергийни баланси на НСИ за 2023 г. общото крайно потребление на възобновяема енергия и биогорива в сектор „Домакинства“ (съответстващ на жилищните сгради) е 598 </w:t>
      </w:r>
      <w:proofErr w:type="spellStart"/>
      <w:r w:rsidRPr="006F3533">
        <w:rPr>
          <w:rFonts w:eastAsia="Times New Roman" w:cs="Times New Roman"/>
          <w:szCs w:val="24"/>
          <w:lang w:val="bg-BG" w:eastAsia="en-GB"/>
        </w:rPr>
        <w:t>ktoe</w:t>
      </w:r>
      <w:proofErr w:type="spellEnd"/>
      <w:r w:rsidRPr="006F3533">
        <w:rPr>
          <w:rFonts w:eastAsia="Times New Roman" w:cs="Times New Roman"/>
          <w:szCs w:val="24"/>
          <w:lang w:val="bg-BG" w:eastAsia="en-GB"/>
        </w:rPr>
        <w:t xml:space="preserve">. Тази стойност, отнесена към общото крайно потребление на енергия на нежилищните сгради в страната, посочено в таблица 23 по-горе, а именно 2046,58 </w:t>
      </w:r>
      <w:proofErr w:type="spellStart"/>
      <w:r w:rsidRPr="006F3533">
        <w:rPr>
          <w:rFonts w:eastAsia="Times New Roman" w:cs="Times New Roman"/>
          <w:szCs w:val="24"/>
          <w:lang w:val="bg-BG" w:eastAsia="en-GB"/>
        </w:rPr>
        <w:t>ktoe</w:t>
      </w:r>
      <w:proofErr w:type="spellEnd"/>
      <w:r w:rsidRPr="006F3533">
        <w:rPr>
          <w:rFonts w:eastAsia="Times New Roman" w:cs="Times New Roman"/>
          <w:szCs w:val="24"/>
          <w:lang w:val="bg-BG" w:eastAsia="en-GB"/>
        </w:rPr>
        <w:t xml:space="preserve">, представлява дял от 29,2%. Следва да се има предвид обаче, че това потребление се дължи основно на традиционно използване на биомаса, а не на висока степен на технологична </w:t>
      </w:r>
      <w:proofErr w:type="spellStart"/>
      <w:r w:rsidRPr="006F3533">
        <w:rPr>
          <w:rFonts w:eastAsia="Times New Roman" w:cs="Times New Roman"/>
          <w:szCs w:val="24"/>
          <w:lang w:val="bg-BG" w:eastAsia="en-GB"/>
        </w:rPr>
        <w:t>декарбонизация</w:t>
      </w:r>
      <w:proofErr w:type="spellEnd"/>
      <w:r w:rsidRPr="006F3533">
        <w:rPr>
          <w:rFonts w:eastAsia="Times New Roman" w:cs="Times New Roman"/>
          <w:szCs w:val="24"/>
          <w:lang w:val="bg-BG" w:eastAsia="en-GB"/>
        </w:rPr>
        <w:t>.</w:t>
      </w:r>
    </w:p>
    <w:p w14:paraId="56FFC842" w14:textId="77777777" w:rsidR="00E6313A" w:rsidRPr="006F3533" w:rsidRDefault="00E6313A" w:rsidP="00E6313A">
      <w:pPr>
        <w:pStyle w:val="Heading2"/>
        <w:jc w:val="both"/>
        <w:rPr>
          <w:lang w:val="bg-BG"/>
        </w:rPr>
      </w:pPr>
      <w:bookmarkStart w:id="102" w:name="_Toc217837116"/>
      <w:bookmarkStart w:id="103" w:name="_Toc217888770"/>
      <w:r w:rsidRPr="006F3533">
        <w:rPr>
          <w:lang w:val="bg-BG"/>
        </w:rPr>
        <w:t>Годишни оперативни емисии на парникови газове по видове сгради (</w:t>
      </w:r>
      <w:proofErr w:type="spellStart"/>
      <w:r w:rsidRPr="006F3533">
        <w:rPr>
          <w:lang w:val="bg-BG"/>
        </w:rPr>
        <w:t>kgCO₂eq</w:t>
      </w:r>
      <w:proofErr w:type="spellEnd"/>
      <w:r w:rsidRPr="006F3533">
        <w:rPr>
          <w:lang w:val="bg-BG"/>
        </w:rPr>
        <w:t>/(m²·година))</w:t>
      </w:r>
      <w:bookmarkEnd w:id="102"/>
      <w:bookmarkEnd w:id="103"/>
      <w:r w:rsidRPr="006F3533">
        <w:rPr>
          <w:lang w:val="bg-BG"/>
        </w:rPr>
        <w:tab/>
      </w:r>
    </w:p>
    <w:p w14:paraId="2DB269A3"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Годишните експлоатационни емисии на парникови газове за сградния сектор са определени на база крайното потребление на енергия по видове енергийни ресурси за сектор „Домакинства“, съгласно Енергийните баланси на Националния статистически институт (НСИ) за 2023 г. Данните за този сектор се приема, че съответстват на жилищните сгради.</w:t>
      </w:r>
    </w:p>
    <w:p w14:paraId="308B6E01"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За изчисляване на емисиите са приложени емисионните фактори за съответните енергийни ресурси, определени в </w:t>
      </w:r>
      <w:r w:rsidRPr="006F3533">
        <w:rPr>
          <w:rFonts w:eastAsia="Times New Roman" w:cs="Times New Roman"/>
          <w:i/>
          <w:iCs/>
          <w:szCs w:val="24"/>
          <w:lang w:val="bg-BG"/>
        </w:rPr>
        <w:t>Наредба № РД-02-20-3 за техническите изисквания към енергийните характеристики на сградите</w:t>
      </w:r>
      <w:r w:rsidRPr="006F3533">
        <w:rPr>
          <w:rFonts w:eastAsia="Times New Roman" w:cs="Times New Roman"/>
          <w:szCs w:val="24"/>
          <w:lang w:val="bg-BG"/>
        </w:rPr>
        <w:t xml:space="preserve"> (консолидирана версия с изменения в сила от 1 март 2024 г.).</w:t>
      </w:r>
    </w:p>
    <w:p w14:paraId="7007E365"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Емисиите са изчислени чрез прилагане на стандартния подход:</w:t>
      </w:r>
    </w:p>
    <w:p w14:paraId="79AB7B05" w14:textId="77777777" w:rsidR="00E6313A" w:rsidRPr="006F3533" w:rsidRDefault="00E6313A" w:rsidP="00E6313A">
      <w:pPr>
        <w:spacing w:before="100" w:beforeAutospacing="1" w:after="100" w:afterAutospacing="1" w:line="240" w:lineRule="auto"/>
        <w:jc w:val="both"/>
        <w:rPr>
          <w:rFonts w:eastAsia="Times New Roman" w:cs="Times New Roman"/>
          <w:b/>
          <w:bCs/>
          <w:i/>
          <w:iCs/>
          <w:szCs w:val="24"/>
          <w:lang w:val="bg-BG"/>
        </w:rPr>
      </w:pPr>
      <w:r w:rsidRPr="006F3533">
        <w:rPr>
          <w:rFonts w:eastAsia="Times New Roman" w:cs="Times New Roman"/>
          <w:b/>
          <w:bCs/>
          <w:i/>
          <w:iCs/>
          <w:szCs w:val="24"/>
          <w:lang w:val="bg-BG"/>
        </w:rPr>
        <w:lastRenderedPageBreak/>
        <w:t>Емисии на ПГ = крайно енергийно потребление по енергоносители × съответен емисионен фактор</w:t>
      </w:r>
    </w:p>
    <w:p w14:paraId="429B6D38"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Получените общи годишни емисии са отнесени към общата разгъната застроена площ на жилищните сгради, с цел определяне на показателя </w:t>
      </w:r>
      <w:proofErr w:type="spellStart"/>
      <w:r w:rsidRPr="006F3533">
        <w:rPr>
          <w:rFonts w:eastAsia="Times New Roman" w:cs="Times New Roman"/>
          <w:szCs w:val="24"/>
          <w:lang w:val="bg-BG"/>
        </w:rPr>
        <w:t>kgCO₂eq</w:t>
      </w:r>
      <w:proofErr w:type="spellEnd"/>
      <w:r w:rsidRPr="006F3533">
        <w:rPr>
          <w:rFonts w:eastAsia="Times New Roman" w:cs="Times New Roman"/>
          <w:szCs w:val="24"/>
          <w:lang w:val="bg-BG"/>
        </w:rPr>
        <w:t>/(m²·година), както се изисква в образеца.</w:t>
      </w:r>
    </w:p>
    <w:p w14:paraId="5FB9E7AA"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Използваните емисионни фактори са официално утвърдени на национално ниво и се прилагат задължително при всички енергийни обследвания за енергийна ефективност и при издаването на сертификати за енергийни характеристики на сгради. Това гарантира:</w:t>
      </w:r>
    </w:p>
    <w:p w14:paraId="79F95B4B" w14:textId="77777777" w:rsidR="00E6313A" w:rsidRPr="006F3533" w:rsidRDefault="00E6313A" w:rsidP="00E6313A">
      <w:pPr>
        <w:numPr>
          <w:ilvl w:val="0"/>
          <w:numId w:val="18"/>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методологична последователност със системата за сертифициране на енергийните характеристики на сгради;</w:t>
      </w:r>
    </w:p>
    <w:p w14:paraId="6E3033B8" w14:textId="77777777" w:rsidR="00E6313A" w:rsidRPr="006F3533" w:rsidRDefault="00E6313A" w:rsidP="00E6313A">
      <w:pPr>
        <w:numPr>
          <w:ilvl w:val="0"/>
          <w:numId w:val="18"/>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съпоставимост на резултатите във времето;</w:t>
      </w:r>
    </w:p>
    <w:p w14:paraId="4A3D1434" w14:textId="77777777" w:rsidR="00E6313A" w:rsidRPr="006F3533" w:rsidRDefault="00E6313A" w:rsidP="00E6313A">
      <w:pPr>
        <w:numPr>
          <w:ilvl w:val="0"/>
          <w:numId w:val="18"/>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пряка връзка между отчетните стойности и бъдещото прилагане на минимални стандарти за енергийните характеристики и политики за </w:t>
      </w:r>
      <w:proofErr w:type="spellStart"/>
      <w:r w:rsidRPr="006F3533">
        <w:rPr>
          <w:rFonts w:eastAsia="Times New Roman" w:cs="Times New Roman"/>
          <w:szCs w:val="24"/>
          <w:lang w:val="bg-BG"/>
        </w:rPr>
        <w:t>декарбонизация</w:t>
      </w:r>
      <w:proofErr w:type="spellEnd"/>
      <w:r w:rsidRPr="006F3533">
        <w:rPr>
          <w:rFonts w:eastAsia="Times New Roman" w:cs="Times New Roman"/>
          <w:szCs w:val="24"/>
          <w:lang w:val="bg-BG"/>
        </w:rPr>
        <w:t>.</w:t>
      </w:r>
    </w:p>
    <w:p w14:paraId="243CDA32" w14:textId="77777777" w:rsidR="00E6313A" w:rsidRPr="006F3533" w:rsidRDefault="00E6313A" w:rsidP="00E6313A">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Към момента липсва систематизирана национална информация за крайното потребление на енергия по отделни типове жилищни сгради (многофамилни, еднофамилни). Поради това оперативните емисии на парникови газове са представени на </w:t>
      </w:r>
      <w:proofErr w:type="spellStart"/>
      <w:r w:rsidRPr="006F3533">
        <w:rPr>
          <w:rFonts w:eastAsia="Times New Roman" w:cs="Times New Roman"/>
          <w:szCs w:val="24"/>
          <w:lang w:val="bg-BG"/>
        </w:rPr>
        <w:t>агрегирано</w:t>
      </w:r>
      <w:proofErr w:type="spellEnd"/>
      <w:r w:rsidRPr="006F3533">
        <w:rPr>
          <w:rFonts w:eastAsia="Times New Roman" w:cs="Times New Roman"/>
          <w:szCs w:val="24"/>
          <w:lang w:val="bg-BG"/>
        </w:rPr>
        <w:t xml:space="preserve"> ниво за целия сегмент на жилищните сгради, което е в съответствие с наличните статистически данни и официалната методология.</w:t>
      </w:r>
    </w:p>
    <w:p w14:paraId="4D8B78B2" w14:textId="77777777" w:rsidR="00E6313A" w:rsidRPr="006F3533" w:rsidRDefault="00E6313A" w:rsidP="00E6313A">
      <w:pPr>
        <w:spacing w:line="240" w:lineRule="auto"/>
        <w:jc w:val="both"/>
        <w:rPr>
          <w:rFonts w:eastAsia="Calibri" w:cs="Times New Roman"/>
          <w:i/>
          <w:iCs/>
          <w:color w:val="0070C0"/>
          <w:szCs w:val="24"/>
          <w:lang w:val="bg-BG"/>
        </w:rPr>
      </w:pPr>
      <w:r w:rsidRPr="006F3533">
        <w:rPr>
          <w:rFonts w:eastAsia="Calibri" w:cs="Times New Roman"/>
          <w:i/>
          <w:iCs/>
          <w:color w:val="0070C0"/>
          <w:szCs w:val="24"/>
          <w:lang w:val="bg-BG"/>
        </w:rPr>
        <w:t xml:space="preserve">Таблица № </w:t>
      </w:r>
      <w:r w:rsidRPr="006F3533">
        <w:rPr>
          <w:rFonts w:eastAsia="Calibri" w:cs="Times New Roman"/>
          <w:i/>
          <w:iCs/>
          <w:color w:val="0070C0"/>
          <w:szCs w:val="24"/>
          <w:lang w:val="bg-BG"/>
        </w:rPr>
        <w:fldChar w:fldCharType="begin"/>
      </w:r>
      <w:r w:rsidRPr="006F3533">
        <w:rPr>
          <w:rFonts w:eastAsia="Calibri" w:cs="Times New Roman"/>
          <w:i/>
          <w:iCs/>
          <w:color w:val="0070C0"/>
          <w:szCs w:val="24"/>
          <w:lang w:val="bg-BG"/>
        </w:rPr>
        <w:instrText xml:space="preserve"> SEQ Таблица_№ \* ARABIC </w:instrText>
      </w:r>
      <w:r w:rsidRPr="006F3533">
        <w:rPr>
          <w:rFonts w:eastAsia="Calibri" w:cs="Times New Roman"/>
          <w:i/>
          <w:iCs/>
          <w:color w:val="0070C0"/>
          <w:szCs w:val="24"/>
          <w:lang w:val="bg-BG"/>
        </w:rPr>
        <w:fldChar w:fldCharType="separate"/>
      </w:r>
      <w:r w:rsidRPr="006F3533">
        <w:rPr>
          <w:rFonts w:eastAsia="Calibri" w:cs="Times New Roman"/>
          <w:i/>
          <w:iCs/>
          <w:noProof/>
          <w:color w:val="0070C0"/>
          <w:szCs w:val="24"/>
          <w:lang w:val="bg-BG"/>
        </w:rPr>
        <w:t>26</w:t>
      </w:r>
      <w:r w:rsidRPr="006F3533">
        <w:rPr>
          <w:rFonts w:eastAsia="Calibri" w:cs="Times New Roman"/>
          <w:i/>
          <w:iCs/>
          <w:color w:val="0070C0"/>
          <w:szCs w:val="24"/>
          <w:lang w:val="bg-BG"/>
        </w:rPr>
        <w:fldChar w:fldCharType="end"/>
      </w:r>
      <w:r w:rsidRPr="006F3533">
        <w:rPr>
          <w:rFonts w:eastAsia="Calibri" w:cs="Times New Roman"/>
          <w:i/>
          <w:iCs/>
          <w:color w:val="0070C0"/>
          <w:szCs w:val="24"/>
          <w:lang w:val="bg-BG"/>
        </w:rPr>
        <w:t xml:space="preserve">: Годишни оперативни въглеродни емисии по видове сгради за 2023 г. </w:t>
      </w:r>
    </w:p>
    <w:tbl>
      <w:tblPr>
        <w:tblStyle w:val="GridTable4-Accent5"/>
        <w:tblW w:w="5000" w:type="pct"/>
        <w:tblLook w:val="04A0" w:firstRow="1" w:lastRow="0" w:firstColumn="1" w:lastColumn="0" w:noHBand="0" w:noVBand="1"/>
      </w:tblPr>
      <w:tblGrid>
        <w:gridCol w:w="777"/>
        <w:gridCol w:w="3016"/>
        <w:gridCol w:w="874"/>
        <w:gridCol w:w="2137"/>
        <w:gridCol w:w="2258"/>
      </w:tblGrid>
      <w:tr w:rsidR="00E6313A" w:rsidRPr="006F3533" w14:paraId="3B0DDE2A" w14:textId="77777777" w:rsidTr="00541E0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9" w:type="pct"/>
            <w:hideMark/>
          </w:tcPr>
          <w:p w14:paraId="7AA217E8" w14:textId="77777777" w:rsidR="00E6313A" w:rsidRPr="006F3533" w:rsidRDefault="00E6313A" w:rsidP="00541E06">
            <w:pPr>
              <w:spacing w:line="256" w:lineRule="auto"/>
              <w:contextualSpacing/>
              <w:jc w:val="both"/>
              <w:rPr>
                <w:rFonts w:cs="Times New Roman"/>
                <w:sz w:val="20"/>
                <w:szCs w:val="20"/>
                <w:lang w:val="bg-BG"/>
              </w:rPr>
            </w:pPr>
            <w:proofErr w:type="spellStart"/>
            <w:r w:rsidRPr="006F3533">
              <w:rPr>
                <w:rFonts w:cs="Times New Roman"/>
                <w:sz w:val="20"/>
                <w:szCs w:val="20"/>
                <w:lang w:val="bg-BG"/>
              </w:rPr>
              <w:t>Code</w:t>
            </w:r>
            <w:proofErr w:type="spellEnd"/>
          </w:p>
        </w:tc>
        <w:tc>
          <w:tcPr>
            <w:tcW w:w="1664" w:type="pct"/>
            <w:hideMark/>
          </w:tcPr>
          <w:p w14:paraId="377C17EB"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Building</w:t>
            </w:r>
          </w:p>
          <w:p w14:paraId="2EAE56EF"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Type</w:t>
            </w:r>
            <w:proofErr w:type="spellEnd"/>
          </w:p>
        </w:tc>
        <w:tc>
          <w:tcPr>
            <w:tcW w:w="482" w:type="pct"/>
            <w:hideMark/>
          </w:tcPr>
          <w:p w14:paraId="7149CA04"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M/</w:t>
            </w:r>
          </w:p>
          <w:p w14:paraId="36D7E853"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Miav</w:t>
            </w:r>
            <w:proofErr w:type="spellEnd"/>
          </w:p>
        </w:tc>
        <w:tc>
          <w:tcPr>
            <w:tcW w:w="1179" w:type="pct"/>
          </w:tcPr>
          <w:p w14:paraId="13F88F26"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Total GHG </w:t>
            </w:r>
            <w:proofErr w:type="spellStart"/>
            <w:r w:rsidRPr="006F3533">
              <w:rPr>
                <w:rFonts w:cs="Times New Roman"/>
                <w:sz w:val="20"/>
                <w:szCs w:val="20"/>
                <w:lang w:val="bg-BG"/>
              </w:rPr>
              <w:t>emissions</w:t>
            </w:r>
            <w:proofErr w:type="spellEnd"/>
          </w:p>
          <w:p w14:paraId="419853DC"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2023</w:t>
            </w:r>
          </w:p>
          <w:p w14:paraId="0BD5FB76"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(MtCO2eq)</w:t>
            </w:r>
          </w:p>
          <w:p w14:paraId="2B1C9DDC"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
        </w:tc>
        <w:tc>
          <w:tcPr>
            <w:tcW w:w="1246" w:type="pct"/>
            <w:hideMark/>
          </w:tcPr>
          <w:p w14:paraId="03E0B90C"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 xml:space="preserve">GHG </w:t>
            </w:r>
            <w:proofErr w:type="spellStart"/>
            <w:r w:rsidRPr="006F3533">
              <w:rPr>
                <w:rFonts w:cs="Times New Roman"/>
                <w:sz w:val="20"/>
                <w:szCs w:val="20"/>
                <w:lang w:val="bg-BG"/>
              </w:rPr>
              <w:t>emissions</w:t>
            </w:r>
            <w:proofErr w:type="spellEnd"/>
            <w:r w:rsidRPr="006F3533">
              <w:rPr>
                <w:rFonts w:cs="Times New Roman"/>
                <w:sz w:val="20"/>
                <w:szCs w:val="20"/>
                <w:lang w:val="bg-BG"/>
              </w:rPr>
              <w:t xml:space="preserve"> </w:t>
            </w:r>
            <w:proofErr w:type="spellStart"/>
            <w:r w:rsidRPr="006F3533">
              <w:rPr>
                <w:rFonts w:cs="Times New Roman"/>
                <w:sz w:val="20"/>
                <w:szCs w:val="20"/>
                <w:lang w:val="bg-BG"/>
              </w:rPr>
              <w:t>per</w:t>
            </w:r>
            <w:proofErr w:type="spellEnd"/>
            <w:r w:rsidRPr="006F3533">
              <w:rPr>
                <w:rFonts w:cs="Times New Roman"/>
                <w:sz w:val="20"/>
                <w:szCs w:val="20"/>
                <w:lang w:val="bg-BG"/>
              </w:rPr>
              <w:t xml:space="preserve"> m²</w:t>
            </w:r>
          </w:p>
          <w:p w14:paraId="5F27B6B5"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in</w:t>
            </w:r>
            <w:proofErr w:type="spellEnd"/>
            <w:r w:rsidRPr="006F3533">
              <w:rPr>
                <w:rFonts w:cs="Times New Roman"/>
                <w:sz w:val="20"/>
                <w:szCs w:val="20"/>
                <w:lang w:val="bg-BG"/>
              </w:rPr>
              <w:t xml:space="preserve"> </w:t>
            </w:r>
            <w:proofErr w:type="spellStart"/>
            <w:r w:rsidRPr="006F3533">
              <w:rPr>
                <w:rFonts w:cs="Times New Roman"/>
                <w:sz w:val="20"/>
                <w:szCs w:val="20"/>
                <w:lang w:val="bg-BG"/>
              </w:rPr>
              <w:t>Year</w:t>
            </w:r>
            <w:proofErr w:type="spellEnd"/>
            <w:r w:rsidRPr="006F3533">
              <w:rPr>
                <w:rFonts w:cs="Times New Roman"/>
                <w:sz w:val="20"/>
                <w:szCs w:val="20"/>
                <w:lang w:val="bg-BG"/>
              </w:rPr>
              <w:t xml:space="preserve"> 2023 </w:t>
            </w:r>
          </w:p>
          <w:p w14:paraId="1199242F"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(kgCO2eq/(m².y))</w:t>
            </w:r>
          </w:p>
        </w:tc>
      </w:tr>
      <w:tr w:rsidR="00E6313A" w:rsidRPr="006F3533" w14:paraId="26E5B3BE"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9" w:type="pct"/>
            <w:hideMark/>
          </w:tcPr>
          <w:p w14:paraId="1E10C8DA" w14:textId="77777777" w:rsidR="00E6313A" w:rsidRPr="006F3533" w:rsidRDefault="00E6313A" w:rsidP="00541E06">
            <w:pPr>
              <w:spacing w:line="256" w:lineRule="auto"/>
              <w:contextualSpacing/>
              <w:jc w:val="both"/>
              <w:rPr>
                <w:rFonts w:cs="Times New Roman"/>
                <w:sz w:val="20"/>
                <w:szCs w:val="20"/>
                <w:lang w:val="bg-BG"/>
              </w:rPr>
            </w:pPr>
            <w:r w:rsidRPr="006F3533">
              <w:rPr>
                <w:rFonts w:cs="Times New Roman"/>
                <w:sz w:val="20"/>
                <w:szCs w:val="20"/>
                <w:lang w:val="bg-BG"/>
              </w:rPr>
              <w:t xml:space="preserve">R </w:t>
            </w:r>
          </w:p>
        </w:tc>
        <w:tc>
          <w:tcPr>
            <w:tcW w:w="1664" w:type="pct"/>
          </w:tcPr>
          <w:p w14:paraId="04F613A3"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Residential</w:t>
            </w:r>
            <w:proofErr w:type="spellEnd"/>
            <w:r w:rsidRPr="006F3533">
              <w:rPr>
                <w:rFonts w:cs="Times New Roman"/>
                <w:sz w:val="20"/>
                <w:szCs w:val="20"/>
                <w:lang w:val="bg-BG"/>
              </w:rPr>
              <w:t xml:space="preserve"> </w:t>
            </w:r>
          </w:p>
          <w:p w14:paraId="6F5C0FC8"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p w14:paraId="39D65502"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
          <w:p w14:paraId="6E87F02F"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
          <w:p w14:paraId="70163FB2"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i/>
                <w:iCs/>
                <w:sz w:val="20"/>
                <w:szCs w:val="20"/>
                <w:lang w:val="bg-BG"/>
              </w:rPr>
              <w:t>Out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of</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which</w:t>
            </w:r>
            <w:proofErr w:type="spellEnd"/>
          </w:p>
        </w:tc>
        <w:tc>
          <w:tcPr>
            <w:tcW w:w="482" w:type="pct"/>
            <w:hideMark/>
          </w:tcPr>
          <w:p w14:paraId="20967CFD"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M</w:t>
            </w:r>
          </w:p>
        </w:tc>
        <w:tc>
          <w:tcPr>
            <w:tcW w:w="1179" w:type="pct"/>
          </w:tcPr>
          <w:p w14:paraId="4845A9FC"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7.5</w:t>
            </w:r>
          </w:p>
          <w:p w14:paraId="33970B9A"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R= (a) + (b1)</w:t>
            </w:r>
          </w:p>
          <w:p w14:paraId="44A4F1BB"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roofErr w:type="spellStart"/>
            <w:r w:rsidRPr="006F3533">
              <w:rPr>
                <w:rFonts w:cs="Times New Roman"/>
                <w:color w:val="0070C0"/>
                <w:sz w:val="20"/>
                <w:szCs w:val="20"/>
                <w:lang w:val="bg-BG"/>
              </w:rPr>
              <w:t>or</w:t>
            </w:r>
            <w:proofErr w:type="spellEnd"/>
          </w:p>
          <w:p w14:paraId="06DA6429"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R = (a) + (b2)</w:t>
            </w:r>
          </w:p>
          <w:p w14:paraId="0341287A"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p w14:paraId="75BA90E8"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c>
          <w:tcPr>
            <w:tcW w:w="1246" w:type="pct"/>
          </w:tcPr>
          <w:p w14:paraId="11560428"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19</w:t>
            </w:r>
          </w:p>
          <w:p w14:paraId="2BEA1DEB"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R’= R / (</w:t>
            </w:r>
            <w:proofErr w:type="spellStart"/>
            <w:r w:rsidRPr="006F3533">
              <w:rPr>
                <w:rFonts w:cs="Times New Roman"/>
                <w:color w:val="0070C0"/>
                <w:sz w:val="20"/>
                <w:szCs w:val="20"/>
                <w:lang w:val="bg-BG"/>
              </w:rPr>
              <w:t>residential</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floor</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area</w:t>
            </w:r>
            <w:proofErr w:type="spellEnd"/>
            <w:r w:rsidRPr="006F3533">
              <w:rPr>
                <w:rFonts w:cs="Times New Roman"/>
                <w:color w:val="0070C0"/>
                <w:sz w:val="20"/>
                <w:szCs w:val="20"/>
                <w:lang w:val="bg-BG"/>
              </w:rPr>
              <w:t xml:space="preserve"> x 10</w:t>
            </w:r>
            <w:r w:rsidRPr="006F3533">
              <w:rPr>
                <w:rFonts w:cs="Times New Roman"/>
                <w:color w:val="0070C0"/>
                <w:sz w:val="20"/>
                <w:szCs w:val="20"/>
                <w:vertAlign w:val="superscript"/>
                <w:lang w:val="bg-BG"/>
              </w:rPr>
              <w:t>9</w:t>
            </w:r>
            <w:r w:rsidRPr="006F3533">
              <w:rPr>
                <w:rFonts w:cs="Times New Roman"/>
                <w:color w:val="0070C0"/>
                <w:sz w:val="20"/>
                <w:szCs w:val="20"/>
                <w:lang w:val="bg-BG"/>
              </w:rPr>
              <w:t>)</w:t>
            </w:r>
          </w:p>
          <w:p w14:paraId="4F8A7A5D"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p w14:paraId="0E853242"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r>
      <w:tr w:rsidR="00E6313A" w:rsidRPr="006F3533" w14:paraId="17473AFF"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429" w:type="pct"/>
            <w:hideMark/>
          </w:tcPr>
          <w:p w14:paraId="552D487A" w14:textId="77777777" w:rsidR="00E6313A" w:rsidRPr="006F3533" w:rsidRDefault="00E6313A" w:rsidP="00541E06">
            <w:pPr>
              <w:spacing w:line="256" w:lineRule="auto"/>
              <w:jc w:val="both"/>
              <w:rPr>
                <w:rFonts w:cs="Times New Roman"/>
                <w:i/>
                <w:iCs/>
                <w:sz w:val="20"/>
                <w:szCs w:val="20"/>
                <w:lang w:val="bg-BG"/>
              </w:rPr>
            </w:pPr>
            <w:r w:rsidRPr="006F3533">
              <w:rPr>
                <w:rFonts w:cs="Times New Roman"/>
                <w:i/>
                <w:iCs/>
                <w:sz w:val="20"/>
                <w:szCs w:val="20"/>
                <w:lang w:val="bg-BG"/>
              </w:rPr>
              <w:t>(a)</w:t>
            </w:r>
          </w:p>
        </w:tc>
        <w:tc>
          <w:tcPr>
            <w:tcW w:w="1664" w:type="pct"/>
            <w:hideMark/>
          </w:tcPr>
          <w:p w14:paraId="454262F6"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single-family</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houses</w:t>
            </w:r>
            <w:proofErr w:type="spellEnd"/>
          </w:p>
          <w:p w14:paraId="1EDB4DC3"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of</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different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types</w:t>
            </w:r>
            <w:proofErr w:type="spellEnd"/>
          </w:p>
        </w:tc>
        <w:tc>
          <w:tcPr>
            <w:tcW w:w="482" w:type="pct"/>
            <w:hideMark/>
          </w:tcPr>
          <w:p w14:paraId="5E42F5E0"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Miav</w:t>
            </w:r>
            <w:proofErr w:type="spellEnd"/>
          </w:p>
        </w:tc>
        <w:tc>
          <w:tcPr>
            <w:tcW w:w="1179" w:type="pct"/>
          </w:tcPr>
          <w:p w14:paraId="49DF6984"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p>
        </w:tc>
        <w:tc>
          <w:tcPr>
            <w:tcW w:w="1246" w:type="pct"/>
          </w:tcPr>
          <w:p w14:paraId="1ADFD050"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p>
        </w:tc>
      </w:tr>
      <w:tr w:rsidR="00E6313A" w:rsidRPr="006F3533" w14:paraId="472A2AF6"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9" w:type="pct"/>
          </w:tcPr>
          <w:p w14:paraId="22AF0960" w14:textId="77777777" w:rsidR="00E6313A" w:rsidRPr="006F3533" w:rsidRDefault="00E6313A" w:rsidP="00541E06">
            <w:pPr>
              <w:spacing w:line="256" w:lineRule="auto"/>
              <w:contextualSpacing/>
              <w:jc w:val="both"/>
              <w:rPr>
                <w:rFonts w:cs="Times New Roman"/>
                <w:i/>
                <w:iCs/>
                <w:sz w:val="20"/>
                <w:szCs w:val="20"/>
                <w:lang w:val="bg-BG"/>
              </w:rPr>
            </w:pPr>
            <w:r w:rsidRPr="006F3533">
              <w:rPr>
                <w:rFonts w:cs="Times New Roman"/>
                <w:i/>
                <w:iCs/>
                <w:sz w:val="20"/>
                <w:szCs w:val="20"/>
                <w:lang w:val="bg-BG"/>
              </w:rPr>
              <w:t>(b1)</w:t>
            </w:r>
          </w:p>
          <w:p w14:paraId="30077F51" w14:textId="77777777" w:rsidR="00E6313A" w:rsidRPr="006F3533" w:rsidRDefault="00E6313A" w:rsidP="00541E06">
            <w:pPr>
              <w:spacing w:line="256" w:lineRule="auto"/>
              <w:contextualSpacing/>
              <w:jc w:val="both"/>
              <w:rPr>
                <w:rFonts w:cs="Times New Roman"/>
                <w:i/>
                <w:iCs/>
                <w:sz w:val="20"/>
                <w:szCs w:val="20"/>
                <w:lang w:val="bg-BG"/>
              </w:rPr>
            </w:pPr>
          </w:p>
          <w:p w14:paraId="2AAC1F4B" w14:textId="77777777" w:rsidR="00E6313A" w:rsidRPr="006F3533" w:rsidRDefault="00E6313A" w:rsidP="00541E06">
            <w:pPr>
              <w:spacing w:line="256" w:lineRule="auto"/>
              <w:contextualSpacing/>
              <w:jc w:val="both"/>
              <w:rPr>
                <w:rFonts w:cs="Times New Roman"/>
                <w:i/>
                <w:iCs/>
                <w:sz w:val="20"/>
                <w:szCs w:val="20"/>
                <w:lang w:val="bg-BG"/>
              </w:rPr>
            </w:pPr>
          </w:p>
          <w:p w14:paraId="2839440F" w14:textId="77777777" w:rsidR="00E6313A" w:rsidRPr="006F3533" w:rsidRDefault="00E6313A" w:rsidP="00541E06">
            <w:pPr>
              <w:spacing w:line="256" w:lineRule="auto"/>
              <w:contextualSpacing/>
              <w:jc w:val="both"/>
              <w:rPr>
                <w:rFonts w:cs="Times New Roman"/>
                <w:i/>
                <w:iCs/>
                <w:sz w:val="20"/>
                <w:szCs w:val="20"/>
                <w:lang w:val="bg-BG"/>
              </w:rPr>
            </w:pPr>
          </w:p>
        </w:tc>
        <w:tc>
          <w:tcPr>
            <w:tcW w:w="1664" w:type="pct"/>
          </w:tcPr>
          <w:p w14:paraId="37F4B5B0"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apartment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blocks</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or</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multi-family</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buildings</w:t>
            </w:r>
            <w:proofErr w:type="spellEnd"/>
            <w:r w:rsidRPr="006F3533">
              <w:rPr>
                <w:rFonts w:cs="Times New Roman"/>
                <w:i/>
                <w:iCs/>
                <w:sz w:val="20"/>
                <w:szCs w:val="20"/>
                <w:lang w:val="bg-BG"/>
              </w:rPr>
              <w:t xml:space="preserve"> </w:t>
            </w:r>
          </w:p>
          <w:p w14:paraId="41EAEA4B"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
          <w:p w14:paraId="6C2B126A"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i/>
                <w:iCs/>
                <w:sz w:val="20"/>
                <w:szCs w:val="20"/>
                <w:lang w:val="bg-BG"/>
              </w:rPr>
            </w:pPr>
          </w:p>
        </w:tc>
        <w:tc>
          <w:tcPr>
            <w:tcW w:w="482" w:type="pct"/>
          </w:tcPr>
          <w:p w14:paraId="4B6E5E2C"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Miav</w:t>
            </w:r>
            <w:proofErr w:type="spellEnd"/>
          </w:p>
          <w:p w14:paraId="641FACF4"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p w14:paraId="2E3AE6DB"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p w14:paraId="24B72DB6"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1179" w:type="pct"/>
          </w:tcPr>
          <w:p w14:paraId="226163E7"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c>
          <w:tcPr>
            <w:tcW w:w="1246" w:type="pct"/>
            <w:vMerge w:val="restart"/>
          </w:tcPr>
          <w:p w14:paraId="0D426505"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
        </w:tc>
      </w:tr>
      <w:tr w:rsidR="00E6313A" w:rsidRPr="006F3533" w14:paraId="6989C399"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429" w:type="pct"/>
            <w:hideMark/>
          </w:tcPr>
          <w:p w14:paraId="37BEF769" w14:textId="77777777" w:rsidR="00E6313A" w:rsidRPr="006F3533" w:rsidRDefault="00E6313A" w:rsidP="00541E06">
            <w:pPr>
              <w:spacing w:line="256" w:lineRule="auto"/>
              <w:contextualSpacing/>
              <w:jc w:val="both"/>
              <w:rPr>
                <w:rFonts w:cs="Times New Roman"/>
                <w:i/>
                <w:iCs/>
                <w:sz w:val="20"/>
                <w:szCs w:val="20"/>
                <w:lang w:val="bg-BG"/>
              </w:rPr>
            </w:pPr>
            <w:r w:rsidRPr="006F3533">
              <w:rPr>
                <w:rFonts w:cs="Times New Roman"/>
                <w:i/>
                <w:iCs/>
                <w:sz w:val="20"/>
                <w:szCs w:val="20"/>
                <w:lang w:val="bg-BG"/>
              </w:rPr>
              <w:t>(b2)</w:t>
            </w:r>
          </w:p>
        </w:tc>
        <w:tc>
          <w:tcPr>
            <w:tcW w:w="1664" w:type="pct"/>
          </w:tcPr>
          <w:p w14:paraId="34263B08"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residential</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building</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unit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in</w:t>
            </w:r>
            <w:proofErr w:type="spellEnd"/>
          </w:p>
          <w:p w14:paraId="39B36B1D"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i/>
                <w:iCs/>
                <w:sz w:val="20"/>
                <w:szCs w:val="20"/>
                <w:lang w:val="bg-BG"/>
              </w:rPr>
            </w:pPr>
            <w:proofErr w:type="spellStart"/>
            <w:r w:rsidRPr="006F3533">
              <w:rPr>
                <w:rFonts w:cs="Times New Roman"/>
                <w:i/>
                <w:iCs/>
                <w:sz w:val="20"/>
                <w:szCs w:val="20"/>
                <w:lang w:val="bg-BG"/>
              </w:rPr>
              <w:t>apartment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blocks</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or</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multi-family</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buildings</w:t>
            </w:r>
            <w:proofErr w:type="spellEnd"/>
          </w:p>
          <w:p w14:paraId="3320FCC5"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i/>
                <w:iCs/>
                <w:sz w:val="20"/>
                <w:szCs w:val="20"/>
                <w:lang w:val="bg-BG"/>
              </w:rPr>
            </w:pPr>
          </w:p>
        </w:tc>
        <w:tc>
          <w:tcPr>
            <w:tcW w:w="482" w:type="pct"/>
            <w:hideMark/>
          </w:tcPr>
          <w:p w14:paraId="138DE51D"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Miav</w:t>
            </w:r>
            <w:proofErr w:type="spellEnd"/>
          </w:p>
        </w:tc>
        <w:tc>
          <w:tcPr>
            <w:tcW w:w="1179" w:type="pct"/>
          </w:tcPr>
          <w:p w14:paraId="459B5151"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p>
        </w:tc>
        <w:tc>
          <w:tcPr>
            <w:tcW w:w="0" w:type="auto"/>
            <w:vMerge/>
            <w:hideMark/>
          </w:tcPr>
          <w:p w14:paraId="728B6AB6" w14:textId="77777777" w:rsidR="00E6313A" w:rsidRPr="006F3533" w:rsidRDefault="00E6313A" w:rsidP="00541E06">
            <w:pPr>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p>
        </w:tc>
      </w:tr>
      <w:tr w:rsidR="00E6313A" w:rsidRPr="006F3533" w14:paraId="10A2CCA0" w14:textId="77777777" w:rsidTr="00541E0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9" w:type="pct"/>
            <w:hideMark/>
          </w:tcPr>
          <w:p w14:paraId="6521AB9B" w14:textId="77777777" w:rsidR="00E6313A" w:rsidRPr="006F3533" w:rsidRDefault="00E6313A" w:rsidP="00541E06">
            <w:pPr>
              <w:spacing w:line="256" w:lineRule="auto"/>
              <w:contextualSpacing/>
              <w:jc w:val="both"/>
              <w:rPr>
                <w:rFonts w:cs="Times New Roman"/>
                <w:sz w:val="20"/>
                <w:szCs w:val="20"/>
                <w:lang w:val="bg-BG"/>
              </w:rPr>
            </w:pPr>
            <w:r w:rsidRPr="006F3533">
              <w:rPr>
                <w:rFonts w:cs="Times New Roman"/>
                <w:sz w:val="20"/>
                <w:szCs w:val="20"/>
                <w:lang w:val="bg-BG"/>
              </w:rPr>
              <w:t>NR</w:t>
            </w:r>
          </w:p>
        </w:tc>
        <w:tc>
          <w:tcPr>
            <w:tcW w:w="1664" w:type="pct"/>
          </w:tcPr>
          <w:p w14:paraId="57C15025"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Non-residential</w:t>
            </w:r>
            <w:proofErr w:type="spellEnd"/>
          </w:p>
          <w:p w14:paraId="2E2C786E"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p w14:paraId="7B14D765" w14:textId="77777777" w:rsidR="00E6313A" w:rsidRPr="006F3533" w:rsidRDefault="00E6313A" w:rsidP="00541E06">
            <w:pPr>
              <w:spacing w:line="256" w:lineRule="auto"/>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i/>
                <w:iCs/>
                <w:sz w:val="20"/>
                <w:szCs w:val="20"/>
                <w:lang w:val="bg-BG"/>
              </w:rPr>
              <w:t xml:space="preserve"> </w:t>
            </w:r>
            <w:proofErr w:type="spellStart"/>
            <w:r w:rsidRPr="006F3533">
              <w:rPr>
                <w:rFonts w:cs="Times New Roman"/>
                <w:i/>
                <w:iCs/>
                <w:sz w:val="20"/>
                <w:szCs w:val="20"/>
                <w:lang w:val="bg-BG"/>
              </w:rPr>
              <w:t>Out</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of</w:t>
            </w:r>
            <w:proofErr w:type="spellEnd"/>
            <w:r w:rsidRPr="006F3533">
              <w:rPr>
                <w:rFonts w:cs="Times New Roman"/>
                <w:i/>
                <w:iCs/>
                <w:sz w:val="20"/>
                <w:szCs w:val="20"/>
                <w:lang w:val="bg-BG"/>
              </w:rPr>
              <w:t xml:space="preserve"> </w:t>
            </w:r>
            <w:proofErr w:type="spellStart"/>
            <w:r w:rsidRPr="006F3533">
              <w:rPr>
                <w:rFonts w:cs="Times New Roman"/>
                <w:i/>
                <w:iCs/>
                <w:sz w:val="20"/>
                <w:szCs w:val="20"/>
                <w:lang w:val="bg-BG"/>
              </w:rPr>
              <w:t>which</w:t>
            </w:r>
            <w:proofErr w:type="spellEnd"/>
          </w:p>
        </w:tc>
        <w:tc>
          <w:tcPr>
            <w:tcW w:w="482" w:type="pct"/>
            <w:hideMark/>
          </w:tcPr>
          <w:p w14:paraId="699829D0"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M</w:t>
            </w:r>
          </w:p>
        </w:tc>
        <w:tc>
          <w:tcPr>
            <w:tcW w:w="1179" w:type="pct"/>
            <w:hideMark/>
          </w:tcPr>
          <w:p w14:paraId="0D88EE9A"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4.72</w:t>
            </w:r>
            <w:r w:rsidRPr="006F3533">
              <w:rPr>
                <w:rFonts w:cs="Times New Roman"/>
                <w:color w:val="0070C0"/>
                <w:sz w:val="20"/>
                <w:szCs w:val="20"/>
                <w:lang w:val="bg-BG"/>
              </w:rPr>
              <w:br/>
              <w:t>NR = (c) + (d) + (e) + (f) +(g) + (h) +(i)</w:t>
            </w:r>
          </w:p>
        </w:tc>
        <w:tc>
          <w:tcPr>
            <w:tcW w:w="1246" w:type="pct"/>
            <w:hideMark/>
          </w:tcPr>
          <w:p w14:paraId="59363BD9"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r w:rsidRPr="006F3533">
              <w:rPr>
                <w:rFonts w:cs="Times New Roman"/>
                <w:sz w:val="20"/>
                <w:szCs w:val="20"/>
                <w:lang w:val="bg-BG"/>
              </w:rPr>
              <w:t>50.59</w:t>
            </w:r>
            <w:r w:rsidRPr="006F3533">
              <w:rPr>
                <w:rFonts w:cs="Times New Roman"/>
                <w:color w:val="0070C0"/>
                <w:sz w:val="20"/>
                <w:szCs w:val="20"/>
                <w:lang w:val="bg-BG"/>
              </w:rPr>
              <w:br/>
              <w:t>NR’ = NR/ (</w:t>
            </w:r>
            <w:proofErr w:type="spellStart"/>
            <w:r w:rsidRPr="006F3533">
              <w:rPr>
                <w:rFonts w:cs="Times New Roman"/>
                <w:color w:val="0070C0"/>
                <w:sz w:val="20"/>
                <w:szCs w:val="20"/>
                <w:lang w:val="bg-BG"/>
              </w:rPr>
              <w:t>non-residential</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floor</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area</w:t>
            </w:r>
            <w:proofErr w:type="spellEnd"/>
            <w:r w:rsidRPr="006F3533">
              <w:rPr>
                <w:rFonts w:cs="Times New Roman"/>
                <w:color w:val="0070C0"/>
                <w:sz w:val="20"/>
                <w:szCs w:val="20"/>
                <w:lang w:val="bg-BG"/>
              </w:rPr>
              <w:t>)</w:t>
            </w:r>
          </w:p>
        </w:tc>
      </w:tr>
      <w:tr w:rsidR="00E6313A" w:rsidRPr="006F3533" w14:paraId="3BE7AB98" w14:textId="77777777" w:rsidTr="00541E06">
        <w:trPr>
          <w:trHeight w:val="300"/>
        </w:trPr>
        <w:tc>
          <w:tcPr>
            <w:cnfStyle w:val="001000000000" w:firstRow="0" w:lastRow="0" w:firstColumn="1" w:lastColumn="0" w:oddVBand="0" w:evenVBand="0" w:oddHBand="0" w:evenHBand="0" w:firstRowFirstColumn="0" w:firstRowLastColumn="0" w:lastRowFirstColumn="0" w:lastRowLastColumn="0"/>
            <w:tcW w:w="429" w:type="pct"/>
            <w:hideMark/>
          </w:tcPr>
          <w:p w14:paraId="5090D2F7" w14:textId="77777777" w:rsidR="00E6313A" w:rsidRPr="006F3533" w:rsidRDefault="00E6313A" w:rsidP="00541E06">
            <w:pPr>
              <w:spacing w:line="256" w:lineRule="auto"/>
              <w:contextualSpacing/>
              <w:jc w:val="both"/>
              <w:rPr>
                <w:rFonts w:cs="Times New Roman"/>
                <w:sz w:val="20"/>
                <w:szCs w:val="20"/>
                <w:lang w:val="bg-BG"/>
              </w:rPr>
            </w:pPr>
            <w:r w:rsidRPr="006F3533">
              <w:rPr>
                <w:rFonts w:cs="Times New Roman"/>
                <w:sz w:val="20"/>
                <w:szCs w:val="20"/>
                <w:lang w:val="bg-BG"/>
              </w:rPr>
              <w:t>T</w:t>
            </w:r>
          </w:p>
        </w:tc>
        <w:tc>
          <w:tcPr>
            <w:tcW w:w="1664" w:type="pct"/>
            <w:hideMark/>
          </w:tcPr>
          <w:p w14:paraId="5EFA3A73"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Total</w:t>
            </w:r>
          </w:p>
        </w:tc>
        <w:tc>
          <w:tcPr>
            <w:tcW w:w="482" w:type="pct"/>
            <w:hideMark/>
          </w:tcPr>
          <w:p w14:paraId="40A13D1F"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M</w:t>
            </w:r>
          </w:p>
        </w:tc>
        <w:tc>
          <w:tcPr>
            <w:tcW w:w="1179" w:type="pct"/>
            <w:hideMark/>
          </w:tcPr>
          <w:p w14:paraId="04B2A4F5"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T=R + NR</w:t>
            </w:r>
          </w:p>
          <w:p w14:paraId="546F048C"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70C0"/>
                <w:sz w:val="20"/>
                <w:szCs w:val="20"/>
                <w:lang w:val="bg-BG"/>
              </w:rPr>
              <w:t>T = 12.22</w:t>
            </w:r>
          </w:p>
        </w:tc>
        <w:tc>
          <w:tcPr>
            <w:tcW w:w="1246" w:type="pct"/>
            <w:hideMark/>
          </w:tcPr>
          <w:p w14:paraId="420E5BE1"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0070C0"/>
                <w:sz w:val="20"/>
                <w:szCs w:val="20"/>
                <w:lang w:val="bg-BG"/>
              </w:rPr>
              <w:t>T’=T/(</w:t>
            </w:r>
            <w:proofErr w:type="spellStart"/>
            <w:r w:rsidRPr="006F3533">
              <w:rPr>
                <w:rFonts w:cs="Times New Roman"/>
                <w:color w:val="0070C0"/>
                <w:sz w:val="20"/>
                <w:szCs w:val="20"/>
                <w:lang w:val="bg-BG"/>
              </w:rPr>
              <w:t>total</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floor</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area</w:t>
            </w:r>
            <w:proofErr w:type="spellEnd"/>
            <w:r w:rsidRPr="006F3533">
              <w:rPr>
                <w:rFonts w:cs="Times New Roman"/>
                <w:color w:val="0070C0"/>
                <w:sz w:val="20"/>
                <w:szCs w:val="20"/>
                <w:lang w:val="bg-BG"/>
              </w:rPr>
              <w:t>)</w:t>
            </w:r>
          </w:p>
        </w:tc>
      </w:tr>
    </w:tbl>
    <w:p w14:paraId="41AEAC6D"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lastRenderedPageBreak/>
        <w:t>Източник: НСИ, собствени изчисления</w:t>
      </w:r>
    </w:p>
    <w:p w14:paraId="6519B301" w14:textId="77777777" w:rsidR="00E6313A" w:rsidRPr="006F3533" w:rsidRDefault="00E6313A" w:rsidP="00E6313A">
      <w:pPr>
        <w:pStyle w:val="Heading2"/>
        <w:jc w:val="both"/>
        <w:rPr>
          <w:lang w:val="bg-BG"/>
        </w:rPr>
      </w:pPr>
      <w:bookmarkStart w:id="104" w:name="_Toc217837117"/>
      <w:bookmarkStart w:id="105" w:name="_Toc217888771"/>
      <w:r w:rsidRPr="006F3533">
        <w:rPr>
          <w:lang w:val="bg-BG"/>
        </w:rPr>
        <w:t>Годишно намаление на оперативните емисии на парникови газове по видове сгради (</w:t>
      </w:r>
      <w:proofErr w:type="spellStart"/>
      <w:r w:rsidRPr="006F3533">
        <w:rPr>
          <w:lang w:val="bg-BG"/>
        </w:rPr>
        <w:t>kgCO₂eq</w:t>
      </w:r>
      <w:proofErr w:type="spellEnd"/>
      <w:r w:rsidRPr="006F3533">
        <w:rPr>
          <w:lang w:val="bg-BG"/>
        </w:rPr>
        <w:t>/(m²·година))</w:t>
      </w:r>
      <w:bookmarkEnd w:id="104"/>
      <w:bookmarkEnd w:id="105"/>
      <w:r w:rsidRPr="006F3533">
        <w:rPr>
          <w:lang w:val="bg-BG"/>
        </w:rPr>
        <w:tab/>
      </w:r>
    </w:p>
    <w:p w14:paraId="25F50C4D" w14:textId="77777777" w:rsidR="00E6313A" w:rsidRPr="006F3533" w:rsidRDefault="00E6313A" w:rsidP="00E6313A">
      <w:pPr>
        <w:spacing w:line="256" w:lineRule="auto"/>
        <w:jc w:val="both"/>
        <w:rPr>
          <w:rFonts w:eastAsia="Calibri" w:cs="Times New Roman"/>
          <w:b/>
          <w:bCs/>
          <w:lang w:val="bg-BG"/>
        </w:rPr>
      </w:pPr>
      <w:r w:rsidRPr="006F3533">
        <w:rPr>
          <w:rFonts w:eastAsia="Calibri" w:cs="Times New Roman"/>
          <w:lang w:val="bg-BG"/>
        </w:rPr>
        <w:t>За жилищните сгради намалението на емисиите е изразено като разлика в специфичните емисии на единица площ (</w:t>
      </w:r>
      <w:proofErr w:type="spellStart"/>
      <w:r w:rsidRPr="006F3533">
        <w:rPr>
          <w:rFonts w:eastAsia="Calibri" w:cs="Times New Roman"/>
          <w:lang w:val="bg-BG"/>
        </w:rPr>
        <w:t>kgCO₂eq</w:t>
      </w:r>
      <w:proofErr w:type="spellEnd"/>
      <w:r w:rsidRPr="006F3533">
        <w:rPr>
          <w:rFonts w:eastAsia="Calibri" w:cs="Times New Roman"/>
          <w:lang w:val="bg-BG"/>
        </w:rPr>
        <w:t xml:space="preserve">/(m²·година)) между базовата и референтната година (в случая – 2020 и 2023 г.), използвайки единични данни за крайното потребление на сектор „Домакинства“ от националните енергийни баланси на НСИ и прилагайки еднаква методология и емисионни фактори, определени в </w:t>
      </w:r>
      <w:r w:rsidRPr="006F3533">
        <w:rPr>
          <w:rFonts w:eastAsia="Calibri" w:cs="Times New Roman"/>
          <w:i/>
          <w:iCs/>
          <w:lang w:val="bg-BG"/>
        </w:rPr>
        <w:t>Наредба № РД-02-20-3 за техническите изисквания към енергийните характеристики на сградите</w:t>
      </w:r>
      <w:r w:rsidRPr="006F3533">
        <w:rPr>
          <w:rFonts w:eastAsia="Calibri" w:cs="Times New Roman"/>
          <w:lang w:val="bg-BG"/>
        </w:rPr>
        <w:t xml:space="preserve">. По този начин се гарантира съпоставимост на резултатите и връзка с оценките, използвани при енергийните обследвания и сертифицирането на енергийните характеристики на сградите. Годишното намаление на оперативните емисии на парникови газове за нежилищните сгради възлиза на 0,76 </w:t>
      </w:r>
      <w:proofErr w:type="spellStart"/>
      <w:r w:rsidRPr="006F3533">
        <w:rPr>
          <w:rFonts w:eastAsia="Calibri" w:cs="Times New Roman"/>
          <w:lang w:val="bg-BG"/>
        </w:rPr>
        <w:t>kgCO₂eq</w:t>
      </w:r>
      <w:proofErr w:type="spellEnd"/>
      <w:r w:rsidRPr="006F3533">
        <w:rPr>
          <w:rFonts w:eastAsia="Calibri" w:cs="Times New Roman"/>
          <w:lang w:val="bg-BG"/>
        </w:rPr>
        <w:t>/(m²·год.).</w:t>
      </w:r>
    </w:p>
    <w:p w14:paraId="44E59EC5" w14:textId="77777777" w:rsidR="00E6313A" w:rsidRPr="006F3533" w:rsidRDefault="00E6313A" w:rsidP="00E6313A">
      <w:pPr>
        <w:spacing w:line="240" w:lineRule="auto"/>
        <w:jc w:val="both"/>
        <w:rPr>
          <w:rFonts w:eastAsia="Calibri" w:cs="Times New Roman"/>
          <w:i/>
          <w:iCs/>
          <w:color w:val="0070C0"/>
          <w:szCs w:val="24"/>
          <w:lang w:val="bg-BG"/>
        </w:rPr>
      </w:pPr>
      <w:r w:rsidRPr="006F3533">
        <w:rPr>
          <w:rFonts w:eastAsia="Calibri" w:cs="Times New Roman"/>
          <w:i/>
          <w:iCs/>
          <w:color w:val="0070C0"/>
          <w:szCs w:val="24"/>
          <w:lang w:val="bg-BG"/>
        </w:rPr>
        <w:t xml:space="preserve">Таблица № </w:t>
      </w:r>
      <w:r w:rsidRPr="006F3533">
        <w:rPr>
          <w:rFonts w:eastAsia="Calibri" w:cs="Times New Roman"/>
          <w:i/>
          <w:iCs/>
          <w:color w:val="0070C0"/>
          <w:szCs w:val="24"/>
          <w:lang w:val="bg-BG"/>
        </w:rPr>
        <w:fldChar w:fldCharType="begin"/>
      </w:r>
      <w:r w:rsidRPr="006F3533">
        <w:rPr>
          <w:rFonts w:eastAsia="Calibri" w:cs="Times New Roman"/>
          <w:i/>
          <w:iCs/>
          <w:color w:val="0070C0"/>
          <w:szCs w:val="24"/>
          <w:lang w:val="bg-BG"/>
        </w:rPr>
        <w:instrText xml:space="preserve"> SEQ Таблица_№ \* ARABIC </w:instrText>
      </w:r>
      <w:r w:rsidRPr="006F3533">
        <w:rPr>
          <w:rFonts w:eastAsia="Calibri" w:cs="Times New Roman"/>
          <w:i/>
          <w:iCs/>
          <w:color w:val="0070C0"/>
          <w:szCs w:val="24"/>
          <w:lang w:val="bg-BG"/>
        </w:rPr>
        <w:fldChar w:fldCharType="separate"/>
      </w:r>
      <w:r w:rsidRPr="006F3533">
        <w:rPr>
          <w:rFonts w:eastAsia="Calibri" w:cs="Times New Roman"/>
          <w:i/>
          <w:iCs/>
          <w:noProof/>
          <w:color w:val="0070C0"/>
          <w:szCs w:val="24"/>
          <w:lang w:val="bg-BG"/>
        </w:rPr>
        <w:t>27</w:t>
      </w:r>
      <w:r w:rsidRPr="006F3533">
        <w:rPr>
          <w:rFonts w:eastAsia="Calibri" w:cs="Times New Roman"/>
          <w:i/>
          <w:iCs/>
          <w:color w:val="0070C0"/>
          <w:szCs w:val="24"/>
          <w:lang w:val="bg-BG"/>
        </w:rPr>
        <w:fldChar w:fldCharType="end"/>
      </w:r>
      <w:r w:rsidRPr="006F3533">
        <w:rPr>
          <w:rFonts w:eastAsia="Calibri" w:cs="Times New Roman"/>
          <w:i/>
          <w:iCs/>
          <w:color w:val="0070C0"/>
          <w:szCs w:val="24"/>
          <w:lang w:val="bg-BG"/>
        </w:rPr>
        <w:t>: Намаление на годишните оперативни въглеродни емисии по видове сгради към 2023 г. спрямо базовата година</w:t>
      </w:r>
    </w:p>
    <w:tbl>
      <w:tblPr>
        <w:tblStyle w:val="GridTable4-Accent5"/>
        <w:tblW w:w="5000" w:type="pct"/>
        <w:tblLook w:val="04A0" w:firstRow="1" w:lastRow="0" w:firstColumn="1" w:lastColumn="0" w:noHBand="0" w:noVBand="1"/>
      </w:tblPr>
      <w:tblGrid>
        <w:gridCol w:w="3795"/>
        <w:gridCol w:w="5267"/>
      </w:tblGrid>
      <w:tr w:rsidR="00E6313A" w:rsidRPr="006F3533" w14:paraId="46FF95C8"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pct"/>
            <w:hideMark/>
          </w:tcPr>
          <w:p w14:paraId="3808B945" w14:textId="77777777" w:rsidR="00E6313A" w:rsidRPr="006F3533" w:rsidRDefault="00E6313A" w:rsidP="00541E06">
            <w:pPr>
              <w:spacing w:line="256" w:lineRule="auto"/>
              <w:contextualSpacing/>
              <w:jc w:val="both"/>
              <w:rPr>
                <w:rFonts w:cs="Times New Roman"/>
                <w:sz w:val="20"/>
                <w:szCs w:val="20"/>
                <w:lang w:val="bg-BG"/>
              </w:rPr>
            </w:pPr>
            <w:r w:rsidRPr="006F3533">
              <w:rPr>
                <w:rFonts w:cs="Times New Roman"/>
                <w:sz w:val="20"/>
                <w:szCs w:val="20"/>
                <w:lang w:val="bg-BG"/>
              </w:rPr>
              <w:t xml:space="preserve">Building </w:t>
            </w:r>
            <w:proofErr w:type="spellStart"/>
            <w:r w:rsidRPr="006F3533">
              <w:rPr>
                <w:rFonts w:cs="Times New Roman"/>
                <w:sz w:val="20"/>
                <w:szCs w:val="20"/>
                <w:lang w:val="bg-BG"/>
              </w:rPr>
              <w:t>type</w:t>
            </w:r>
            <w:proofErr w:type="spellEnd"/>
          </w:p>
        </w:tc>
        <w:tc>
          <w:tcPr>
            <w:tcW w:w="2906" w:type="pct"/>
            <w:hideMark/>
          </w:tcPr>
          <w:p w14:paraId="41B84D67"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proofErr w:type="spellStart"/>
            <w:r w:rsidRPr="006F3533">
              <w:rPr>
                <w:rFonts w:cs="Times New Roman"/>
                <w:sz w:val="20"/>
                <w:szCs w:val="20"/>
                <w:lang w:val="bg-BG"/>
              </w:rPr>
              <w:t>Reduction</w:t>
            </w:r>
            <w:proofErr w:type="spellEnd"/>
            <w:r w:rsidRPr="006F3533">
              <w:rPr>
                <w:rFonts w:cs="Times New Roman"/>
                <w:sz w:val="20"/>
                <w:szCs w:val="20"/>
                <w:lang w:val="bg-BG"/>
              </w:rPr>
              <w:t xml:space="preserve"> </w:t>
            </w:r>
            <w:proofErr w:type="spellStart"/>
            <w:r w:rsidRPr="006F3533">
              <w:rPr>
                <w:rFonts w:cs="Times New Roman"/>
                <w:sz w:val="20"/>
                <w:szCs w:val="20"/>
                <w:lang w:val="bg-BG"/>
              </w:rPr>
              <w:t>of</w:t>
            </w:r>
            <w:proofErr w:type="spellEnd"/>
            <w:r w:rsidRPr="006F3533">
              <w:rPr>
                <w:rFonts w:cs="Times New Roman"/>
                <w:sz w:val="20"/>
                <w:szCs w:val="20"/>
                <w:lang w:val="bg-BG"/>
              </w:rPr>
              <w:t xml:space="preserve"> </w:t>
            </w:r>
            <w:proofErr w:type="spellStart"/>
            <w:r w:rsidRPr="006F3533">
              <w:rPr>
                <w:rFonts w:cs="Times New Roman"/>
                <w:sz w:val="20"/>
                <w:szCs w:val="20"/>
                <w:lang w:val="bg-BG"/>
              </w:rPr>
              <w:t>annual</w:t>
            </w:r>
            <w:proofErr w:type="spellEnd"/>
            <w:r w:rsidRPr="006F3533">
              <w:rPr>
                <w:rFonts w:cs="Times New Roman"/>
                <w:sz w:val="20"/>
                <w:szCs w:val="20"/>
                <w:lang w:val="bg-BG"/>
              </w:rPr>
              <w:t xml:space="preserve"> </w:t>
            </w:r>
            <w:proofErr w:type="spellStart"/>
            <w:r w:rsidRPr="006F3533">
              <w:rPr>
                <w:rFonts w:cs="Times New Roman"/>
                <w:sz w:val="20"/>
                <w:szCs w:val="20"/>
                <w:lang w:val="bg-BG"/>
              </w:rPr>
              <w:t>operational</w:t>
            </w:r>
            <w:proofErr w:type="spellEnd"/>
            <w:r w:rsidRPr="006F3533">
              <w:rPr>
                <w:rFonts w:cs="Times New Roman"/>
                <w:sz w:val="20"/>
                <w:szCs w:val="20"/>
                <w:lang w:val="bg-BG"/>
              </w:rPr>
              <w:t xml:space="preserve"> </w:t>
            </w:r>
            <w:proofErr w:type="spellStart"/>
            <w:r w:rsidRPr="006F3533">
              <w:rPr>
                <w:rFonts w:cs="Times New Roman"/>
                <w:sz w:val="20"/>
                <w:szCs w:val="20"/>
                <w:lang w:val="bg-BG"/>
              </w:rPr>
              <w:t>greenhouse</w:t>
            </w:r>
            <w:proofErr w:type="spellEnd"/>
            <w:r w:rsidRPr="006F3533">
              <w:rPr>
                <w:rFonts w:cs="Times New Roman"/>
                <w:sz w:val="20"/>
                <w:szCs w:val="20"/>
                <w:lang w:val="bg-BG"/>
              </w:rPr>
              <w:t xml:space="preserve"> </w:t>
            </w:r>
            <w:proofErr w:type="spellStart"/>
            <w:r w:rsidRPr="006F3533">
              <w:rPr>
                <w:rFonts w:cs="Times New Roman"/>
                <w:sz w:val="20"/>
                <w:szCs w:val="20"/>
                <w:lang w:val="bg-BG"/>
              </w:rPr>
              <w:t>gas</w:t>
            </w:r>
            <w:proofErr w:type="spellEnd"/>
            <w:r w:rsidRPr="006F3533">
              <w:rPr>
                <w:rFonts w:cs="Times New Roman"/>
                <w:sz w:val="20"/>
                <w:szCs w:val="20"/>
                <w:lang w:val="bg-BG"/>
              </w:rPr>
              <w:t xml:space="preserve"> </w:t>
            </w:r>
            <w:proofErr w:type="spellStart"/>
            <w:r w:rsidRPr="006F3533">
              <w:rPr>
                <w:rFonts w:cs="Times New Roman"/>
                <w:sz w:val="20"/>
                <w:szCs w:val="20"/>
                <w:lang w:val="bg-BG"/>
              </w:rPr>
              <w:t>emissions</w:t>
            </w:r>
            <w:proofErr w:type="spellEnd"/>
          </w:p>
          <w:p w14:paraId="567E513E" w14:textId="77777777" w:rsidR="00E6313A" w:rsidRPr="006F3533" w:rsidRDefault="00E6313A" w:rsidP="00541E06">
            <w:pPr>
              <w:spacing w:line="256"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kgCO2eq/(m².y)</w:t>
            </w:r>
          </w:p>
        </w:tc>
      </w:tr>
      <w:tr w:rsidR="00E6313A" w:rsidRPr="006F3533" w14:paraId="03A80979" w14:textId="77777777" w:rsidTr="00541E06">
        <w:trPr>
          <w:cnfStyle w:val="000000100000" w:firstRow="0" w:lastRow="0" w:firstColumn="0" w:lastColumn="0" w:oddVBand="0" w:evenVBand="0" w:oddHBand="1" w:evenHBand="0" w:firstRowFirstColumn="0" w:firstRowLastColumn="0" w:lastRowFirstColumn="0" w:lastRowLastColumn="0"/>
          <w:trHeight w:val="875"/>
        </w:trPr>
        <w:tc>
          <w:tcPr>
            <w:cnfStyle w:val="001000000000" w:firstRow="0" w:lastRow="0" w:firstColumn="1" w:lastColumn="0" w:oddVBand="0" w:evenVBand="0" w:oddHBand="0" w:evenHBand="0" w:firstRowFirstColumn="0" w:firstRowLastColumn="0" w:lastRowFirstColumn="0" w:lastRowLastColumn="0"/>
            <w:tcW w:w="2094" w:type="pct"/>
            <w:hideMark/>
          </w:tcPr>
          <w:p w14:paraId="562206D3" w14:textId="77777777" w:rsidR="00E6313A" w:rsidRPr="006F3533" w:rsidRDefault="00E6313A" w:rsidP="00541E06">
            <w:pPr>
              <w:spacing w:line="256" w:lineRule="auto"/>
              <w:contextualSpacing/>
              <w:jc w:val="both"/>
              <w:rPr>
                <w:rFonts w:cs="Times New Roman"/>
                <w:sz w:val="20"/>
                <w:szCs w:val="20"/>
                <w:lang w:val="bg-BG"/>
              </w:rPr>
            </w:pPr>
            <w:proofErr w:type="spellStart"/>
            <w:r w:rsidRPr="006F3533">
              <w:rPr>
                <w:rFonts w:cs="Times New Roman"/>
                <w:sz w:val="20"/>
                <w:szCs w:val="20"/>
                <w:lang w:val="bg-BG"/>
              </w:rPr>
              <w:t>Residential</w:t>
            </w:r>
            <w:proofErr w:type="spellEnd"/>
          </w:p>
        </w:tc>
        <w:tc>
          <w:tcPr>
            <w:tcW w:w="2906" w:type="pct"/>
            <w:hideMark/>
          </w:tcPr>
          <w:p w14:paraId="726CBF71"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color w:val="EE0000"/>
                <w:sz w:val="20"/>
                <w:szCs w:val="20"/>
                <w:lang w:val="bg-BG"/>
              </w:rPr>
            </w:pPr>
            <w:r w:rsidRPr="006F3533">
              <w:rPr>
                <w:rFonts w:cs="Times New Roman"/>
                <w:color w:val="EE0000"/>
                <w:sz w:val="20"/>
                <w:szCs w:val="20"/>
                <w:lang w:val="bg-BG"/>
              </w:rPr>
              <w:t>0,76</w:t>
            </w:r>
          </w:p>
          <w:p w14:paraId="50F93661"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color w:val="0070C0"/>
                <w:sz w:val="20"/>
                <w:szCs w:val="20"/>
                <w:lang w:val="bg-BG"/>
              </w:rPr>
            </w:pPr>
            <w:proofErr w:type="spellStart"/>
            <w:r w:rsidRPr="006F3533">
              <w:rPr>
                <w:rFonts w:cs="Times New Roman"/>
                <w:color w:val="0070C0"/>
                <w:sz w:val="20"/>
                <w:szCs w:val="20"/>
                <w:lang w:val="bg-BG"/>
              </w:rPr>
              <w:t>Value</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in</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Year</w:t>
            </w:r>
            <w:proofErr w:type="spellEnd"/>
            <w:r w:rsidRPr="006F3533">
              <w:rPr>
                <w:rFonts w:cs="Times New Roman"/>
                <w:color w:val="0070C0"/>
                <w:sz w:val="20"/>
                <w:szCs w:val="20"/>
                <w:lang w:val="bg-BG"/>
              </w:rPr>
              <w:t xml:space="preserve"> (X-2) – </w:t>
            </w:r>
            <w:proofErr w:type="spellStart"/>
            <w:r w:rsidRPr="006F3533">
              <w:rPr>
                <w:rFonts w:cs="Times New Roman"/>
                <w:color w:val="0070C0"/>
                <w:sz w:val="20"/>
                <w:szCs w:val="20"/>
                <w:lang w:val="bg-BG"/>
              </w:rPr>
              <w:t>value</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in</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the</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previous</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plan</w:t>
            </w:r>
            <w:proofErr w:type="spellEnd"/>
          </w:p>
        </w:tc>
      </w:tr>
      <w:tr w:rsidR="00E6313A" w:rsidRPr="006F3533" w14:paraId="6E2BF7B3" w14:textId="77777777" w:rsidTr="00541E06">
        <w:tc>
          <w:tcPr>
            <w:cnfStyle w:val="001000000000" w:firstRow="0" w:lastRow="0" w:firstColumn="1" w:lastColumn="0" w:oddVBand="0" w:evenVBand="0" w:oddHBand="0" w:evenHBand="0" w:firstRowFirstColumn="0" w:firstRowLastColumn="0" w:lastRowFirstColumn="0" w:lastRowLastColumn="0"/>
            <w:tcW w:w="2094" w:type="pct"/>
            <w:hideMark/>
          </w:tcPr>
          <w:p w14:paraId="60801F74" w14:textId="77777777" w:rsidR="00E6313A" w:rsidRPr="006F3533" w:rsidRDefault="00E6313A" w:rsidP="00541E06">
            <w:pPr>
              <w:spacing w:line="256" w:lineRule="auto"/>
              <w:contextualSpacing/>
              <w:jc w:val="both"/>
              <w:rPr>
                <w:rFonts w:cs="Times New Roman"/>
                <w:sz w:val="20"/>
                <w:szCs w:val="20"/>
                <w:lang w:val="bg-BG"/>
              </w:rPr>
            </w:pPr>
            <w:proofErr w:type="spellStart"/>
            <w:r w:rsidRPr="006F3533">
              <w:rPr>
                <w:rFonts w:cs="Times New Roman"/>
                <w:sz w:val="20"/>
                <w:szCs w:val="20"/>
                <w:lang w:val="bg-BG"/>
              </w:rPr>
              <w:t>Non-residential</w:t>
            </w:r>
            <w:proofErr w:type="spellEnd"/>
            <w:r w:rsidRPr="006F3533">
              <w:rPr>
                <w:rFonts w:cs="Times New Roman"/>
                <w:sz w:val="20"/>
                <w:szCs w:val="20"/>
                <w:lang w:val="bg-BG"/>
              </w:rPr>
              <w:t xml:space="preserve"> </w:t>
            </w:r>
          </w:p>
        </w:tc>
        <w:tc>
          <w:tcPr>
            <w:tcW w:w="2906" w:type="pct"/>
            <w:hideMark/>
          </w:tcPr>
          <w:p w14:paraId="2E437D55" w14:textId="77777777" w:rsidR="00E6313A" w:rsidRPr="006F3533" w:rsidRDefault="00E6313A" w:rsidP="00541E06">
            <w:pPr>
              <w:spacing w:line="256"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0070C0"/>
                <w:sz w:val="20"/>
                <w:szCs w:val="20"/>
                <w:lang w:val="bg-BG"/>
              </w:rPr>
            </w:pPr>
            <w:r w:rsidRPr="006F3533">
              <w:rPr>
                <w:rFonts w:cs="Times New Roman"/>
                <w:color w:val="EE0000"/>
                <w:sz w:val="20"/>
                <w:szCs w:val="20"/>
                <w:lang w:val="bg-BG"/>
              </w:rPr>
              <w:t>16.37</w:t>
            </w:r>
            <w:r w:rsidRPr="006F3533">
              <w:rPr>
                <w:rFonts w:cs="Times New Roman"/>
                <w:color w:val="EE0000"/>
                <w:sz w:val="20"/>
                <w:szCs w:val="20"/>
                <w:lang w:val="bg-BG"/>
              </w:rPr>
              <w:br/>
            </w:r>
            <w:proofErr w:type="spellStart"/>
            <w:r w:rsidRPr="006F3533">
              <w:rPr>
                <w:rFonts w:cs="Times New Roman"/>
                <w:color w:val="4472C4" w:themeColor="accent1"/>
                <w:sz w:val="20"/>
                <w:szCs w:val="20"/>
                <w:lang w:val="bg-BG"/>
              </w:rPr>
              <w:t>V</w:t>
            </w:r>
            <w:r w:rsidRPr="006F3533">
              <w:rPr>
                <w:rFonts w:cs="Times New Roman"/>
                <w:color w:val="0070C0"/>
                <w:sz w:val="20"/>
                <w:szCs w:val="20"/>
                <w:lang w:val="bg-BG"/>
              </w:rPr>
              <w:t>alue</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in</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the</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previous</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plan</w:t>
            </w:r>
            <w:proofErr w:type="spellEnd"/>
            <w:r w:rsidRPr="006F3533">
              <w:rPr>
                <w:rFonts w:cs="Times New Roman"/>
                <w:color w:val="0070C0"/>
                <w:sz w:val="20"/>
                <w:szCs w:val="20"/>
                <w:lang w:val="bg-BG"/>
              </w:rPr>
              <w:t xml:space="preserve"> 2019 – </w:t>
            </w:r>
            <w:proofErr w:type="spellStart"/>
            <w:r w:rsidRPr="006F3533">
              <w:rPr>
                <w:rFonts w:cs="Times New Roman"/>
                <w:color w:val="0070C0"/>
                <w:sz w:val="20"/>
                <w:szCs w:val="20"/>
                <w:lang w:val="bg-BG"/>
              </w:rPr>
              <w:t>Value</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in</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Year</w:t>
            </w:r>
            <w:proofErr w:type="spellEnd"/>
            <w:r w:rsidRPr="006F3533">
              <w:rPr>
                <w:rFonts w:cs="Times New Roman"/>
                <w:color w:val="0070C0"/>
                <w:sz w:val="20"/>
                <w:szCs w:val="20"/>
                <w:lang w:val="bg-BG"/>
              </w:rPr>
              <w:t xml:space="preserve"> 2023) </w:t>
            </w:r>
          </w:p>
        </w:tc>
      </w:tr>
      <w:tr w:rsidR="00E6313A" w:rsidRPr="006F3533" w14:paraId="6096545E"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4" w:type="pct"/>
            <w:hideMark/>
          </w:tcPr>
          <w:p w14:paraId="27CA755B" w14:textId="77777777" w:rsidR="00E6313A" w:rsidRPr="006F3533" w:rsidRDefault="00E6313A" w:rsidP="00541E06">
            <w:pPr>
              <w:spacing w:line="256" w:lineRule="auto"/>
              <w:contextualSpacing/>
              <w:jc w:val="both"/>
              <w:rPr>
                <w:rFonts w:cs="Times New Roman"/>
                <w:sz w:val="20"/>
                <w:szCs w:val="20"/>
                <w:lang w:val="bg-BG"/>
              </w:rPr>
            </w:pPr>
            <w:r w:rsidRPr="006F3533">
              <w:rPr>
                <w:rFonts w:cs="Times New Roman"/>
                <w:sz w:val="20"/>
                <w:szCs w:val="20"/>
                <w:lang w:val="bg-BG"/>
              </w:rPr>
              <w:t xml:space="preserve">Total </w:t>
            </w:r>
          </w:p>
        </w:tc>
        <w:tc>
          <w:tcPr>
            <w:tcW w:w="2906" w:type="pct"/>
            <w:hideMark/>
          </w:tcPr>
          <w:p w14:paraId="1D04EA1E" w14:textId="77777777" w:rsidR="00E6313A" w:rsidRPr="006F3533" w:rsidRDefault="00E6313A" w:rsidP="00541E06">
            <w:pPr>
              <w:spacing w:line="256"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roofErr w:type="spellStart"/>
            <w:r w:rsidRPr="006F3533">
              <w:rPr>
                <w:rFonts w:cs="Times New Roman"/>
                <w:color w:val="0070C0"/>
                <w:sz w:val="20"/>
                <w:szCs w:val="20"/>
                <w:lang w:val="bg-BG"/>
              </w:rPr>
              <w:t>Savings</w:t>
            </w:r>
            <w:proofErr w:type="spellEnd"/>
            <w:r w:rsidRPr="006F3533">
              <w:rPr>
                <w:rFonts w:cs="Times New Roman"/>
                <w:color w:val="0070C0"/>
                <w:sz w:val="20"/>
                <w:szCs w:val="20"/>
                <w:lang w:val="bg-BG"/>
              </w:rPr>
              <w:t xml:space="preserve"> </w:t>
            </w:r>
            <w:proofErr w:type="spellStart"/>
            <w:r w:rsidRPr="006F3533">
              <w:rPr>
                <w:rFonts w:cs="Times New Roman"/>
                <w:color w:val="0070C0"/>
                <w:sz w:val="20"/>
                <w:szCs w:val="20"/>
                <w:lang w:val="bg-BG"/>
              </w:rPr>
              <w:t>residential</w:t>
            </w:r>
            <w:proofErr w:type="spellEnd"/>
            <w:r w:rsidRPr="006F3533">
              <w:rPr>
                <w:rFonts w:cs="Times New Roman"/>
                <w:color w:val="0070C0"/>
                <w:sz w:val="20"/>
                <w:szCs w:val="20"/>
                <w:lang w:val="bg-BG"/>
              </w:rPr>
              <w:t xml:space="preserve"> + </w:t>
            </w:r>
            <w:proofErr w:type="spellStart"/>
            <w:r w:rsidRPr="006F3533">
              <w:rPr>
                <w:rFonts w:cs="Times New Roman"/>
                <w:color w:val="0070C0"/>
                <w:sz w:val="20"/>
                <w:szCs w:val="20"/>
                <w:lang w:val="bg-BG"/>
              </w:rPr>
              <w:t>non-residential</w:t>
            </w:r>
            <w:proofErr w:type="spellEnd"/>
          </w:p>
        </w:tc>
      </w:tr>
    </w:tbl>
    <w:p w14:paraId="022F8154" w14:textId="77777777" w:rsidR="00E6313A" w:rsidRPr="006F3533" w:rsidRDefault="00E6313A" w:rsidP="00E6313A">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НСИ, собствени изчисления</w:t>
      </w:r>
    </w:p>
    <w:p w14:paraId="73812B8F" w14:textId="77777777" w:rsidR="00E6313A" w:rsidRPr="006F3533" w:rsidRDefault="00E6313A" w:rsidP="00E6313A">
      <w:pPr>
        <w:pStyle w:val="Heading2"/>
        <w:jc w:val="both"/>
        <w:rPr>
          <w:lang w:val="bg-BG"/>
        </w:rPr>
      </w:pPr>
      <w:bookmarkStart w:id="106" w:name="_Toc217837118"/>
      <w:bookmarkStart w:id="107" w:name="_Toc217888772"/>
      <w:r w:rsidRPr="006F3533">
        <w:rPr>
          <w:lang w:val="bg-BG"/>
        </w:rPr>
        <w:t>Очаквани по-широки ползи: % намаление на броя на хората, засегнати от енергийна бедност</w:t>
      </w:r>
      <w:bookmarkEnd w:id="106"/>
      <w:bookmarkEnd w:id="107"/>
    </w:p>
    <w:p w14:paraId="1F626C2D" w14:textId="3D71080F" w:rsidR="00BB7EA0" w:rsidRPr="006F3533" w:rsidRDefault="00E6313A" w:rsidP="00E6313A">
      <w:pPr>
        <w:jc w:val="both"/>
        <w:rPr>
          <w:lang w:val="bg-BG"/>
        </w:rPr>
      </w:pPr>
      <w:r w:rsidRPr="006F3533">
        <w:rPr>
          <w:rFonts w:cs="Times New Roman"/>
          <w:szCs w:val="24"/>
          <w:lang w:val="bg-BG"/>
        </w:rPr>
        <w:t xml:space="preserve">Предложение на ИИИ при БАН от темата на фокус в годишния </w:t>
      </w:r>
      <w:hyperlink r:id="rId31" w:history="1">
        <w:r w:rsidRPr="006F3533">
          <w:rPr>
            <w:rFonts w:cs="Times New Roman"/>
            <w:szCs w:val="24"/>
            <w:u w:val="single"/>
            <w:lang w:val="bg-BG"/>
          </w:rPr>
          <w:t>доклад</w:t>
        </w:r>
      </w:hyperlink>
      <w:r w:rsidRPr="006F3533">
        <w:rPr>
          <w:rFonts w:cs="Times New Roman"/>
          <w:szCs w:val="24"/>
          <w:vertAlign w:val="superscript"/>
          <w:lang w:val="bg-BG"/>
        </w:rPr>
        <w:footnoteReference w:id="28"/>
      </w:r>
      <w:r w:rsidRPr="006F3533">
        <w:rPr>
          <w:rFonts w:cs="Times New Roman"/>
          <w:szCs w:val="24"/>
          <w:lang w:val="bg-BG"/>
        </w:rPr>
        <w:t xml:space="preserve"> на института за 2024 г. е за следните цели: „Важно е да се постигне реално повишаване на енергийната ефективност на домакинствата и енергийна независимост чрез използване на енергия от възобновяеми източници в широк мащаб – за минимум 10% от домакинствата в България до 2030 г. (280 хил. домакинства), 30% до 2040 г. (860 хил. домакинства) и 50% до 2050 г. (1.4 млн. домакинства). Препоръчително е инвестиционните мерки да залагат поне 1/3 от ресурса си приоритетно за енергийно бедните домакинства, освен когато е изрично изискано този дял да достига 100% (в случая на СКФ и схемите за задължения за енергийни спестявания на енергийните доставчици). Това означава намаляване на енергийната бедност със 180 хил. домакинства до 2030 г., допълнителни 250 хил. домакинства до 2040 г. и още 300 хил. до 2050 г. Без планиране на мерки за постигане на дългосрочни резултати при домакинствата, отлагането на либерализацията може да </w:t>
      </w:r>
      <w:r w:rsidRPr="006F3533">
        <w:rPr>
          <w:rFonts w:cs="Times New Roman"/>
          <w:szCs w:val="24"/>
          <w:lang w:val="bg-BG"/>
        </w:rPr>
        <w:lastRenderedPageBreak/>
        <w:t>продължи за неопределен период, и с това енергийната бедност да запази високите си нива без съществена промяна.“</w:t>
      </w:r>
    </w:p>
    <w:p w14:paraId="49DC03AC" w14:textId="7F7AA6EA" w:rsidR="0074611C" w:rsidRPr="006F3533" w:rsidRDefault="0074611C" w:rsidP="00077D42">
      <w:pPr>
        <w:pStyle w:val="Heading1"/>
        <w:jc w:val="both"/>
        <w:rPr>
          <w:b w:val="0"/>
          <w:lang w:val="bg-BG"/>
        </w:rPr>
      </w:pPr>
      <w:bookmarkStart w:id="108" w:name="_Toc217888773"/>
      <w:r w:rsidRPr="006F3533">
        <w:rPr>
          <w:lang w:val="bg-BG"/>
        </w:rPr>
        <w:t>Обобщена характеристика на нежилищния сграден фонд в България</w:t>
      </w:r>
      <w:bookmarkEnd w:id="108"/>
    </w:p>
    <w:p w14:paraId="0E1EEA32" w14:textId="19D111DB" w:rsidR="00FD1FA6" w:rsidRPr="006F3533" w:rsidRDefault="00FD1FA6" w:rsidP="00FD1FA6">
      <w:pPr>
        <w:pStyle w:val="Heading2"/>
        <w:rPr>
          <w:lang w:val="bg-BG"/>
        </w:rPr>
      </w:pPr>
      <w:bookmarkStart w:id="109" w:name="_Toc217888774"/>
      <w:r w:rsidRPr="006F3533">
        <w:rPr>
          <w:lang w:val="bg-BG"/>
        </w:rPr>
        <w:t>Методология</w:t>
      </w:r>
      <w:bookmarkEnd w:id="109"/>
    </w:p>
    <w:p w14:paraId="1885AA24" w14:textId="30141964" w:rsidR="0074611C" w:rsidRPr="006F3533" w:rsidRDefault="0074611C" w:rsidP="00FD1FA6">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Настоящият подраздел представя обобщена количествена характеристика на нежилищния сграден фонд в България, която служи като основа за планиране на политики и мерки в областта на енергийната ефективност и обновяването на сградите. Анализът е ограничен изцяло до нежилищни сгради, независимо</w:t>
      </w:r>
      <w:r w:rsidR="000C44D1" w:rsidRPr="006F3533">
        <w:rPr>
          <w:rFonts w:eastAsia="Times New Roman" w:cs="Times New Roman"/>
          <w:szCs w:val="24"/>
          <w:lang w:val="bg-BG"/>
        </w:rPr>
        <w:t>,</w:t>
      </w:r>
      <w:r w:rsidRPr="006F3533">
        <w:rPr>
          <w:rFonts w:eastAsia="Times New Roman" w:cs="Times New Roman"/>
          <w:szCs w:val="24"/>
          <w:lang w:val="bg-BG"/>
        </w:rPr>
        <w:t xml:space="preserve"> че </w:t>
      </w:r>
      <w:r w:rsidR="000C44D1" w:rsidRPr="006F3533">
        <w:rPr>
          <w:rFonts w:eastAsia="Times New Roman" w:cs="Times New Roman"/>
          <w:szCs w:val="24"/>
          <w:lang w:val="bg-BG"/>
        </w:rPr>
        <w:t xml:space="preserve">с цел улеснение на бъдещата работа, </w:t>
      </w:r>
      <w:r w:rsidRPr="006F3533">
        <w:rPr>
          <w:rFonts w:eastAsia="Times New Roman" w:cs="Times New Roman"/>
          <w:szCs w:val="24"/>
          <w:lang w:val="bg-BG"/>
        </w:rPr>
        <w:t>използваният образец от Европейската комисия (ЕК) е общ за всички видове сгради.</w:t>
      </w:r>
    </w:p>
    <w:p w14:paraId="00F4848A" w14:textId="50C6D092" w:rsidR="0074611C" w:rsidRPr="006F3533" w:rsidRDefault="0074611C"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В съответствие с изискванията на образеца за Националните планове за обновяване на сградите, базовата година за сравнение е 2020 г. Поради липса на официално консолидирани данни точно за 2020 г., за базова година са използвани данни, актуални към края на 2019 г., които са били използвани и в Националната дългосрочна стратегия за обновяване на сградния фонд.</w:t>
      </w:r>
      <w:r w:rsidR="00FD1FA6" w:rsidRPr="006F3533">
        <w:rPr>
          <w:rFonts w:eastAsia="Times New Roman" w:cs="Times New Roman"/>
          <w:szCs w:val="24"/>
          <w:lang w:val="bg-BG"/>
        </w:rPr>
        <w:t xml:space="preserve"> </w:t>
      </w:r>
      <w:r w:rsidRPr="006F3533">
        <w:rPr>
          <w:rFonts w:eastAsia="Times New Roman" w:cs="Times New Roman"/>
          <w:szCs w:val="24"/>
          <w:lang w:val="bg-BG"/>
        </w:rPr>
        <w:t>Данните за текущото състояние на нежилищния сграден фонд са отчетени към ноември 2025 г., което съответства на референтната година X-2 по смисъла на образеца. По този начин настоящият план използва по-актуални официални данни от минимално изискуемите, като годината на отчитане е изрично посочена с цел прозрачност и съпоставимост.</w:t>
      </w:r>
    </w:p>
    <w:p w14:paraId="772F5759" w14:textId="77777777" w:rsidR="00FD1FA6" w:rsidRPr="006F3533" w:rsidRDefault="0074611C"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Към момента в България не съществува единен национален регистър на сградния фонд, който да съдържа пълна и структурирана информация за всички сгради. Поради това като основен източник на данни е използван Националният кадастър, поддържан от Агенцията по геодезия, картография и кадастър (АГКК).</w:t>
      </w:r>
      <w:r w:rsidR="00FD1FA6" w:rsidRPr="006F3533">
        <w:rPr>
          <w:rFonts w:eastAsia="Times New Roman" w:cs="Times New Roman"/>
          <w:szCs w:val="24"/>
          <w:lang w:val="bg-BG"/>
        </w:rPr>
        <w:t xml:space="preserve"> </w:t>
      </w:r>
      <w:r w:rsidRPr="006F3533">
        <w:rPr>
          <w:rFonts w:eastAsia="Times New Roman" w:cs="Times New Roman"/>
          <w:szCs w:val="24"/>
          <w:lang w:val="bg-BG"/>
        </w:rPr>
        <w:t>От АГКК е предоставена специализирана справка за нежилищните сгради, актуална към ноември 2025 г., която съдържа за всяка кадастрална категория информация за броя на сградите, площта на застроеното петно върху кадастралната карта, броя на етажите и вида на собствеността.</w:t>
      </w:r>
      <w:r w:rsidR="00FD1FA6" w:rsidRPr="006F3533">
        <w:rPr>
          <w:rFonts w:eastAsia="Times New Roman" w:cs="Times New Roman"/>
          <w:szCs w:val="24"/>
          <w:lang w:val="bg-BG"/>
        </w:rPr>
        <w:t xml:space="preserve"> </w:t>
      </w:r>
    </w:p>
    <w:p w14:paraId="37955B80" w14:textId="4D3BC22C" w:rsidR="0074611C" w:rsidRPr="006F3533" w:rsidRDefault="0074611C"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В кадастралната система не се съдържа директна информация за разгънатата застроена площ. За целите на настоящия план тя е определена приблизително чрез съотнасяне на площта на застроеното петно към броя на етажите. Приема се, че за стратегическо и дългосрочно планиране този подход осигурява достатъчна точност и надеждност.</w:t>
      </w:r>
      <w:r w:rsidR="00FD1FA6" w:rsidRPr="006F3533">
        <w:rPr>
          <w:rFonts w:eastAsia="Times New Roman" w:cs="Times New Roman"/>
          <w:szCs w:val="24"/>
          <w:lang w:val="bg-BG"/>
        </w:rPr>
        <w:t xml:space="preserve"> </w:t>
      </w:r>
      <w:r w:rsidRPr="006F3533">
        <w:rPr>
          <w:rFonts w:eastAsia="Times New Roman" w:cs="Times New Roman"/>
          <w:szCs w:val="24"/>
          <w:lang w:val="bg-BG"/>
        </w:rPr>
        <w:t>Предоставената от АГКК информация първоначално е структурирана по кадастрални категории. След това сградите са съотнесени към категориите нежилищни сгради, използвани при сертифицирането на енергийните характеристики съгласно Закона за енергийната ефективност (ЗЕЕ). Именно тези категории се приемат като референтни и ще бъдат използвани последователно в настоящия и в следващите национални планове.</w:t>
      </w:r>
    </w:p>
    <w:p w14:paraId="6A7B4D24" w14:textId="77777777" w:rsidR="000F16D5" w:rsidRPr="006F3533" w:rsidRDefault="000F16D5" w:rsidP="000F16D5">
      <w:pPr>
        <w:jc w:val="both"/>
        <w:rPr>
          <w:lang w:val="bg-BG"/>
        </w:rPr>
      </w:pPr>
      <w:r w:rsidRPr="006F3533">
        <w:rPr>
          <w:lang w:val="bg-BG"/>
        </w:rPr>
        <w:t xml:space="preserve">Сградите, които не подлежат на задължително сертифициране съгласно ЗЕЕ, не са изключени от обхвата на анализа, а са идентифицирани и обобщени отделно. Информацията за тях е изведена на самостоятелен ред в таблицата с цел ясно разграничаване от сградите за които се прилагат изискванията за сертифициране. При </w:t>
      </w:r>
      <w:r w:rsidRPr="006F3533">
        <w:rPr>
          <w:lang w:val="bg-BG"/>
        </w:rPr>
        <w:lastRenderedPageBreak/>
        <w:t>съпоставяне на първоначално извлечените от кадастъра данни за общата площ на нежилищните сгради с официално отчетеното крайно енергийно потребление на сектор „Търговия и услуги“ за 2023 г., публикувано от Националния статистически институт, се установява, че получената средна енергийна характеристика на нежилищния сграден фонд е необичайно ниска и нереалистична. Това несъответствие показва, че кадастралната площ надценява действително използваната и енергийно активна площ на сградите.</w:t>
      </w:r>
    </w:p>
    <w:p w14:paraId="174B42EF" w14:textId="77777777" w:rsidR="000F16D5" w:rsidRPr="006F3533" w:rsidRDefault="000F16D5" w:rsidP="000F16D5">
      <w:pPr>
        <w:jc w:val="both"/>
        <w:rPr>
          <w:lang w:val="bg-BG"/>
        </w:rPr>
      </w:pPr>
      <w:r w:rsidRPr="006F3533">
        <w:rPr>
          <w:lang w:val="bg-BG"/>
        </w:rPr>
        <w:t>Подобно отклонение е очаквано, тъй като в кадастъра са включени всички сгради и сграден фонд, независимо от тяхното реално използване, включително изоставени сгради, сгради или части от сгради, които се използват рядко или частично, както и площи, които не се отопляват или охлаждат и не формират реално енергийно потребление.</w:t>
      </w:r>
    </w:p>
    <w:p w14:paraId="3D539108" w14:textId="77777777" w:rsidR="000F16D5" w:rsidRPr="006F3533" w:rsidRDefault="000F16D5" w:rsidP="000F16D5">
      <w:pPr>
        <w:jc w:val="both"/>
        <w:rPr>
          <w:lang w:val="bg-BG"/>
        </w:rPr>
      </w:pPr>
      <w:r w:rsidRPr="006F3533">
        <w:rPr>
          <w:lang w:val="bg-BG"/>
        </w:rPr>
        <w:t>С цел постигане на по-реалистична и аналитично приложима оценка на нежилищния сграден фонд е приложен поетапен корекционен подход, основан на комбинация от данни от национални регистри и официална статистика.</w:t>
      </w:r>
    </w:p>
    <w:p w14:paraId="49EFC150" w14:textId="77777777" w:rsidR="000F16D5" w:rsidRPr="006F3533" w:rsidRDefault="000F16D5" w:rsidP="000F16D5">
      <w:pPr>
        <w:jc w:val="both"/>
        <w:rPr>
          <w:lang w:val="bg-BG"/>
        </w:rPr>
      </w:pPr>
      <w:r w:rsidRPr="006F3533">
        <w:rPr>
          <w:lang w:val="bg-BG"/>
        </w:rPr>
        <w:t>На първо място, чрез националната база данни за енергийните характеристики на сградите, поддържана от Агенцията за устойчиво енергийно развитие (АУЕР), е определен точният брой и площ на вече обновените нежилищни сгради, включително сградите, сертифицирани като сгради с близко до нулево потребление на енергия (СБНПЕ), както и сградите с енергиен клас A и B. Тези сгради са сертифицирани и представляват надеждна подгрупа с ясно дефинирани енергийни характеристики.</w:t>
      </w:r>
    </w:p>
    <w:p w14:paraId="0DD7F900" w14:textId="77777777" w:rsidR="000F16D5" w:rsidRPr="006F3533" w:rsidRDefault="000F16D5" w:rsidP="000F16D5">
      <w:pPr>
        <w:jc w:val="both"/>
        <w:rPr>
          <w:lang w:val="bg-BG"/>
        </w:rPr>
      </w:pPr>
      <w:r w:rsidRPr="006F3533">
        <w:rPr>
          <w:lang w:val="bg-BG"/>
        </w:rPr>
        <w:t>На второ място, е отчетен темпът на ново строителство на нежилищни сгради въз основа на официални данни на Националния статистически институт, което позволява коректно отчитане на нарастването на сградния фонд с високи енергийни характеристики.</w:t>
      </w:r>
    </w:p>
    <w:p w14:paraId="31782DCC" w14:textId="77777777" w:rsidR="000F16D5" w:rsidRPr="006F3533" w:rsidRDefault="000F16D5" w:rsidP="000F16D5">
      <w:pPr>
        <w:jc w:val="both"/>
        <w:rPr>
          <w:lang w:val="bg-BG"/>
        </w:rPr>
      </w:pPr>
      <w:r w:rsidRPr="006F3533">
        <w:rPr>
          <w:lang w:val="bg-BG"/>
        </w:rPr>
        <w:t xml:space="preserve">На трето място, за останалите нежилищни сгради с по-ниски енергийни класове (от C до G) е определена средна енергийна характеристика по крайна енергия въз основа на информация от базата данни на АУЕР. При това е отчетено, че енергийните характеристики се определят спрямо </w:t>
      </w:r>
      <w:proofErr w:type="spellStart"/>
      <w:r w:rsidRPr="006F3533">
        <w:rPr>
          <w:lang w:val="bg-BG"/>
        </w:rPr>
        <w:t>кондиционираната</w:t>
      </w:r>
      <w:proofErr w:type="spellEnd"/>
      <w:r w:rsidRPr="006F3533">
        <w:rPr>
          <w:lang w:val="bg-BG"/>
        </w:rPr>
        <w:t xml:space="preserve"> площ, а не спрямо разгънатата застроена площ (РЗП). Поради това от базата данни е изведено средното съотношение между </w:t>
      </w:r>
      <w:proofErr w:type="spellStart"/>
      <w:r w:rsidRPr="006F3533">
        <w:rPr>
          <w:lang w:val="bg-BG"/>
        </w:rPr>
        <w:t>кондиционираната</w:t>
      </w:r>
      <w:proofErr w:type="spellEnd"/>
      <w:r w:rsidRPr="006F3533">
        <w:rPr>
          <w:lang w:val="bg-BG"/>
        </w:rPr>
        <w:t xml:space="preserve"> площ и РЗП, което е използвано при корекцията на изчисленията.</w:t>
      </w:r>
    </w:p>
    <w:p w14:paraId="6A81B8CF" w14:textId="77777777" w:rsidR="000F16D5" w:rsidRPr="006F3533" w:rsidRDefault="000F16D5" w:rsidP="000F16D5">
      <w:pPr>
        <w:jc w:val="both"/>
        <w:rPr>
          <w:lang w:val="bg-BG"/>
        </w:rPr>
      </w:pPr>
      <w:r w:rsidRPr="006F3533">
        <w:rPr>
          <w:lang w:val="bg-BG"/>
        </w:rPr>
        <w:t>Допълнително е отчетена разликата между нормализираното енергийно потребление, използвано при сертифициране на сградите (съответстващо на нормативните вътрешни температури), и действителното енергийно потребление, отчетено в статистиката на НСИ, което по-скоро отразява измереното потребление по фактури. За осигуряване на съпоставимост между тези два подхода е приложен корекционен коефициент, определен въз основа на данните в базата на АУЕР за съотношението между нормализираното крайно енергийно потребление и действително измереното потребление за сертифицираните сгради във всеки енергиен клас.</w:t>
      </w:r>
    </w:p>
    <w:p w14:paraId="0D9BC4E7" w14:textId="77777777" w:rsidR="000F16D5" w:rsidRPr="006F3533" w:rsidRDefault="000F16D5" w:rsidP="000F16D5">
      <w:pPr>
        <w:jc w:val="both"/>
        <w:rPr>
          <w:lang w:val="bg-BG"/>
        </w:rPr>
      </w:pPr>
      <w:r w:rsidRPr="006F3533">
        <w:rPr>
          <w:lang w:val="bg-BG"/>
        </w:rPr>
        <w:lastRenderedPageBreak/>
        <w:t xml:space="preserve">В резултат на описаната методология, в Таблица 1 са представени коригираните стойности за броя и площта на нежилищните сгради, които осигуряват реалистична връзка между сградния фонд и официално отчетеното енергийно потребление. </w:t>
      </w:r>
    </w:p>
    <w:p w14:paraId="39E48A07" w14:textId="2BDD9462" w:rsidR="00FC442E" w:rsidRPr="006F3533" w:rsidRDefault="000F16D5" w:rsidP="000F16D5">
      <w:pPr>
        <w:jc w:val="both"/>
        <w:rPr>
          <w:lang w:val="bg-BG"/>
        </w:rPr>
      </w:pPr>
      <w:r w:rsidRPr="006F3533">
        <w:rPr>
          <w:lang w:val="bg-BG"/>
        </w:rPr>
        <w:t>Данните за тези сгради са отчетени и използвани последователно и в последващите раздели на плана при определяне на обхвата и приложимостта на отделните политики и мерки.</w:t>
      </w:r>
    </w:p>
    <w:p w14:paraId="0C331CF5" w14:textId="1FEA8B18" w:rsidR="00FD1FA6" w:rsidRPr="006F3533" w:rsidRDefault="00FD1FA6" w:rsidP="00FD1FA6">
      <w:pPr>
        <w:pStyle w:val="Heading2"/>
        <w:rPr>
          <w:lang w:val="bg-BG"/>
        </w:rPr>
      </w:pPr>
      <w:bookmarkStart w:id="110" w:name="_Toc217888775"/>
      <w:r w:rsidRPr="006F3533">
        <w:rPr>
          <w:lang w:val="bg-BG"/>
        </w:rPr>
        <w:t>Брой и обща разгъната площ на сградите</w:t>
      </w:r>
      <w:bookmarkEnd w:id="110"/>
    </w:p>
    <w:p w14:paraId="403B0AE4" w14:textId="77777777" w:rsidR="000F16D5" w:rsidRPr="006F3533" w:rsidRDefault="000F16D5" w:rsidP="000F16D5">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Данните, представени в Таблица 1, показват, че към текущата референтна година (X-2), за която са използвани данни, актуални към ноември 2025 г., общият брой на нежилищните сгради в България, който е значим за нуждите на настоящия план възлиза на 354 520, с приблизителна обща разгъната застроена площ от около 94,2 млн. m².</w:t>
      </w:r>
    </w:p>
    <w:p w14:paraId="341DA4F2" w14:textId="77777777" w:rsidR="000F16D5" w:rsidRPr="006F3533" w:rsidRDefault="000F16D5" w:rsidP="000F16D5">
      <w:pPr>
        <w:spacing w:line="240" w:lineRule="auto"/>
        <w:jc w:val="both"/>
        <w:rPr>
          <w:rFonts w:cs="Times New Roman"/>
          <w:i/>
          <w:iCs/>
          <w:color w:val="0070C0"/>
          <w:szCs w:val="24"/>
          <w:lang w:val="bg-BG"/>
        </w:rPr>
      </w:pPr>
      <w:r w:rsidRPr="006F3533">
        <w:rPr>
          <w:rFonts w:cs="Times New Roman"/>
          <w:i/>
          <w:iCs/>
          <w:color w:val="0070C0"/>
          <w:szCs w:val="24"/>
          <w:lang w:val="bg-BG"/>
        </w:rPr>
        <w:t>Таблица 1. Брой и обща разгъната площ на сградите (m²) по типове сгради</w:t>
      </w:r>
    </w:p>
    <w:tbl>
      <w:tblPr>
        <w:tblStyle w:val="TableGrid"/>
        <w:tblW w:w="5000" w:type="pct"/>
        <w:tblLook w:val="04A0" w:firstRow="1" w:lastRow="0" w:firstColumn="1" w:lastColumn="0" w:noHBand="0" w:noVBand="1"/>
      </w:tblPr>
      <w:tblGrid>
        <w:gridCol w:w="761"/>
        <w:gridCol w:w="2352"/>
        <w:gridCol w:w="862"/>
        <w:gridCol w:w="1167"/>
        <w:gridCol w:w="1265"/>
        <w:gridCol w:w="1388"/>
        <w:gridCol w:w="1267"/>
      </w:tblGrid>
      <w:tr w:rsidR="000F16D5" w:rsidRPr="006F3533" w14:paraId="6C3E0C57" w14:textId="77777777" w:rsidTr="002C1F20">
        <w:trPr>
          <w:trHeight w:val="292"/>
        </w:trPr>
        <w:tc>
          <w:tcPr>
            <w:tcW w:w="428" w:type="pct"/>
            <w:vMerge w:val="restart"/>
            <w:shd w:val="clear" w:color="auto" w:fill="D0CECE" w:themeFill="background2" w:themeFillShade="E6"/>
          </w:tcPr>
          <w:p w14:paraId="704DA2C4" w14:textId="77777777" w:rsidR="000F16D5" w:rsidRPr="006F3533" w:rsidRDefault="000F16D5" w:rsidP="002C1F20">
            <w:pPr>
              <w:pStyle w:val="ListParagraph"/>
              <w:ind w:left="0"/>
              <w:jc w:val="both"/>
              <w:rPr>
                <w:rFonts w:cs="Times New Roman"/>
                <w:szCs w:val="24"/>
                <w:lang w:val="bg-BG"/>
              </w:rPr>
            </w:pPr>
            <w:bookmarkStart w:id="111" w:name="_Hlk213846181"/>
            <w:proofErr w:type="spellStart"/>
            <w:r w:rsidRPr="006F3533">
              <w:rPr>
                <w:rFonts w:cs="Times New Roman"/>
                <w:szCs w:val="24"/>
                <w:lang w:val="bg-BG"/>
              </w:rPr>
              <w:t>Code</w:t>
            </w:r>
            <w:proofErr w:type="spellEnd"/>
          </w:p>
        </w:tc>
        <w:tc>
          <w:tcPr>
            <w:tcW w:w="1306" w:type="pct"/>
            <w:vMerge w:val="restart"/>
            <w:shd w:val="clear" w:color="auto" w:fill="D0CECE" w:themeFill="background2" w:themeFillShade="E6"/>
          </w:tcPr>
          <w:p w14:paraId="6D6A24A6"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Building</w:t>
            </w:r>
          </w:p>
          <w:p w14:paraId="1C0CE06E"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Type</w:t>
            </w:r>
            <w:proofErr w:type="spellEnd"/>
          </w:p>
        </w:tc>
        <w:tc>
          <w:tcPr>
            <w:tcW w:w="427" w:type="pct"/>
            <w:vMerge w:val="restart"/>
            <w:shd w:val="clear" w:color="auto" w:fill="D0CECE" w:themeFill="background2" w:themeFillShade="E6"/>
          </w:tcPr>
          <w:p w14:paraId="350A93A2"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M/</w:t>
            </w:r>
          </w:p>
          <w:p w14:paraId="71CE861D"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358" w:type="pct"/>
            <w:gridSpan w:val="2"/>
            <w:shd w:val="clear" w:color="auto" w:fill="D0CECE" w:themeFill="background2" w:themeFillShade="E6"/>
          </w:tcPr>
          <w:p w14:paraId="1AFC05B1"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No</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r w:rsidRPr="006F3533">
              <w:rPr>
                <w:rFonts w:cs="Times New Roman"/>
                <w:szCs w:val="24"/>
                <w:lang w:val="bg-BG"/>
              </w:rPr>
              <w:t xml:space="preserve"> / </w:t>
            </w:r>
            <w:proofErr w:type="spellStart"/>
            <w:r w:rsidRPr="006F3533">
              <w:rPr>
                <w:rFonts w:cs="Times New Roman"/>
                <w:szCs w:val="24"/>
                <w:lang w:val="bg-BG"/>
              </w:rPr>
              <w:t>building</w:t>
            </w:r>
            <w:proofErr w:type="spellEnd"/>
            <w:r w:rsidRPr="006F3533">
              <w:rPr>
                <w:rFonts w:cs="Times New Roman"/>
                <w:szCs w:val="24"/>
                <w:lang w:val="bg-BG"/>
              </w:rPr>
              <w:t xml:space="preserve"> </w:t>
            </w:r>
            <w:proofErr w:type="spellStart"/>
            <w:r w:rsidRPr="006F3533">
              <w:rPr>
                <w:rFonts w:cs="Times New Roman"/>
                <w:szCs w:val="24"/>
                <w:lang w:val="bg-BG"/>
              </w:rPr>
              <w:t>units</w:t>
            </w:r>
            <w:proofErr w:type="spellEnd"/>
          </w:p>
        </w:tc>
        <w:tc>
          <w:tcPr>
            <w:tcW w:w="1481" w:type="pct"/>
            <w:gridSpan w:val="2"/>
            <w:shd w:val="clear" w:color="auto" w:fill="D0CECE" w:themeFill="background2" w:themeFillShade="E6"/>
          </w:tcPr>
          <w:p w14:paraId="51731437"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Floor</w:t>
            </w:r>
            <w:proofErr w:type="spellEnd"/>
            <w:r w:rsidRPr="006F3533">
              <w:rPr>
                <w:rFonts w:cs="Times New Roman"/>
                <w:szCs w:val="24"/>
                <w:lang w:val="bg-BG"/>
              </w:rPr>
              <w:t xml:space="preserve"> </w:t>
            </w:r>
            <w:proofErr w:type="spellStart"/>
            <w:r w:rsidRPr="006F3533">
              <w:rPr>
                <w:rFonts w:cs="Times New Roman"/>
                <w:szCs w:val="24"/>
                <w:lang w:val="bg-BG"/>
              </w:rPr>
              <w:t>area</w:t>
            </w:r>
            <w:proofErr w:type="spellEnd"/>
            <w:r w:rsidRPr="006F3533">
              <w:rPr>
                <w:rFonts w:cs="Times New Roman"/>
                <w:szCs w:val="24"/>
                <w:lang w:val="bg-BG"/>
              </w:rPr>
              <w:t xml:space="preserve"> </w:t>
            </w:r>
          </w:p>
          <w:p w14:paraId="46DB75AB"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(m²)</w:t>
            </w:r>
          </w:p>
        </w:tc>
      </w:tr>
      <w:tr w:rsidR="000F16D5" w:rsidRPr="006F3533" w14:paraId="60A4EA8A" w14:textId="77777777" w:rsidTr="002C1F20">
        <w:trPr>
          <w:trHeight w:val="292"/>
        </w:trPr>
        <w:tc>
          <w:tcPr>
            <w:tcW w:w="428" w:type="pct"/>
            <w:vMerge/>
            <w:shd w:val="clear" w:color="auto" w:fill="D0CECE" w:themeFill="background2" w:themeFillShade="E6"/>
          </w:tcPr>
          <w:p w14:paraId="236C630A" w14:textId="77777777" w:rsidR="000F16D5" w:rsidRPr="006F3533" w:rsidRDefault="000F16D5" w:rsidP="002C1F20">
            <w:pPr>
              <w:pStyle w:val="ListParagraph"/>
              <w:ind w:left="0"/>
              <w:jc w:val="both"/>
              <w:rPr>
                <w:rFonts w:cs="Times New Roman"/>
                <w:szCs w:val="24"/>
                <w:lang w:val="bg-BG"/>
              </w:rPr>
            </w:pPr>
          </w:p>
        </w:tc>
        <w:tc>
          <w:tcPr>
            <w:tcW w:w="1306" w:type="pct"/>
            <w:vMerge/>
            <w:shd w:val="clear" w:color="auto" w:fill="D0CECE" w:themeFill="background2" w:themeFillShade="E6"/>
          </w:tcPr>
          <w:p w14:paraId="10202CCF" w14:textId="77777777" w:rsidR="000F16D5" w:rsidRPr="006F3533" w:rsidRDefault="000F16D5" w:rsidP="002C1F20">
            <w:pPr>
              <w:pStyle w:val="ListParagraph"/>
              <w:ind w:left="0"/>
              <w:jc w:val="both"/>
              <w:rPr>
                <w:rFonts w:cs="Times New Roman"/>
                <w:szCs w:val="24"/>
                <w:lang w:val="bg-BG"/>
              </w:rPr>
            </w:pPr>
          </w:p>
        </w:tc>
        <w:tc>
          <w:tcPr>
            <w:tcW w:w="427" w:type="pct"/>
            <w:vMerge/>
            <w:shd w:val="clear" w:color="auto" w:fill="D0CECE" w:themeFill="background2" w:themeFillShade="E6"/>
          </w:tcPr>
          <w:p w14:paraId="3D63C130" w14:textId="77777777" w:rsidR="000F16D5" w:rsidRPr="006F3533" w:rsidRDefault="000F16D5" w:rsidP="002C1F20">
            <w:pPr>
              <w:pStyle w:val="ListParagraph"/>
              <w:ind w:left="0"/>
              <w:jc w:val="both"/>
              <w:rPr>
                <w:rFonts w:cs="Times New Roman"/>
                <w:szCs w:val="24"/>
                <w:lang w:val="bg-BG"/>
              </w:rPr>
            </w:pPr>
          </w:p>
        </w:tc>
        <w:tc>
          <w:tcPr>
            <w:tcW w:w="652" w:type="pct"/>
            <w:shd w:val="clear" w:color="auto" w:fill="D0CECE" w:themeFill="background2" w:themeFillShade="E6"/>
          </w:tcPr>
          <w:p w14:paraId="36F72CEC" w14:textId="77777777" w:rsidR="000F16D5" w:rsidRPr="006F3533" w:rsidRDefault="000F16D5" w:rsidP="002C1F20">
            <w:pPr>
              <w:pStyle w:val="ListParagraph"/>
              <w:ind w:left="0"/>
              <w:jc w:val="both"/>
              <w:rPr>
                <w:rFonts w:cs="Times New Roman"/>
                <w:color w:val="EE0000"/>
                <w:szCs w:val="24"/>
                <w:lang w:val="bg-BG"/>
              </w:rPr>
            </w:pPr>
            <w:proofErr w:type="spellStart"/>
            <w:r w:rsidRPr="006F3533">
              <w:rPr>
                <w:rFonts w:cs="Times New Roman"/>
                <w:color w:val="EE0000"/>
                <w:szCs w:val="24"/>
                <w:lang w:val="bg-BG"/>
              </w:rPr>
              <w:t>Year</w:t>
            </w:r>
            <w:proofErr w:type="spellEnd"/>
            <w:r w:rsidRPr="006F3533">
              <w:rPr>
                <w:rFonts w:cs="Times New Roman"/>
                <w:color w:val="EE0000"/>
                <w:szCs w:val="24"/>
                <w:lang w:val="bg-BG"/>
              </w:rPr>
              <w:t xml:space="preserve"> X = 2025</w:t>
            </w:r>
          </w:p>
        </w:tc>
        <w:tc>
          <w:tcPr>
            <w:tcW w:w="706" w:type="pct"/>
            <w:shd w:val="clear" w:color="auto" w:fill="D0CECE" w:themeFill="background2" w:themeFillShade="E6"/>
          </w:tcPr>
          <w:p w14:paraId="43833572" w14:textId="77777777" w:rsidR="000F16D5" w:rsidRPr="006F3533" w:rsidRDefault="000F16D5" w:rsidP="002C1F20">
            <w:pPr>
              <w:pStyle w:val="ListParagraph"/>
              <w:ind w:left="0"/>
              <w:jc w:val="both"/>
              <w:rPr>
                <w:rFonts w:cs="Times New Roman"/>
                <w:color w:val="EE0000"/>
                <w:szCs w:val="24"/>
                <w:lang w:val="bg-BG"/>
              </w:rPr>
            </w:pPr>
            <w:r w:rsidRPr="006F3533">
              <w:rPr>
                <w:rFonts w:cs="Times New Roman"/>
                <w:color w:val="EE0000"/>
                <w:szCs w:val="24"/>
                <w:lang w:val="bg-BG"/>
              </w:rPr>
              <w:t>2020 = 2019</w:t>
            </w:r>
          </w:p>
        </w:tc>
        <w:tc>
          <w:tcPr>
            <w:tcW w:w="774" w:type="pct"/>
            <w:shd w:val="clear" w:color="auto" w:fill="D0CECE" w:themeFill="background2" w:themeFillShade="E6"/>
          </w:tcPr>
          <w:p w14:paraId="1BA63CD8" w14:textId="77777777" w:rsidR="000F16D5" w:rsidRPr="006F3533" w:rsidRDefault="000F16D5" w:rsidP="002C1F20">
            <w:pPr>
              <w:pStyle w:val="ListParagraph"/>
              <w:ind w:left="0"/>
              <w:jc w:val="both"/>
              <w:rPr>
                <w:rFonts w:cs="Times New Roman"/>
                <w:color w:val="EE0000"/>
                <w:szCs w:val="24"/>
                <w:lang w:val="bg-BG"/>
              </w:rPr>
            </w:pPr>
            <w:proofErr w:type="spellStart"/>
            <w:r w:rsidRPr="006F3533">
              <w:rPr>
                <w:rFonts w:cs="Times New Roman"/>
                <w:color w:val="EE0000"/>
                <w:szCs w:val="24"/>
                <w:lang w:val="bg-BG"/>
              </w:rPr>
              <w:t>Year</w:t>
            </w:r>
            <w:proofErr w:type="spellEnd"/>
            <w:r w:rsidRPr="006F3533">
              <w:rPr>
                <w:rFonts w:cs="Times New Roman"/>
                <w:color w:val="EE0000"/>
                <w:szCs w:val="24"/>
                <w:lang w:val="bg-BG"/>
              </w:rPr>
              <w:t xml:space="preserve"> X-2 = 2025 </w:t>
            </w:r>
          </w:p>
        </w:tc>
        <w:tc>
          <w:tcPr>
            <w:tcW w:w="707" w:type="pct"/>
            <w:shd w:val="clear" w:color="auto" w:fill="D0CECE" w:themeFill="background2" w:themeFillShade="E6"/>
          </w:tcPr>
          <w:p w14:paraId="5378E98F" w14:textId="77777777" w:rsidR="000F16D5" w:rsidRPr="006F3533" w:rsidRDefault="000F16D5" w:rsidP="002C1F20">
            <w:pPr>
              <w:pStyle w:val="ListParagraph"/>
              <w:ind w:left="0"/>
              <w:jc w:val="both"/>
              <w:rPr>
                <w:rFonts w:cs="Times New Roman"/>
                <w:color w:val="EE0000"/>
                <w:szCs w:val="24"/>
                <w:lang w:val="bg-BG"/>
              </w:rPr>
            </w:pPr>
            <w:r w:rsidRPr="006F3533">
              <w:rPr>
                <w:rFonts w:cs="Times New Roman"/>
                <w:color w:val="EE0000"/>
                <w:szCs w:val="24"/>
                <w:lang w:val="bg-BG"/>
              </w:rPr>
              <w:t>2020 = 2019</w:t>
            </w:r>
          </w:p>
        </w:tc>
      </w:tr>
      <w:tr w:rsidR="000F16D5" w:rsidRPr="006F3533" w14:paraId="0A829B03" w14:textId="77777777" w:rsidTr="002C1F20">
        <w:trPr>
          <w:trHeight w:val="292"/>
        </w:trPr>
        <w:tc>
          <w:tcPr>
            <w:tcW w:w="428" w:type="pct"/>
          </w:tcPr>
          <w:p w14:paraId="31C696F0"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 xml:space="preserve">R </w:t>
            </w:r>
          </w:p>
        </w:tc>
        <w:tc>
          <w:tcPr>
            <w:tcW w:w="1306" w:type="pct"/>
          </w:tcPr>
          <w:p w14:paraId="2A9930C2" w14:textId="77777777" w:rsidR="000F16D5" w:rsidRPr="006F3533" w:rsidRDefault="000F16D5" w:rsidP="002C1F20">
            <w:pPr>
              <w:jc w:val="both"/>
              <w:rPr>
                <w:rFonts w:cs="Times New Roman"/>
                <w:szCs w:val="24"/>
                <w:lang w:val="bg-BG"/>
              </w:rPr>
            </w:pPr>
            <w:proofErr w:type="spellStart"/>
            <w:r w:rsidRPr="006F3533">
              <w:rPr>
                <w:rFonts w:cs="Times New Roman"/>
                <w:szCs w:val="24"/>
                <w:lang w:val="bg-BG"/>
              </w:rPr>
              <w:t>Residential</w:t>
            </w:r>
            <w:proofErr w:type="spellEnd"/>
            <w:r w:rsidRPr="006F3533">
              <w:rPr>
                <w:rFonts w:cs="Times New Roman"/>
                <w:szCs w:val="24"/>
                <w:lang w:val="bg-BG"/>
              </w:rPr>
              <w:t xml:space="preserve"> </w:t>
            </w:r>
          </w:p>
          <w:p w14:paraId="51F04576" w14:textId="77777777" w:rsidR="000F16D5" w:rsidRPr="006F3533" w:rsidRDefault="000F16D5" w:rsidP="002C1F20">
            <w:pPr>
              <w:jc w:val="both"/>
              <w:rPr>
                <w:rFonts w:cs="Times New Roman"/>
                <w:szCs w:val="24"/>
                <w:lang w:val="bg-BG"/>
              </w:rPr>
            </w:pPr>
          </w:p>
          <w:p w14:paraId="09A5A88C" w14:textId="77777777" w:rsidR="000F16D5" w:rsidRPr="006F3533" w:rsidRDefault="000F16D5" w:rsidP="002C1F20">
            <w:pPr>
              <w:jc w:val="both"/>
              <w:rPr>
                <w:rFonts w:cs="Times New Roman"/>
                <w:color w:val="0070C0"/>
                <w:szCs w:val="24"/>
                <w:lang w:val="bg-BG"/>
              </w:rPr>
            </w:pPr>
            <w:r w:rsidRPr="006F3533">
              <w:rPr>
                <w:rFonts w:cs="Times New Roman"/>
                <w:color w:val="0070C0"/>
                <w:szCs w:val="24"/>
                <w:lang w:val="bg-BG"/>
              </w:rPr>
              <w:t>R= (a) + (b1)</w:t>
            </w:r>
          </w:p>
          <w:p w14:paraId="333FACD2" w14:textId="77777777" w:rsidR="000F16D5" w:rsidRPr="006F3533" w:rsidRDefault="000F16D5" w:rsidP="002C1F20">
            <w:pPr>
              <w:jc w:val="both"/>
              <w:rPr>
                <w:rFonts w:cs="Times New Roman"/>
                <w:color w:val="0070C0"/>
                <w:szCs w:val="24"/>
                <w:lang w:val="bg-BG"/>
              </w:rPr>
            </w:pPr>
            <w:r w:rsidRPr="006F3533">
              <w:rPr>
                <w:rFonts w:cs="Times New Roman"/>
                <w:color w:val="0070C0"/>
                <w:szCs w:val="24"/>
                <w:lang w:val="bg-BG"/>
              </w:rPr>
              <w:t>(</w:t>
            </w:r>
            <w:proofErr w:type="spellStart"/>
            <w:r w:rsidRPr="006F3533">
              <w:rPr>
                <w:rFonts w:cs="Times New Roman"/>
                <w:color w:val="0070C0"/>
                <w:szCs w:val="24"/>
                <w:lang w:val="bg-BG"/>
              </w:rPr>
              <w:t>No</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of</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buildings</w:t>
            </w:r>
            <w:proofErr w:type="spellEnd"/>
            <w:r w:rsidRPr="006F3533">
              <w:rPr>
                <w:rFonts w:cs="Times New Roman"/>
                <w:color w:val="0070C0"/>
                <w:szCs w:val="24"/>
                <w:lang w:val="bg-BG"/>
              </w:rPr>
              <w:t>)</w:t>
            </w:r>
          </w:p>
          <w:p w14:paraId="2CD5C357" w14:textId="77777777" w:rsidR="000F16D5" w:rsidRPr="006F3533" w:rsidRDefault="000F16D5" w:rsidP="002C1F20">
            <w:pPr>
              <w:jc w:val="both"/>
              <w:rPr>
                <w:rFonts w:cs="Times New Roman"/>
                <w:color w:val="0070C0"/>
                <w:szCs w:val="24"/>
                <w:lang w:val="bg-BG"/>
              </w:rPr>
            </w:pPr>
            <w:proofErr w:type="spellStart"/>
            <w:r w:rsidRPr="006F3533">
              <w:rPr>
                <w:rFonts w:cs="Times New Roman"/>
                <w:color w:val="0070C0"/>
                <w:szCs w:val="24"/>
                <w:lang w:val="bg-BG"/>
              </w:rPr>
              <w:t>or</w:t>
            </w:r>
            <w:proofErr w:type="spellEnd"/>
          </w:p>
          <w:p w14:paraId="1FB3AC49" w14:textId="77777777" w:rsidR="000F16D5" w:rsidRPr="006F3533" w:rsidRDefault="000F16D5" w:rsidP="002C1F20">
            <w:pPr>
              <w:jc w:val="both"/>
              <w:rPr>
                <w:rFonts w:cs="Times New Roman"/>
                <w:color w:val="0070C0"/>
                <w:szCs w:val="24"/>
                <w:lang w:val="bg-BG"/>
              </w:rPr>
            </w:pPr>
            <w:r w:rsidRPr="006F3533">
              <w:rPr>
                <w:rFonts w:cs="Times New Roman"/>
                <w:color w:val="0070C0"/>
                <w:szCs w:val="24"/>
                <w:lang w:val="bg-BG"/>
              </w:rPr>
              <w:t>R= (a) + (b2)</w:t>
            </w:r>
          </w:p>
          <w:p w14:paraId="4AE53187" w14:textId="77777777" w:rsidR="000F16D5" w:rsidRPr="006F3533" w:rsidRDefault="000F16D5" w:rsidP="002C1F20">
            <w:pPr>
              <w:jc w:val="both"/>
              <w:rPr>
                <w:rFonts w:cs="Times New Roman"/>
                <w:i/>
                <w:iCs/>
                <w:szCs w:val="24"/>
                <w:lang w:val="bg-BG"/>
              </w:rPr>
            </w:pPr>
            <w:r w:rsidRPr="006F3533">
              <w:rPr>
                <w:rFonts w:cs="Times New Roman"/>
                <w:color w:val="0070C0"/>
                <w:szCs w:val="24"/>
                <w:lang w:val="bg-BG"/>
              </w:rPr>
              <w:t>(</w:t>
            </w:r>
            <w:proofErr w:type="spellStart"/>
            <w:r w:rsidRPr="006F3533">
              <w:rPr>
                <w:rFonts w:cs="Times New Roman"/>
                <w:color w:val="0070C0"/>
                <w:szCs w:val="24"/>
                <w:lang w:val="bg-BG"/>
              </w:rPr>
              <w:t>No</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of</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building</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units</w:t>
            </w:r>
            <w:proofErr w:type="spellEnd"/>
            <w:r w:rsidRPr="006F3533">
              <w:rPr>
                <w:rFonts w:cs="Times New Roman"/>
                <w:color w:val="0070C0"/>
                <w:szCs w:val="24"/>
                <w:lang w:val="bg-BG"/>
              </w:rPr>
              <w:t>)</w:t>
            </w:r>
          </w:p>
          <w:p w14:paraId="55A9ED0C" w14:textId="77777777" w:rsidR="000F16D5" w:rsidRPr="006F3533" w:rsidRDefault="000F16D5" w:rsidP="002C1F20">
            <w:pPr>
              <w:jc w:val="both"/>
              <w:rPr>
                <w:rFonts w:cs="Times New Roman"/>
                <w:i/>
                <w:iCs/>
                <w:szCs w:val="24"/>
                <w:lang w:val="bg-BG"/>
              </w:rPr>
            </w:pPr>
          </w:p>
          <w:p w14:paraId="72F7B980" w14:textId="77777777" w:rsidR="000F16D5" w:rsidRPr="006F3533" w:rsidRDefault="000F16D5" w:rsidP="002C1F20">
            <w:pPr>
              <w:jc w:val="both"/>
              <w:rPr>
                <w:rFonts w:cs="Times New Roman"/>
                <w:szCs w:val="24"/>
                <w:lang w:val="bg-BG"/>
              </w:rPr>
            </w:pP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p>
        </w:tc>
        <w:tc>
          <w:tcPr>
            <w:tcW w:w="427" w:type="pct"/>
          </w:tcPr>
          <w:p w14:paraId="24946308"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M</w:t>
            </w:r>
            <w:r w:rsidRPr="006F3533">
              <w:rPr>
                <w:rStyle w:val="FootnoteReference"/>
                <w:rFonts w:cs="Times New Roman"/>
                <w:szCs w:val="24"/>
                <w:lang w:val="bg-BG"/>
              </w:rPr>
              <w:footnoteReference w:id="29"/>
            </w:r>
          </w:p>
        </w:tc>
        <w:tc>
          <w:tcPr>
            <w:tcW w:w="652" w:type="pct"/>
          </w:tcPr>
          <w:p w14:paraId="6BA7E360" w14:textId="77777777" w:rsidR="000F16D5" w:rsidRPr="006F3533" w:rsidRDefault="000F16D5" w:rsidP="002C1F20">
            <w:pPr>
              <w:jc w:val="both"/>
              <w:rPr>
                <w:rFonts w:cs="Times New Roman"/>
                <w:color w:val="0070C0"/>
                <w:szCs w:val="24"/>
                <w:lang w:val="bg-BG"/>
              </w:rPr>
            </w:pPr>
          </w:p>
        </w:tc>
        <w:tc>
          <w:tcPr>
            <w:tcW w:w="706" w:type="pct"/>
          </w:tcPr>
          <w:p w14:paraId="22CABFEE" w14:textId="77777777" w:rsidR="000F16D5" w:rsidRPr="006F3533" w:rsidRDefault="000F16D5" w:rsidP="002C1F20">
            <w:pPr>
              <w:jc w:val="both"/>
              <w:rPr>
                <w:rFonts w:cs="Times New Roman"/>
                <w:color w:val="0070C0"/>
                <w:szCs w:val="24"/>
                <w:lang w:val="bg-BG"/>
              </w:rPr>
            </w:pPr>
          </w:p>
        </w:tc>
        <w:tc>
          <w:tcPr>
            <w:tcW w:w="774" w:type="pct"/>
          </w:tcPr>
          <w:p w14:paraId="5731D039" w14:textId="77777777" w:rsidR="000F16D5" w:rsidRPr="006F3533" w:rsidRDefault="000F16D5" w:rsidP="002C1F20">
            <w:pPr>
              <w:jc w:val="both"/>
              <w:rPr>
                <w:rFonts w:cs="Times New Roman"/>
                <w:color w:val="0070C0"/>
                <w:szCs w:val="24"/>
                <w:lang w:val="bg-BG"/>
              </w:rPr>
            </w:pPr>
          </w:p>
        </w:tc>
        <w:tc>
          <w:tcPr>
            <w:tcW w:w="707" w:type="pct"/>
          </w:tcPr>
          <w:p w14:paraId="2D0DEE7A" w14:textId="77777777" w:rsidR="000F16D5" w:rsidRPr="006F3533" w:rsidRDefault="000F16D5" w:rsidP="002C1F20">
            <w:pPr>
              <w:jc w:val="both"/>
              <w:rPr>
                <w:rFonts w:cs="Times New Roman"/>
                <w:color w:val="0070C0"/>
                <w:szCs w:val="24"/>
                <w:lang w:val="bg-BG"/>
              </w:rPr>
            </w:pPr>
          </w:p>
        </w:tc>
      </w:tr>
      <w:tr w:rsidR="000F16D5" w:rsidRPr="006F3533" w14:paraId="765E52C2" w14:textId="77777777" w:rsidTr="002C1F20">
        <w:trPr>
          <w:trHeight w:val="292"/>
        </w:trPr>
        <w:tc>
          <w:tcPr>
            <w:tcW w:w="428" w:type="pct"/>
          </w:tcPr>
          <w:p w14:paraId="4F8169A7" w14:textId="77777777" w:rsidR="000F16D5" w:rsidRPr="006F3533" w:rsidRDefault="000F16D5" w:rsidP="002C1F20">
            <w:pPr>
              <w:jc w:val="both"/>
              <w:rPr>
                <w:rFonts w:cs="Times New Roman"/>
                <w:i/>
                <w:iCs/>
                <w:szCs w:val="24"/>
                <w:lang w:val="bg-BG"/>
              </w:rPr>
            </w:pPr>
            <w:r w:rsidRPr="006F3533">
              <w:rPr>
                <w:rFonts w:cs="Times New Roman"/>
                <w:i/>
                <w:iCs/>
                <w:szCs w:val="24"/>
                <w:lang w:val="bg-BG"/>
              </w:rPr>
              <w:t>(a)</w:t>
            </w:r>
          </w:p>
        </w:tc>
        <w:tc>
          <w:tcPr>
            <w:tcW w:w="1306" w:type="pct"/>
          </w:tcPr>
          <w:p w14:paraId="32BF01E9"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single-family</w:t>
            </w:r>
            <w:proofErr w:type="spellEnd"/>
            <w:r w:rsidRPr="006F3533">
              <w:rPr>
                <w:rFonts w:cs="Times New Roman"/>
                <w:i/>
                <w:iCs/>
                <w:szCs w:val="24"/>
                <w:lang w:val="bg-BG"/>
              </w:rPr>
              <w:t xml:space="preserve"> </w:t>
            </w:r>
            <w:proofErr w:type="spellStart"/>
            <w:r w:rsidRPr="006F3533">
              <w:rPr>
                <w:rFonts w:cs="Times New Roman"/>
                <w:i/>
                <w:iCs/>
                <w:szCs w:val="24"/>
                <w:lang w:val="bg-BG"/>
              </w:rPr>
              <w:t>houses</w:t>
            </w:r>
            <w:proofErr w:type="spellEnd"/>
          </w:p>
          <w:p w14:paraId="64B9241B"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different</w:t>
            </w:r>
            <w:proofErr w:type="spellEnd"/>
            <w:r w:rsidRPr="006F3533">
              <w:rPr>
                <w:rFonts w:cs="Times New Roman"/>
                <w:i/>
                <w:iCs/>
                <w:szCs w:val="24"/>
                <w:lang w:val="bg-BG"/>
              </w:rPr>
              <w:t xml:space="preserve"> </w:t>
            </w:r>
            <w:proofErr w:type="spellStart"/>
            <w:r w:rsidRPr="006F3533">
              <w:rPr>
                <w:rFonts w:cs="Times New Roman"/>
                <w:i/>
                <w:iCs/>
                <w:szCs w:val="24"/>
                <w:lang w:val="bg-BG"/>
              </w:rPr>
              <w:t>types</w:t>
            </w:r>
            <w:proofErr w:type="spellEnd"/>
          </w:p>
        </w:tc>
        <w:tc>
          <w:tcPr>
            <w:tcW w:w="427" w:type="pct"/>
          </w:tcPr>
          <w:p w14:paraId="2DAAFF32"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r w:rsidRPr="006F3533">
              <w:rPr>
                <w:rStyle w:val="FootnoteReference"/>
                <w:rFonts w:cs="Times New Roman"/>
                <w:szCs w:val="24"/>
                <w:lang w:val="bg-BG"/>
              </w:rPr>
              <w:footnoteReference w:id="30"/>
            </w:r>
          </w:p>
        </w:tc>
        <w:tc>
          <w:tcPr>
            <w:tcW w:w="652" w:type="pct"/>
          </w:tcPr>
          <w:p w14:paraId="140CDD69" w14:textId="77777777" w:rsidR="000F16D5" w:rsidRPr="006F3533" w:rsidRDefault="000F16D5" w:rsidP="002C1F20">
            <w:pPr>
              <w:pStyle w:val="ListParagraph"/>
              <w:ind w:left="0"/>
              <w:jc w:val="both"/>
              <w:rPr>
                <w:rFonts w:cs="Times New Roman"/>
                <w:color w:val="0070C0"/>
                <w:szCs w:val="24"/>
                <w:lang w:val="bg-BG"/>
              </w:rPr>
            </w:pPr>
          </w:p>
        </w:tc>
        <w:tc>
          <w:tcPr>
            <w:tcW w:w="706" w:type="pct"/>
          </w:tcPr>
          <w:p w14:paraId="4C96BA1E" w14:textId="77777777" w:rsidR="000F16D5" w:rsidRPr="006F3533" w:rsidRDefault="000F16D5" w:rsidP="002C1F20">
            <w:pPr>
              <w:pStyle w:val="ListParagraph"/>
              <w:ind w:left="0"/>
              <w:jc w:val="both"/>
              <w:rPr>
                <w:rFonts w:cs="Times New Roman"/>
                <w:color w:val="0070C0"/>
                <w:szCs w:val="24"/>
                <w:lang w:val="bg-BG"/>
              </w:rPr>
            </w:pPr>
          </w:p>
        </w:tc>
        <w:tc>
          <w:tcPr>
            <w:tcW w:w="774" w:type="pct"/>
          </w:tcPr>
          <w:p w14:paraId="4D6EFAD9" w14:textId="77777777" w:rsidR="000F16D5" w:rsidRPr="006F3533" w:rsidRDefault="000F16D5" w:rsidP="002C1F20">
            <w:pPr>
              <w:pStyle w:val="ListParagraph"/>
              <w:ind w:left="0"/>
              <w:jc w:val="both"/>
              <w:rPr>
                <w:rFonts w:cs="Times New Roman"/>
                <w:color w:val="0070C0"/>
                <w:szCs w:val="24"/>
                <w:lang w:val="bg-BG"/>
              </w:rPr>
            </w:pPr>
          </w:p>
        </w:tc>
        <w:tc>
          <w:tcPr>
            <w:tcW w:w="707" w:type="pct"/>
          </w:tcPr>
          <w:p w14:paraId="359A2A87" w14:textId="77777777" w:rsidR="000F16D5" w:rsidRPr="006F3533" w:rsidRDefault="000F16D5" w:rsidP="002C1F20">
            <w:pPr>
              <w:pStyle w:val="ListParagraph"/>
              <w:ind w:left="0"/>
              <w:jc w:val="both"/>
              <w:rPr>
                <w:rFonts w:cs="Times New Roman"/>
                <w:color w:val="0070C0"/>
                <w:szCs w:val="24"/>
                <w:lang w:val="bg-BG"/>
              </w:rPr>
            </w:pPr>
          </w:p>
        </w:tc>
      </w:tr>
      <w:tr w:rsidR="000F16D5" w:rsidRPr="006F3533" w14:paraId="3A3F4509" w14:textId="77777777" w:rsidTr="002C1F20">
        <w:trPr>
          <w:trHeight w:val="865"/>
        </w:trPr>
        <w:tc>
          <w:tcPr>
            <w:tcW w:w="428" w:type="pct"/>
          </w:tcPr>
          <w:p w14:paraId="1B99D4E4"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(b1)</w:t>
            </w:r>
          </w:p>
          <w:p w14:paraId="7788DE68" w14:textId="77777777" w:rsidR="000F16D5" w:rsidRPr="006F3533" w:rsidRDefault="000F16D5" w:rsidP="002C1F20">
            <w:pPr>
              <w:pStyle w:val="ListParagraph"/>
              <w:ind w:left="0"/>
              <w:jc w:val="both"/>
              <w:rPr>
                <w:rFonts w:cs="Times New Roman"/>
                <w:i/>
                <w:iCs/>
                <w:szCs w:val="24"/>
                <w:lang w:val="bg-BG"/>
              </w:rPr>
            </w:pPr>
          </w:p>
          <w:p w14:paraId="58C922BB" w14:textId="77777777" w:rsidR="000F16D5" w:rsidRPr="006F3533" w:rsidRDefault="000F16D5" w:rsidP="002C1F20">
            <w:pPr>
              <w:pStyle w:val="ListParagraph"/>
              <w:ind w:left="0"/>
              <w:jc w:val="both"/>
              <w:rPr>
                <w:rFonts w:cs="Times New Roman"/>
                <w:i/>
                <w:iCs/>
                <w:szCs w:val="24"/>
                <w:lang w:val="bg-BG"/>
              </w:rPr>
            </w:pPr>
          </w:p>
          <w:p w14:paraId="37464FF4" w14:textId="77777777" w:rsidR="000F16D5" w:rsidRPr="006F3533" w:rsidRDefault="000F16D5" w:rsidP="002C1F20">
            <w:pPr>
              <w:pStyle w:val="ListParagraph"/>
              <w:ind w:left="0"/>
              <w:jc w:val="both"/>
              <w:rPr>
                <w:rFonts w:cs="Times New Roman"/>
                <w:i/>
                <w:iCs/>
                <w:szCs w:val="24"/>
                <w:lang w:val="bg-BG"/>
              </w:rPr>
            </w:pPr>
          </w:p>
        </w:tc>
        <w:tc>
          <w:tcPr>
            <w:tcW w:w="1306" w:type="pct"/>
          </w:tcPr>
          <w:p w14:paraId="1F760C53"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apartment</w:t>
            </w:r>
            <w:proofErr w:type="spellEnd"/>
            <w:r w:rsidRPr="006F3533">
              <w:rPr>
                <w:rFonts w:cs="Times New Roman"/>
                <w:i/>
                <w:iCs/>
                <w:szCs w:val="24"/>
                <w:lang w:val="bg-BG"/>
              </w:rPr>
              <w:t xml:space="preserve"> </w:t>
            </w:r>
            <w:proofErr w:type="spellStart"/>
            <w:r w:rsidRPr="006F3533">
              <w:rPr>
                <w:rFonts w:cs="Times New Roman"/>
                <w:i/>
                <w:iCs/>
                <w:szCs w:val="24"/>
                <w:lang w:val="bg-BG"/>
              </w:rPr>
              <w:t>blocks</w:t>
            </w:r>
            <w:proofErr w:type="spellEnd"/>
            <w:r w:rsidRPr="006F3533">
              <w:rPr>
                <w:rFonts w:cs="Times New Roman"/>
                <w:i/>
                <w:iCs/>
                <w:szCs w:val="24"/>
                <w:lang w:val="bg-BG"/>
              </w:rPr>
              <w:t xml:space="preserve"> </w:t>
            </w:r>
            <w:proofErr w:type="spellStart"/>
            <w:r w:rsidRPr="006F3533">
              <w:rPr>
                <w:rFonts w:cs="Times New Roman"/>
                <w:i/>
                <w:iCs/>
                <w:szCs w:val="24"/>
                <w:lang w:val="bg-BG"/>
              </w:rPr>
              <w:t>or</w:t>
            </w:r>
            <w:proofErr w:type="spellEnd"/>
            <w:r w:rsidRPr="006F3533">
              <w:rPr>
                <w:rFonts w:cs="Times New Roman"/>
                <w:i/>
                <w:iCs/>
                <w:szCs w:val="24"/>
                <w:lang w:val="bg-BG"/>
              </w:rPr>
              <w:t xml:space="preserve"> </w:t>
            </w:r>
            <w:proofErr w:type="spellStart"/>
            <w:r w:rsidRPr="006F3533">
              <w:rPr>
                <w:rFonts w:cs="Times New Roman"/>
                <w:i/>
                <w:iCs/>
                <w:szCs w:val="24"/>
                <w:lang w:val="bg-BG"/>
              </w:rPr>
              <w:t>multi-family</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r w:rsidRPr="006F3533">
              <w:rPr>
                <w:rStyle w:val="FootnoteReference"/>
                <w:rFonts w:cs="Times New Roman"/>
                <w:i/>
                <w:iCs/>
                <w:szCs w:val="24"/>
                <w:lang w:val="bg-BG"/>
              </w:rPr>
              <w:footnoteReference w:id="31"/>
            </w:r>
            <w:r w:rsidRPr="006F3533">
              <w:rPr>
                <w:rFonts w:cs="Times New Roman"/>
                <w:i/>
                <w:iCs/>
                <w:szCs w:val="24"/>
                <w:lang w:val="bg-BG"/>
              </w:rPr>
              <w:t xml:space="preserve"> </w:t>
            </w:r>
          </w:p>
          <w:p w14:paraId="0EC386F9" w14:textId="77777777" w:rsidR="000F16D5" w:rsidRPr="006F3533" w:rsidRDefault="000F16D5" w:rsidP="002C1F20">
            <w:pPr>
              <w:pStyle w:val="ListParagraph"/>
              <w:ind w:left="0"/>
              <w:jc w:val="both"/>
              <w:rPr>
                <w:rFonts w:cs="Times New Roman"/>
                <w:i/>
                <w:iCs/>
                <w:szCs w:val="24"/>
                <w:lang w:val="bg-BG"/>
              </w:rPr>
            </w:pPr>
          </w:p>
        </w:tc>
        <w:tc>
          <w:tcPr>
            <w:tcW w:w="427" w:type="pct"/>
          </w:tcPr>
          <w:p w14:paraId="7E1DC87C"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p w14:paraId="57A12891" w14:textId="77777777" w:rsidR="000F16D5" w:rsidRPr="006F3533" w:rsidRDefault="000F16D5" w:rsidP="002C1F20">
            <w:pPr>
              <w:pStyle w:val="ListParagraph"/>
              <w:ind w:left="0"/>
              <w:jc w:val="both"/>
              <w:rPr>
                <w:rFonts w:cs="Times New Roman"/>
                <w:szCs w:val="24"/>
                <w:lang w:val="bg-BG"/>
              </w:rPr>
            </w:pPr>
          </w:p>
          <w:p w14:paraId="5C9E35B0" w14:textId="77777777" w:rsidR="000F16D5" w:rsidRPr="006F3533" w:rsidRDefault="000F16D5" w:rsidP="002C1F20">
            <w:pPr>
              <w:pStyle w:val="ListParagraph"/>
              <w:ind w:left="0"/>
              <w:jc w:val="both"/>
              <w:rPr>
                <w:rFonts w:cs="Times New Roman"/>
                <w:szCs w:val="24"/>
                <w:lang w:val="bg-BG"/>
              </w:rPr>
            </w:pPr>
          </w:p>
          <w:p w14:paraId="3C7E9A2C" w14:textId="77777777" w:rsidR="000F16D5" w:rsidRPr="006F3533" w:rsidRDefault="000F16D5" w:rsidP="002C1F20">
            <w:pPr>
              <w:pStyle w:val="ListParagraph"/>
              <w:ind w:left="0"/>
              <w:jc w:val="both"/>
              <w:rPr>
                <w:rFonts w:cs="Times New Roman"/>
                <w:szCs w:val="24"/>
                <w:lang w:val="bg-BG"/>
              </w:rPr>
            </w:pPr>
          </w:p>
        </w:tc>
        <w:tc>
          <w:tcPr>
            <w:tcW w:w="652" w:type="pct"/>
          </w:tcPr>
          <w:p w14:paraId="5FED5FC7" w14:textId="77777777" w:rsidR="000F16D5" w:rsidRPr="006F3533" w:rsidRDefault="000F16D5" w:rsidP="002C1F20">
            <w:pPr>
              <w:pStyle w:val="ListParagraph"/>
              <w:ind w:left="0"/>
              <w:jc w:val="both"/>
              <w:rPr>
                <w:rFonts w:cs="Times New Roman"/>
                <w:color w:val="0070C0"/>
                <w:szCs w:val="24"/>
                <w:lang w:val="bg-BG"/>
              </w:rPr>
            </w:pPr>
          </w:p>
        </w:tc>
        <w:tc>
          <w:tcPr>
            <w:tcW w:w="706" w:type="pct"/>
          </w:tcPr>
          <w:p w14:paraId="30802E4F" w14:textId="77777777" w:rsidR="000F16D5" w:rsidRPr="006F3533" w:rsidRDefault="000F16D5" w:rsidP="002C1F20">
            <w:pPr>
              <w:pStyle w:val="ListParagraph"/>
              <w:ind w:left="0"/>
              <w:jc w:val="both"/>
              <w:rPr>
                <w:rFonts w:cs="Times New Roman"/>
                <w:color w:val="0070C0"/>
                <w:szCs w:val="24"/>
                <w:lang w:val="bg-BG"/>
              </w:rPr>
            </w:pPr>
          </w:p>
        </w:tc>
        <w:tc>
          <w:tcPr>
            <w:tcW w:w="774" w:type="pct"/>
            <w:vMerge w:val="restart"/>
          </w:tcPr>
          <w:p w14:paraId="407D5E72" w14:textId="77777777" w:rsidR="000F16D5" w:rsidRPr="006F3533" w:rsidRDefault="000F16D5" w:rsidP="002C1F20">
            <w:pPr>
              <w:pStyle w:val="ListParagraph"/>
              <w:ind w:left="0"/>
              <w:jc w:val="both"/>
              <w:rPr>
                <w:rFonts w:cs="Times New Roman"/>
                <w:color w:val="0070C0"/>
                <w:szCs w:val="24"/>
                <w:lang w:val="bg-BG"/>
              </w:rPr>
            </w:pPr>
          </w:p>
        </w:tc>
        <w:tc>
          <w:tcPr>
            <w:tcW w:w="707" w:type="pct"/>
            <w:vMerge w:val="restart"/>
          </w:tcPr>
          <w:p w14:paraId="249D1BC6" w14:textId="77777777" w:rsidR="000F16D5" w:rsidRPr="006F3533" w:rsidRDefault="000F16D5" w:rsidP="002C1F20">
            <w:pPr>
              <w:pStyle w:val="ListParagraph"/>
              <w:ind w:left="0"/>
              <w:jc w:val="both"/>
              <w:rPr>
                <w:rFonts w:cs="Times New Roman"/>
                <w:color w:val="0070C0"/>
                <w:szCs w:val="24"/>
                <w:lang w:val="bg-BG"/>
              </w:rPr>
            </w:pPr>
          </w:p>
        </w:tc>
      </w:tr>
      <w:tr w:rsidR="000F16D5" w:rsidRPr="006F3533" w14:paraId="54168BA8" w14:textId="77777777" w:rsidTr="002C1F20">
        <w:trPr>
          <w:trHeight w:val="865"/>
        </w:trPr>
        <w:tc>
          <w:tcPr>
            <w:tcW w:w="428" w:type="pct"/>
          </w:tcPr>
          <w:p w14:paraId="28483666"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(b2)</w:t>
            </w:r>
          </w:p>
        </w:tc>
        <w:tc>
          <w:tcPr>
            <w:tcW w:w="1306" w:type="pct"/>
          </w:tcPr>
          <w:p w14:paraId="755BAF82"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residential</w:t>
            </w:r>
            <w:proofErr w:type="spellEnd"/>
            <w:r w:rsidRPr="006F3533">
              <w:rPr>
                <w:rFonts w:cs="Times New Roman"/>
                <w:i/>
                <w:iCs/>
                <w:szCs w:val="24"/>
                <w:lang w:val="bg-BG"/>
              </w:rPr>
              <w:t xml:space="preserve"> </w:t>
            </w:r>
            <w:proofErr w:type="spellStart"/>
            <w:r w:rsidRPr="006F3533">
              <w:rPr>
                <w:rFonts w:cs="Times New Roman"/>
                <w:i/>
                <w:iCs/>
                <w:szCs w:val="24"/>
                <w:lang w:val="bg-BG"/>
              </w:rPr>
              <w:t>building</w:t>
            </w:r>
            <w:proofErr w:type="spellEnd"/>
            <w:r w:rsidRPr="006F3533">
              <w:rPr>
                <w:rFonts w:cs="Times New Roman"/>
                <w:i/>
                <w:iCs/>
                <w:szCs w:val="24"/>
                <w:lang w:val="bg-BG"/>
              </w:rPr>
              <w:t xml:space="preserve"> </w:t>
            </w:r>
            <w:proofErr w:type="spellStart"/>
            <w:r w:rsidRPr="006F3533">
              <w:rPr>
                <w:rFonts w:cs="Times New Roman"/>
                <w:i/>
                <w:iCs/>
                <w:szCs w:val="24"/>
                <w:lang w:val="bg-BG"/>
              </w:rPr>
              <w:t>units</w:t>
            </w:r>
            <w:proofErr w:type="spellEnd"/>
            <w:r w:rsidRPr="006F3533">
              <w:rPr>
                <w:rStyle w:val="FootnoteReference"/>
                <w:rFonts w:cs="Times New Roman"/>
                <w:i/>
                <w:iCs/>
                <w:szCs w:val="24"/>
                <w:lang w:val="bg-BG"/>
              </w:rPr>
              <w:footnoteReference w:id="32"/>
            </w:r>
            <w:r w:rsidRPr="006F3533">
              <w:rPr>
                <w:rFonts w:cs="Times New Roman"/>
                <w:i/>
                <w:iCs/>
                <w:szCs w:val="24"/>
                <w:lang w:val="bg-BG"/>
              </w:rPr>
              <w:t xml:space="preserve"> </w:t>
            </w:r>
            <w:proofErr w:type="spellStart"/>
            <w:r w:rsidRPr="006F3533">
              <w:rPr>
                <w:rFonts w:cs="Times New Roman"/>
                <w:i/>
                <w:iCs/>
                <w:szCs w:val="24"/>
                <w:lang w:val="bg-BG"/>
              </w:rPr>
              <w:t>in</w:t>
            </w:r>
            <w:proofErr w:type="spellEnd"/>
          </w:p>
          <w:p w14:paraId="596900DE"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apartment</w:t>
            </w:r>
            <w:proofErr w:type="spellEnd"/>
            <w:r w:rsidRPr="006F3533">
              <w:rPr>
                <w:rFonts w:cs="Times New Roman"/>
                <w:i/>
                <w:iCs/>
                <w:szCs w:val="24"/>
                <w:lang w:val="bg-BG"/>
              </w:rPr>
              <w:t xml:space="preserve"> </w:t>
            </w:r>
            <w:proofErr w:type="spellStart"/>
            <w:r w:rsidRPr="006F3533">
              <w:rPr>
                <w:rFonts w:cs="Times New Roman"/>
                <w:i/>
                <w:iCs/>
                <w:szCs w:val="24"/>
                <w:lang w:val="bg-BG"/>
              </w:rPr>
              <w:t>blocks</w:t>
            </w:r>
            <w:proofErr w:type="spellEnd"/>
            <w:r w:rsidRPr="006F3533">
              <w:rPr>
                <w:rFonts w:cs="Times New Roman"/>
                <w:i/>
                <w:iCs/>
                <w:szCs w:val="24"/>
                <w:lang w:val="bg-BG"/>
              </w:rPr>
              <w:t xml:space="preserve"> </w:t>
            </w:r>
            <w:proofErr w:type="spellStart"/>
            <w:r w:rsidRPr="006F3533">
              <w:rPr>
                <w:rFonts w:cs="Times New Roman"/>
                <w:i/>
                <w:iCs/>
                <w:szCs w:val="24"/>
                <w:lang w:val="bg-BG"/>
              </w:rPr>
              <w:t>or</w:t>
            </w:r>
            <w:proofErr w:type="spellEnd"/>
            <w:r w:rsidRPr="006F3533">
              <w:rPr>
                <w:rFonts w:cs="Times New Roman"/>
                <w:i/>
                <w:iCs/>
                <w:szCs w:val="24"/>
                <w:lang w:val="bg-BG"/>
              </w:rPr>
              <w:t xml:space="preserve"> </w:t>
            </w:r>
            <w:proofErr w:type="spellStart"/>
            <w:r w:rsidRPr="006F3533">
              <w:rPr>
                <w:rFonts w:cs="Times New Roman"/>
                <w:i/>
                <w:iCs/>
                <w:szCs w:val="24"/>
                <w:lang w:val="bg-BG"/>
              </w:rPr>
              <w:t>multi-family</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p w14:paraId="2C531B31" w14:textId="77777777" w:rsidR="000F16D5" w:rsidRPr="006F3533" w:rsidRDefault="000F16D5" w:rsidP="002C1F20">
            <w:pPr>
              <w:pStyle w:val="ListParagraph"/>
              <w:ind w:left="0"/>
              <w:jc w:val="both"/>
              <w:rPr>
                <w:rFonts w:cs="Times New Roman"/>
                <w:i/>
                <w:iCs/>
                <w:szCs w:val="24"/>
                <w:lang w:val="bg-BG"/>
              </w:rPr>
            </w:pPr>
          </w:p>
        </w:tc>
        <w:tc>
          <w:tcPr>
            <w:tcW w:w="427" w:type="pct"/>
          </w:tcPr>
          <w:p w14:paraId="0B46F8C7"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Pr>
          <w:p w14:paraId="3CC292D4" w14:textId="77777777" w:rsidR="000F16D5" w:rsidRPr="006F3533" w:rsidRDefault="000F16D5" w:rsidP="002C1F20">
            <w:pPr>
              <w:pStyle w:val="ListParagraph"/>
              <w:ind w:left="0"/>
              <w:jc w:val="both"/>
              <w:rPr>
                <w:rFonts w:cs="Times New Roman"/>
                <w:color w:val="0070C0"/>
                <w:szCs w:val="24"/>
                <w:lang w:val="bg-BG"/>
              </w:rPr>
            </w:pPr>
          </w:p>
        </w:tc>
        <w:tc>
          <w:tcPr>
            <w:tcW w:w="706" w:type="pct"/>
          </w:tcPr>
          <w:p w14:paraId="0F87B320" w14:textId="77777777" w:rsidR="000F16D5" w:rsidRPr="006F3533" w:rsidRDefault="000F16D5" w:rsidP="002C1F20">
            <w:pPr>
              <w:pStyle w:val="ListParagraph"/>
              <w:ind w:left="0"/>
              <w:jc w:val="both"/>
              <w:rPr>
                <w:rFonts w:cs="Times New Roman"/>
                <w:color w:val="0070C0"/>
                <w:szCs w:val="24"/>
                <w:lang w:val="bg-BG"/>
              </w:rPr>
            </w:pPr>
          </w:p>
        </w:tc>
        <w:tc>
          <w:tcPr>
            <w:tcW w:w="774" w:type="pct"/>
            <w:vMerge/>
          </w:tcPr>
          <w:p w14:paraId="63EF7983" w14:textId="77777777" w:rsidR="000F16D5" w:rsidRPr="006F3533" w:rsidRDefault="000F16D5" w:rsidP="002C1F20">
            <w:pPr>
              <w:pStyle w:val="ListParagraph"/>
              <w:ind w:left="0"/>
              <w:jc w:val="both"/>
              <w:rPr>
                <w:rFonts w:cs="Times New Roman"/>
                <w:color w:val="0070C0"/>
                <w:szCs w:val="24"/>
                <w:lang w:val="bg-BG"/>
              </w:rPr>
            </w:pPr>
          </w:p>
        </w:tc>
        <w:tc>
          <w:tcPr>
            <w:tcW w:w="707" w:type="pct"/>
            <w:vMerge/>
          </w:tcPr>
          <w:p w14:paraId="75157AD7" w14:textId="77777777" w:rsidR="000F16D5" w:rsidRPr="006F3533" w:rsidRDefault="000F16D5" w:rsidP="002C1F20">
            <w:pPr>
              <w:pStyle w:val="ListParagraph"/>
              <w:ind w:left="0"/>
              <w:jc w:val="both"/>
              <w:rPr>
                <w:rFonts w:cs="Times New Roman"/>
                <w:color w:val="0070C0"/>
                <w:szCs w:val="24"/>
                <w:lang w:val="bg-BG"/>
              </w:rPr>
            </w:pPr>
          </w:p>
        </w:tc>
      </w:tr>
      <w:tr w:rsidR="000F16D5" w:rsidRPr="006F3533" w14:paraId="06EC24B5" w14:textId="77777777" w:rsidTr="002C1F20">
        <w:trPr>
          <w:trHeight w:val="292"/>
        </w:trPr>
        <w:tc>
          <w:tcPr>
            <w:tcW w:w="428" w:type="pct"/>
          </w:tcPr>
          <w:p w14:paraId="7FF8881D" w14:textId="77777777" w:rsidR="000F16D5" w:rsidRPr="006F3533" w:rsidRDefault="000F16D5" w:rsidP="002C1F20">
            <w:pPr>
              <w:pStyle w:val="ListParagraph"/>
              <w:ind w:left="0"/>
              <w:jc w:val="both"/>
              <w:rPr>
                <w:rFonts w:cs="Times New Roman"/>
                <w:i/>
                <w:iCs/>
                <w:szCs w:val="24"/>
                <w:lang w:val="bg-BG"/>
              </w:rPr>
            </w:pPr>
          </w:p>
        </w:tc>
        <w:tc>
          <w:tcPr>
            <w:tcW w:w="1306" w:type="pct"/>
          </w:tcPr>
          <w:p w14:paraId="7C8AC9CD"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 xml:space="preserve"> </w:t>
            </w: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r w:rsidRPr="006F3533">
              <w:rPr>
                <w:rFonts w:cs="Times New Roman"/>
                <w:i/>
                <w:iCs/>
                <w:szCs w:val="24"/>
                <w:lang w:val="bg-BG"/>
              </w:rPr>
              <w:t xml:space="preserve"> </w:t>
            </w:r>
            <w:proofErr w:type="spellStart"/>
            <w:r w:rsidRPr="006F3533">
              <w:rPr>
                <w:rFonts w:cs="Times New Roman"/>
                <w:i/>
                <w:iCs/>
                <w:szCs w:val="24"/>
                <w:lang w:val="bg-BG"/>
              </w:rPr>
              <w:t>social</w:t>
            </w:r>
            <w:proofErr w:type="spellEnd"/>
            <w:r w:rsidRPr="006F3533">
              <w:rPr>
                <w:rFonts w:cs="Times New Roman"/>
                <w:i/>
                <w:iCs/>
                <w:szCs w:val="24"/>
                <w:lang w:val="bg-BG"/>
              </w:rPr>
              <w:t xml:space="preserve"> </w:t>
            </w:r>
            <w:proofErr w:type="spellStart"/>
            <w:r w:rsidRPr="006F3533">
              <w:rPr>
                <w:rFonts w:cs="Times New Roman"/>
                <w:i/>
                <w:iCs/>
                <w:szCs w:val="24"/>
                <w:lang w:val="bg-BG"/>
              </w:rPr>
              <w:t>housing</w:t>
            </w:r>
            <w:proofErr w:type="spellEnd"/>
            <w:r w:rsidRPr="006F3533">
              <w:rPr>
                <w:rStyle w:val="FootnoteReference"/>
                <w:rFonts w:cs="Times New Roman"/>
                <w:i/>
                <w:iCs/>
                <w:szCs w:val="24"/>
                <w:lang w:val="bg-BG"/>
              </w:rPr>
              <w:footnoteReference w:id="33"/>
            </w:r>
          </w:p>
        </w:tc>
        <w:tc>
          <w:tcPr>
            <w:tcW w:w="427" w:type="pct"/>
          </w:tcPr>
          <w:p w14:paraId="736CB4AE"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M</w:t>
            </w:r>
          </w:p>
        </w:tc>
        <w:tc>
          <w:tcPr>
            <w:tcW w:w="652" w:type="pct"/>
          </w:tcPr>
          <w:p w14:paraId="2C5C771D" w14:textId="77777777" w:rsidR="000F16D5" w:rsidRPr="006F3533" w:rsidRDefault="000F16D5" w:rsidP="002C1F20">
            <w:pPr>
              <w:pStyle w:val="ListParagraph"/>
              <w:ind w:left="0"/>
              <w:jc w:val="both"/>
              <w:rPr>
                <w:rFonts w:cs="Times New Roman"/>
                <w:color w:val="0070C0"/>
                <w:szCs w:val="24"/>
                <w:lang w:val="bg-BG"/>
              </w:rPr>
            </w:pPr>
          </w:p>
        </w:tc>
        <w:tc>
          <w:tcPr>
            <w:tcW w:w="706" w:type="pct"/>
          </w:tcPr>
          <w:p w14:paraId="72526FC5" w14:textId="77777777" w:rsidR="000F16D5" w:rsidRPr="006F3533" w:rsidRDefault="000F16D5" w:rsidP="002C1F20">
            <w:pPr>
              <w:pStyle w:val="ListParagraph"/>
              <w:ind w:left="0"/>
              <w:jc w:val="both"/>
              <w:rPr>
                <w:rFonts w:cs="Times New Roman"/>
                <w:color w:val="0070C0"/>
                <w:szCs w:val="24"/>
                <w:lang w:val="bg-BG"/>
              </w:rPr>
            </w:pPr>
          </w:p>
        </w:tc>
        <w:tc>
          <w:tcPr>
            <w:tcW w:w="774" w:type="pct"/>
          </w:tcPr>
          <w:p w14:paraId="5F96C968" w14:textId="77777777" w:rsidR="000F16D5" w:rsidRPr="006F3533" w:rsidRDefault="000F16D5" w:rsidP="002C1F20">
            <w:pPr>
              <w:pStyle w:val="ListParagraph"/>
              <w:ind w:left="0"/>
              <w:jc w:val="both"/>
              <w:rPr>
                <w:rFonts w:cs="Times New Roman"/>
                <w:color w:val="0070C0"/>
                <w:szCs w:val="24"/>
                <w:lang w:val="bg-BG"/>
              </w:rPr>
            </w:pPr>
          </w:p>
        </w:tc>
        <w:tc>
          <w:tcPr>
            <w:tcW w:w="707" w:type="pct"/>
          </w:tcPr>
          <w:p w14:paraId="36B989E7" w14:textId="77777777" w:rsidR="000F16D5" w:rsidRPr="006F3533" w:rsidRDefault="000F16D5" w:rsidP="002C1F20">
            <w:pPr>
              <w:pStyle w:val="ListParagraph"/>
              <w:ind w:left="0"/>
              <w:jc w:val="both"/>
              <w:rPr>
                <w:rFonts w:cs="Times New Roman"/>
                <w:color w:val="0070C0"/>
                <w:szCs w:val="24"/>
                <w:lang w:val="bg-BG"/>
              </w:rPr>
            </w:pPr>
          </w:p>
        </w:tc>
      </w:tr>
      <w:tr w:rsidR="000F16D5" w:rsidRPr="006F3533" w14:paraId="0B01C170" w14:textId="77777777" w:rsidTr="002C1F20">
        <w:trPr>
          <w:trHeight w:val="292"/>
        </w:trPr>
        <w:tc>
          <w:tcPr>
            <w:tcW w:w="428" w:type="pct"/>
          </w:tcPr>
          <w:p w14:paraId="2C48F9AA" w14:textId="77777777" w:rsidR="000F16D5" w:rsidRPr="006F3533" w:rsidRDefault="000F16D5" w:rsidP="002C1F20">
            <w:pPr>
              <w:pStyle w:val="ListParagraph"/>
              <w:ind w:left="0"/>
              <w:jc w:val="both"/>
              <w:rPr>
                <w:rFonts w:cs="Times New Roman"/>
                <w:b/>
                <w:bCs/>
                <w:szCs w:val="24"/>
                <w:lang w:val="bg-BG"/>
              </w:rPr>
            </w:pPr>
            <w:r w:rsidRPr="006F3533">
              <w:rPr>
                <w:rFonts w:cs="Times New Roman"/>
                <w:b/>
                <w:bCs/>
                <w:szCs w:val="24"/>
                <w:lang w:val="bg-BG"/>
              </w:rPr>
              <w:t>NR</w:t>
            </w:r>
          </w:p>
        </w:tc>
        <w:tc>
          <w:tcPr>
            <w:tcW w:w="1306" w:type="pct"/>
          </w:tcPr>
          <w:p w14:paraId="069EB44C" w14:textId="77777777" w:rsidR="000F16D5" w:rsidRPr="006F3533" w:rsidRDefault="000F16D5" w:rsidP="002C1F20">
            <w:pPr>
              <w:jc w:val="both"/>
              <w:rPr>
                <w:rFonts w:cs="Times New Roman"/>
                <w:b/>
                <w:bCs/>
                <w:szCs w:val="24"/>
                <w:lang w:val="bg-BG"/>
              </w:rPr>
            </w:pPr>
            <w:proofErr w:type="spellStart"/>
            <w:r w:rsidRPr="006F3533">
              <w:rPr>
                <w:rFonts w:cs="Times New Roman"/>
                <w:b/>
                <w:bCs/>
                <w:szCs w:val="24"/>
                <w:lang w:val="bg-BG"/>
              </w:rPr>
              <w:t>Non-residential</w:t>
            </w:r>
            <w:proofErr w:type="spellEnd"/>
          </w:p>
          <w:p w14:paraId="11776A4E" w14:textId="77777777" w:rsidR="000F16D5" w:rsidRPr="006F3533" w:rsidRDefault="000F16D5" w:rsidP="002C1F20">
            <w:pPr>
              <w:jc w:val="both"/>
              <w:rPr>
                <w:rFonts w:cs="Times New Roman"/>
                <w:b/>
                <w:bCs/>
                <w:szCs w:val="24"/>
                <w:lang w:val="bg-BG"/>
              </w:rPr>
            </w:pPr>
            <w:r w:rsidRPr="006F3533">
              <w:rPr>
                <w:rFonts w:cs="Times New Roman"/>
                <w:b/>
                <w:bCs/>
                <w:color w:val="0070C0"/>
                <w:szCs w:val="24"/>
                <w:lang w:val="bg-BG"/>
              </w:rPr>
              <w:t>NR = (c) + (d) + (e) + (f) +(g) + (h) +(i)</w:t>
            </w:r>
          </w:p>
          <w:p w14:paraId="2D35E9A2" w14:textId="77777777" w:rsidR="000F16D5" w:rsidRPr="006F3533" w:rsidRDefault="000F16D5" w:rsidP="002C1F20">
            <w:pPr>
              <w:jc w:val="both"/>
              <w:rPr>
                <w:rFonts w:cs="Times New Roman"/>
                <w:b/>
                <w:bCs/>
                <w:szCs w:val="24"/>
                <w:lang w:val="bg-BG"/>
              </w:rPr>
            </w:pPr>
            <w:r w:rsidRPr="006F3533">
              <w:rPr>
                <w:rFonts w:cs="Times New Roman"/>
                <w:b/>
                <w:bCs/>
                <w:i/>
                <w:iCs/>
                <w:szCs w:val="24"/>
                <w:lang w:val="bg-BG"/>
              </w:rPr>
              <w:t xml:space="preserve"> </w:t>
            </w:r>
            <w:proofErr w:type="spellStart"/>
            <w:r w:rsidRPr="006F3533">
              <w:rPr>
                <w:rFonts w:cs="Times New Roman"/>
                <w:b/>
                <w:bCs/>
                <w:i/>
                <w:iCs/>
                <w:szCs w:val="24"/>
                <w:lang w:val="bg-BG"/>
              </w:rPr>
              <w:t>Out</w:t>
            </w:r>
            <w:proofErr w:type="spellEnd"/>
            <w:r w:rsidRPr="006F3533">
              <w:rPr>
                <w:rFonts w:cs="Times New Roman"/>
                <w:b/>
                <w:bCs/>
                <w:i/>
                <w:iCs/>
                <w:szCs w:val="24"/>
                <w:lang w:val="bg-BG"/>
              </w:rPr>
              <w:t xml:space="preserve"> </w:t>
            </w:r>
            <w:proofErr w:type="spellStart"/>
            <w:r w:rsidRPr="006F3533">
              <w:rPr>
                <w:rFonts w:cs="Times New Roman"/>
                <w:b/>
                <w:bCs/>
                <w:i/>
                <w:iCs/>
                <w:szCs w:val="24"/>
                <w:lang w:val="bg-BG"/>
              </w:rPr>
              <w:t>of</w:t>
            </w:r>
            <w:proofErr w:type="spellEnd"/>
            <w:r w:rsidRPr="006F3533">
              <w:rPr>
                <w:rFonts w:cs="Times New Roman"/>
                <w:b/>
                <w:bCs/>
                <w:i/>
                <w:iCs/>
                <w:szCs w:val="24"/>
                <w:lang w:val="bg-BG"/>
              </w:rPr>
              <w:t xml:space="preserve"> </w:t>
            </w:r>
            <w:proofErr w:type="spellStart"/>
            <w:r w:rsidRPr="006F3533">
              <w:rPr>
                <w:rFonts w:cs="Times New Roman"/>
                <w:b/>
                <w:bCs/>
                <w:i/>
                <w:iCs/>
                <w:szCs w:val="24"/>
                <w:lang w:val="bg-BG"/>
              </w:rPr>
              <w:t>which</w:t>
            </w:r>
            <w:proofErr w:type="spellEnd"/>
          </w:p>
        </w:tc>
        <w:tc>
          <w:tcPr>
            <w:tcW w:w="427" w:type="pct"/>
          </w:tcPr>
          <w:p w14:paraId="0850C7A4" w14:textId="77777777" w:rsidR="000F16D5" w:rsidRPr="006F3533" w:rsidRDefault="000F16D5" w:rsidP="002C1F20">
            <w:pPr>
              <w:pStyle w:val="ListParagraph"/>
              <w:ind w:left="0"/>
              <w:jc w:val="both"/>
              <w:rPr>
                <w:rFonts w:cs="Times New Roman"/>
                <w:b/>
                <w:bCs/>
                <w:szCs w:val="24"/>
                <w:lang w:val="bg-BG"/>
              </w:rPr>
            </w:pPr>
            <w:r w:rsidRPr="006F3533">
              <w:rPr>
                <w:rFonts w:cs="Times New Roman"/>
                <w:b/>
                <w:bCs/>
                <w:szCs w:val="24"/>
                <w:lang w:val="bg-BG"/>
              </w:rPr>
              <w:t>M</w:t>
            </w:r>
          </w:p>
        </w:tc>
        <w:tc>
          <w:tcPr>
            <w:tcW w:w="652" w:type="pct"/>
            <w:tcBorders>
              <w:bottom w:val="single" w:sz="4" w:space="0" w:color="auto"/>
            </w:tcBorders>
          </w:tcPr>
          <w:p w14:paraId="1E07A59D" w14:textId="77777777" w:rsidR="000F16D5" w:rsidRPr="006F3533" w:rsidRDefault="000F16D5" w:rsidP="002C1F20">
            <w:pPr>
              <w:pStyle w:val="ListParagraph"/>
              <w:ind w:left="0"/>
              <w:jc w:val="both"/>
              <w:rPr>
                <w:rFonts w:cs="Times New Roman"/>
                <w:b/>
                <w:bCs/>
                <w:szCs w:val="24"/>
                <w:lang w:val="bg-BG"/>
              </w:rPr>
            </w:pPr>
            <w:r w:rsidRPr="006F3533">
              <w:rPr>
                <w:rFonts w:cs="Times New Roman"/>
                <w:b/>
                <w:bCs/>
                <w:lang w:val="bg-BG"/>
              </w:rPr>
              <w:t>354 520</w:t>
            </w:r>
          </w:p>
        </w:tc>
        <w:tc>
          <w:tcPr>
            <w:tcW w:w="706" w:type="pct"/>
            <w:tcBorders>
              <w:bottom w:val="single" w:sz="4" w:space="0" w:color="auto"/>
            </w:tcBorders>
          </w:tcPr>
          <w:p w14:paraId="26693301" w14:textId="77777777" w:rsidR="000F16D5" w:rsidRPr="006F3533" w:rsidRDefault="000F16D5" w:rsidP="002C1F20">
            <w:pPr>
              <w:pStyle w:val="ListParagraph"/>
              <w:ind w:left="0"/>
              <w:jc w:val="both"/>
              <w:rPr>
                <w:rFonts w:cs="Times New Roman"/>
                <w:b/>
                <w:bCs/>
                <w:szCs w:val="24"/>
                <w:lang w:val="bg-BG"/>
              </w:rPr>
            </w:pPr>
            <w:r w:rsidRPr="006F3533">
              <w:rPr>
                <w:rFonts w:cs="Times New Roman"/>
                <w:b/>
                <w:bCs/>
                <w:lang w:val="bg-BG"/>
              </w:rPr>
              <w:t>269 230</w:t>
            </w:r>
          </w:p>
        </w:tc>
        <w:tc>
          <w:tcPr>
            <w:tcW w:w="774" w:type="pct"/>
            <w:tcBorders>
              <w:bottom w:val="single" w:sz="4" w:space="0" w:color="auto"/>
            </w:tcBorders>
          </w:tcPr>
          <w:p w14:paraId="2CD68555" w14:textId="77777777" w:rsidR="000F16D5" w:rsidRPr="006F3533" w:rsidRDefault="000F16D5" w:rsidP="002C1F20">
            <w:pPr>
              <w:pStyle w:val="ListParagraph"/>
              <w:ind w:left="0"/>
              <w:jc w:val="both"/>
              <w:rPr>
                <w:rFonts w:cs="Times New Roman"/>
                <w:b/>
                <w:bCs/>
                <w:szCs w:val="24"/>
                <w:lang w:val="bg-BG"/>
              </w:rPr>
            </w:pPr>
            <w:r w:rsidRPr="006F3533">
              <w:rPr>
                <w:rFonts w:cs="Times New Roman"/>
                <w:b/>
                <w:bCs/>
                <w:lang w:val="bg-BG"/>
              </w:rPr>
              <w:t>94 174 793</w:t>
            </w:r>
          </w:p>
        </w:tc>
        <w:tc>
          <w:tcPr>
            <w:tcW w:w="707" w:type="pct"/>
            <w:tcBorders>
              <w:bottom w:val="single" w:sz="4" w:space="0" w:color="auto"/>
            </w:tcBorders>
          </w:tcPr>
          <w:p w14:paraId="3CC5CACC" w14:textId="77777777" w:rsidR="000F16D5" w:rsidRPr="006F3533" w:rsidRDefault="000F16D5" w:rsidP="002C1F20">
            <w:pPr>
              <w:pStyle w:val="ListParagraph"/>
              <w:ind w:left="0"/>
              <w:jc w:val="both"/>
              <w:rPr>
                <w:rFonts w:cs="Times New Roman"/>
                <w:b/>
                <w:bCs/>
                <w:szCs w:val="24"/>
                <w:lang w:val="bg-BG"/>
              </w:rPr>
            </w:pPr>
            <w:r w:rsidRPr="006F3533">
              <w:rPr>
                <w:rFonts w:cs="Times New Roman"/>
                <w:b/>
                <w:bCs/>
                <w:lang w:val="bg-BG"/>
              </w:rPr>
              <w:t>76 104 244</w:t>
            </w:r>
          </w:p>
        </w:tc>
      </w:tr>
      <w:tr w:rsidR="000F16D5" w:rsidRPr="006F3533" w14:paraId="01D36A04" w14:textId="77777777" w:rsidTr="002C1F20">
        <w:trPr>
          <w:trHeight w:val="292"/>
        </w:trPr>
        <w:tc>
          <w:tcPr>
            <w:tcW w:w="428" w:type="pct"/>
          </w:tcPr>
          <w:p w14:paraId="5D66AA8C" w14:textId="77777777" w:rsidR="000F16D5" w:rsidRPr="006F3533" w:rsidRDefault="000F16D5" w:rsidP="002C1F20">
            <w:pPr>
              <w:jc w:val="both"/>
              <w:rPr>
                <w:rFonts w:cs="Times New Roman"/>
                <w:i/>
                <w:iCs/>
                <w:szCs w:val="24"/>
                <w:lang w:val="bg-BG"/>
              </w:rPr>
            </w:pPr>
            <w:r w:rsidRPr="006F3533">
              <w:rPr>
                <w:rFonts w:cs="Times New Roman"/>
                <w:i/>
                <w:iCs/>
                <w:szCs w:val="24"/>
                <w:lang w:val="bg-BG"/>
              </w:rPr>
              <w:t>(c)</w:t>
            </w:r>
          </w:p>
        </w:tc>
        <w:tc>
          <w:tcPr>
            <w:tcW w:w="1306" w:type="pct"/>
          </w:tcPr>
          <w:p w14:paraId="46A993ED" w14:textId="77777777" w:rsidR="000F16D5" w:rsidRPr="006F3533" w:rsidRDefault="000F16D5" w:rsidP="002C1F20">
            <w:pPr>
              <w:pStyle w:val="ListParagraph"/>
              <w:ind w:left="708"/>
              <w:jc w:val="both"/>
              <w:rPr>
                <w:rFonts w:cs="Times New Roman"/>
                <w:szCs w:val="24"/>
                <w:lang w:val="bg-BG"/>
              </w:rPr>
            </w:pPr>
            <w:proofErr w:type="spellStart"/>
            <w:r w:rsidRPr="006F3533">
              <w:rPr>
                <w:rFonts w:cs="Times New Roman"/>
                <w:i/>
                <w:iCs/>
                <w:szCs w:val="24"/>
                <w:lang w:val="bg-BG"/>
              </w:rPr>
              <w:t>offices</w:t>
            </w:r>
            <w:proofErr w:type="spellEnd"/>
          </w:p>
        </w:tc>
        <w:tc>
          <w:tcPr>
            <w:tcW w:w="427" w:type="pct"/>
          </w:tcPr>
          <w:p w14:paraId="729CC77B"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039DB877"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12</w:t>
            </w:r>
            <w:r w:rsidRPr="006F3533">
              <w:rPr>
                <w:rFonts w:cs="Times New Roman"/>
                <w:lang w:val="bg-BG"/>
              </w:rPr>
              <w:t xml:space="preserve"> </w:t>
            </w:r>
            <w:r w:rsidRPr="006F3533">
              <w:rPr>
                <w:rFonts w:cs="Times New Roman"/>
                <w:sz w:val="22"/>
                <w:lang w:val="bg-BG"/>
              </w:rPr>
              <w:t>700</w:t>
            </w:r>
          </w:p>
        </w:tc>
        <w:tc>
          <w:tcPr>
            <w:tcW w:w="706" w:type="pct"/>
            <w:tcBorders>
              <w:top w:val="single" w:sz="4" w:space="0" w:color="auto"/>
              <w:left w:val="single" w:sz="4" w:space="0" w:color="auto"/>
              <w:bottom w:val="single" w:sz="4" w:space="0" w:color="auto"/>
              <w:right w:val="single" w:sz="4" w:space="0" w:color="auto"/>
            </w:tcBorders>
            <w:vAlign w:val="bottom"/>
          </w:tcPr>
          <w:p w14:paraId="54BA6D98"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10</w:t>
            </w:r>
            <w:r w:rsidRPr="006F3533">
              <w:rPr>
                <w:rFonts w:cs="Times New Roman"/>
                <w:lang w:val="bg-BG"/>
              </w:rPr>
              <w:t xml:space="preserve"> </w:t>
            </w:r>
            <w:r w:rsidRPr="006F3533">
              <w:rPr>
                <w:rFonts w:cs="Times New Roman"/>
                <w:sz w:val="22"/>
                <w:lang w:val="bg-BG"/>
              </w:rPr>
              <w:t>910</w:t>
            </w:r>
          </w:p>
        </w:tc>
        <w:tc>
          <w:tcPr>
            <w:tcW w:w="774" w:type="pct"/>
            <w:tcBorders>
              <w:top w:val="single" w:sz="4" w:space="0" w:color="auto"/>
              <w:left w:val="nil"/>
              <w:bottom w:val="single" w:sz="4" w:space="0" w:color="auto"/>
              <w:right w:val="single" w:sz="4" w:space="0" w:color="auto"/>
            </w:tcBorders>
            <w:vAlign w:val="bottom"/>
          </w:tcPr>
          <w:p w14:paraId="0F0B3B2F"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11</w:t>
            </w:r>
            <w:r w:rsidRPr="006F3533">
              <w:rPr>
                <w:rFonts w:cs="Times New Roman"/>
                <w:lang w:val="bg-BG"/>
              </w:rPr>
              <w:t> </w:t>
            </w:r>
            <w:r w:rsidRPr="006F3533">
              <w:rPr>
                <w:rFonts w:cs="Times New Roman"/>
                <w:sz w:val="22"/>
                <w:lang w:val="bg-BG"/>
              </w:rPr>
              <w:t>607</w:t>
            </w:r>
            <w:r w:rsidRPr="006F3533">
              <w:rPr>
                <w:rFonts w:cs="Times New Roman"/>
                <w:lang w:val="bg-BG"/>
              </w:rPr>
              <w:t xml:space="preserve"> </w:t>
            </w:r>
            <w:r w:rsidRPr="006F3533">
              <w:rPr>
                <w:rFonts w:cs="Times New Roman"/>
                <w:sz w:val="22"/>
                <w:lang w:val="bg-BG"/>
              </w:rPr>
              <w:t>091</w:t>
            </w:r>
          </w:p>
        </w:tc>
        <w:tc>
          <w:tcPr>
            <w:tcW w:w="707" w:type="pct"/>
            <w:tcBorders>
              <w:top w:val="single" w:sz="4" w:space="0" w:color="auto"/>
              <w:left w:val="single" w:sz="4" w:space="0" w:color="auto"/>
              <w:bottom w:val="single" w:sz="4" w:space="0" w:color="auto"/>
              <w:right w:val="single" w:sz="4" w:space="0" w:color="auto"/>
            </w:tcBorders>
            <w:vAlign w:val="bottom"/>
          </w:tcPr>
          <w:p w14:paraId="3CEA412F"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10</w:t>
            </w:r>
            <w:r w:rsidRPr="006F3533">
              <w:rPr>
                <w:rFonts w:cs="Times New Roman"/>
                <w:lang w:val="bg-BG"/>
              </w:rPr>
              <w:t xml:space="preserve"> </w:t>
            </w:r>
            <w:r w:rsidRPr="006F3533">
              <w:rPr>
                <w:rFonts w:cs="Times New Roman"/>
                <w:sz w:val="22"/>
                <w:lang w:val="bg-BG"/>
              </w:rPr>
              <w:t>792</w:t>
            </w:r>
            <w:r w:rsidRPr="006F3533">
              <w:rPr>
                <w:rFonts w:cs="Times New Roman"/>
                <w:lang w:val="bg-BG"/>
              </w:rPr>
              <w:t xml:space="preserve"> </w:t>
            </w:r>
            <w:r w:rsidRPr="006F3533">
              <w:rPr>
                <w:rFonts w:cs="Times New Roman"/>
                <w:sz w:val="22"/>
                <w:lang w:val="bg-BG"/>
              </w:rPr>
              <w:t>180</w:t>
            </w:r>
          </w:p>
        </w:tc>
      </w:tr>
      <w:tr w:rsidR="000F16D5" w:rsidRPr="006F3533" w14:paraId="3B28E272" w14:textId="77777777" w:rsidTr="002C1F20">
        <w:trPr>
          <w:trHeight w:val="292"/>
        </w:trPr>
        <w:tc>
          <w:tcPr>
            <w:tcW w:w="428" w:type="pct"/>
          </w:tcPr>
          <w:p w14:paraId="2696C8F0"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(d)</w:t>
            </w:r>
          </w:p>
        </w:tc>
        <w:tc>
          <w:tcPr>
            <w:tcW w:w="1306" w:type="pct"/>
          </w:tcPr>
          <w:p w14:paraId="01A75C7C"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educational</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427" w:type="pct"/>
          </w:tcPr>
          <w:p w14:paraId="0C93BB7F"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1A8C9E54"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5</w:t>
            </w:r>
            <w:r w:rsidRPr="006F3533">
              <w:rPr>
                <w:rFonts w:cs="Times New Roman"/>
                <w:lang w:val="bg-BG"/>
              </w:rPr>
              <w:t xml:space="preserve"> </w:t>
            </w:r>
            <w:r w:rsidRPr="006F3533">
              <w:rPr>
                <w:rFonts w:cs="Times New Roman"/>
                <w:sz w:val="22"/>
                <w:lang w:val="bg-BG"/>
              </w:rPr>
              <w:t>489</w:t>
            </w:r>
          </w:p>
        </w:tc>
        <w:tc>
          <w:tcPr>
            <w:tcW w:w="706" w:type="pct"/>
            <w:tcBorders>
              <w:top w:val="single" w:sz="4" w:space="0" w:color="auto"/>
              <w:left w:val="single" w:sz="4" w:space="0" w:color="auto"/>
              <w:bottom w:val="single" w:sz="4" w:space="0" w:color="auto"/>
              <w:right w:val="single" w:sz="4" w:space="0" w:color="auto"/>
            </w:tcBorders>
            <w:vAlign w:val="bottom"/>
          </w:tcPr>
          <w:p w14:paraId="1FA2BB6C"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4</w:t>
            </w:r>
            <w:r w:rsidRPr="006F3533">
              <w:rPr>
                <w:rFonts w:cs="Times New Roman"/>
                <w:lang w:val="bg-BG"/>
              </w:rPr>
              <w:t xml:space="preserve"> </w:t>
            </w:r>
            <w:r w:rsidRPr="006F3533">
              <w:rPr>
                <w:rFonts w:cs="Times New Roman"/>
                <w:sz w:val="22"/>
                <w:lang w:val="bg-BG"/>
              </w:rPr>
              <w:t>825</w:t>
            </w:r>
          </w:p>
        </w:tc>
        <w:tc>
          <w:tcPr>
            <w:tcW w:w="774" w:type="pct"/>
            <w:tcBorders>
              <w:top w:val="single" w:sz="4" w:space="0" w:color="auto"/>
              <w:left w:val="nil"/>
              <w:bottom w:val="single" w:sz="4" w:space="0" w:color="auto"/>
              <w:right w:val="single" w:sz="4" w:space="0" w:color="auto"/>
            </w:tcBorders>
            <w:vAlign w:val="bottom"/>
          </w:tcPr>
          <w:p w14:paraId="40FCD139"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7</w:t>
            </w:r>
            <w:r w:rsidRPr="006F3533">
              <w:rPr>
                <w:rFonts w:cs="Times New Roman"/>
                <w:lang w:val="bg-BG"/>
              </w:rPr>
              <w:t xml:space="preserve"> </w:t>
            </w:r>
            <w:r w:rsidRPr="006F3533">
              <w:rPr>
                <w:rFonts w:cs="Times New Roman"/>
                <w:sz w:val="22"/>
                <w:lang w:val="bg-BG"/>
              </w:rPr>
              <w:t>296</w:t>
            </w:r>
            <w:r w:rsidRPr="006F3533">
              <w:rPr>
                <w:rFonts w:cs="Times New Roman"/>
                <w:lang w:val="bg-BG"/>
              </w:rPr>
              <w:t xml:space="preserve"> </w:t>
            </w:r>
            <w:r w:rsidRPr="006F3533">
              <w:rPr>
                <w:rFonts w:cs="Times New Roman"/>
                <w:sz w:val="22"/>
                <w:lang w:val="bg-BG"/>
              </w:rPr>
              <w:t>060</w:t>
            </w:r>
          </w:p>
        </w:tc>
        <w:tc>
          <w:tcPr>
            <w:tcW w:w="707" w:type="pct"/>
            <w:tcBorders>
              <w:top w:val="single" w:sz="4" w:space="0" w:color="auto"/>
              <w:left w:val="single" w:sz="4" w:space="0" w:color="auto"/>
              <w:bottom w:val="single" w:sz="4" w:space="0" w:color="auto"/>
              <w:right w:val="single" w:sz="4" w:space="0" w:color="auto"/>
            </w:tcBorders>
            <w:vAlign w:val="bottom"/>
          </w:tcPr>
          <w:p w14:paraId="3DF355A1"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6</w:t>
            </w:r>
            <w:r w:rsidRPr="006F3533">
              <w:rPr>
                <w:rFonts w:cs="Times New Roman"/>
                <w:lang w:val="bg-BG"/>
              </w:rPr>
              <w:t xml:space="preserve"> </w:t>
            </w:r>
            <w:r w:rsidRPr="006F3533">
              <w:rPr>
                <w:rFonts w:cs="Times New Roman"/>
                <w:sz w:val="22"/>
                <w:lang w:val="bg-BG"/>
              </w:rPr>
              <w:t>475</w:t>
            </w:r>
            <w:r w:rsidRPr="006F3533">
              <w:rPr>
                <w:rFonts w:cs="Times New Roman"/>
                <w:lang w:val="bg-BG"/>
              </w:rPr>
              <w:t xml:space="preserve"> </w:t>
            </w:r>
            <w:r w:rsidRPr="006F3533">
              <w:rPr>
                <w:rFonts w:cs="Times New Roman"/>
                <w:sz w:val="22"/>
                <w:lang w:val="bg-BG"/>
              </w:rPr>
              <w:t>475</w:t>
            </w:r>
          </w:p>
        </w:tc>
      </w:tr>
      <w:tr w:rsidR="000F16D5" w:rsidRPr="006F3533" w14:paraId="1278DB0D" w14:textId="77777777" w:rsidTr="002C1F20">
        <w:trPr>
          <w:trHeight w:val="292"/>
        </w:trPr>
        <w:tc>
          <w:tcPr>
            <w:tcW w:w="428" w:type="pct"/>
          </w:tcPr>
          <w:p w14:paraId="2A840AE7"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(e)</w:t>
            </w:r>
          </w:p>
        </w:tc>
        <w:tc>
          <w:tcPr>
            <w:tcW w:w="1306" w:type="pct"/>
          </w:tcPr>
          <w:p w14:paraId="26A31171"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kindergartens</w:t>
            </w:r>
            <w:proofErr w:type="spellEnd"/>
            <w:r w:rsidRPr="006F3533">
              <w:rPr>
                <w:rFonts w:cs="Times New Roman"/>
                <w:i/>
                <w:iCs/>
                <w:szCs w:val="24"/>
                <w:lang w:val="bg-BG"/>
              </w:rPr>
              <w:t xml:space="preserve"> and </w:t>
            </w:r>
            <w:proofErr w:type="spellStart"/>
            <w:r w:rsidRPr="006F3533">
              <w:rPr>
                <w:rFonts w:cs="Times New Roman"/>
                <w:i/>
                <w:iCs/>
                <w:szCs w:val="24"/>
                <w:lang w:val="bg-BG"/>
              </w:rPr>
              <w:t>nursery</w:t>
            </w:r>
            <w:proofErr w:type="spellEnd"/>
          </w:p>
        </w:tc>
        <w:tc>
          <w:tcPr>
            <w:tcW w:w="427" w:type="pct"/>
          </w:tcPr>
          <w:p w14:paraId="58E0E781"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471E1655"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3</w:t>
            </w:r>
            <w:r w:rsidRPr="006F3533">
              <w:rPr>
                <w:rFonts w:cs="Times New Roman"/>
                <w:lang w:val="bg-BG"/>
              </w:rPr>
              <w:t xml:space="preserve"> </w:t>
            </w:r>
            <w:r w:rsidRPr="006F3533">
              <w:rPr>
                <w:rFonts w:cs="Times New Roman"/>
                <w:sz w:val="22"/>
                <w:lang w:val="bg-BG"/>
              </w:rPr>
              <w:t>154</w:t>
            </w:r>
          </w:p>
        </w:tc>
        <w:tc>
          <w:tcPr>
            <w:tcW w:w="706" w:type="pct"/>
            <w:tcBorders>
              <w:top w:val="single" w:sz="4" w:space="0" w:color="auto"/>
              <w:left w:val="single" w:sz="4" w:space="0" w:color="auto"/>
              <w:bottom w:val="single" w:sz="4" w:space="0" w:color="auto"/>
              <w:right w:val="single" w:sz="4" w:space="0" w:color="auto"/>
            </w:tcBorders>
            <w:vAlign w:val="bottom"/>
          </w:tcPr>
          <w:p w14:paraId="684B85E1"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2</w:t>
            </w:r>
            <w:r w:rsidRPr="006F3533">
              <w:rPr>
                <w:rFonts w:cs="Times New Roman"/>
                <w:lang w:val="bg-BG"/>
              </w:rPr>
              <w:t xml:space="preserve"> </w:t>
            </w:r>
            <w:r w:rsidRPr="006F3533">
              <w:rPr>
                <w:rFonts w:cs="Times New Roman"/>
                <w:sz w:val="22"/>
                <w:lang w:val="bg-BG"/>
              </w:rPr>
              <w:t>730</w:t>
            </w:r>
          </w:p>
        </w:tc>
        <w:tc>
          <w:tcPr>
            <w:tcW w:w="774" w:type="pct"/>
            <w:tcBorders>
              <w:top w:val="single" w:sz="4" w:space="0" w:color="auto"/>
              <w:left w:val="nil"/>
              <w:bottom w:val="single" w:sz="4" w:space="0" w:color="auto"/>
              <w:right w:val="single" w:sz="4" w:space="0" w:color="auto"/>
            </w:tcBorders>
            <w:vAlign w:val="bottom"/>
          </w:tcPr>
          <w:p w14:paraId="345C0220"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2</w:t>
            </w:r>
            <w:r w:rsidRPr="006F3533">
              <w:rPr>
                <w:rFonts w:cs="Times New Roman"/>
                <w:lang w:val="bg-BG"/>
              </w:rPr>
              <w:t xml:space="preserve"> </w:t>
            </w:r>
            <w:r w:rsidRPr="006F3533">
              <w:rPr>
                <w:rFonts w:cs="Times New Roman"/>
                <w:sz w:val="22"/>
                <w:lang w:val="bg-BG"/>
              </w:rPr>
              <w:t>002</w:t>
            </w:r>
            <w:r w:rsidRPr="006F3533">
              <w:rPr>
                <w:rFonts w:cs="Times New Roman"/>
                <w:lang w:val="bg-BG"/>
              </w:rPr>
              <w:t xml:space="preserve"> </w:t>
            </w:r>
            <w:r w:rsidRPr="006F3533">
              <w:rPr>
                <w:rFonts w:cs="Times New Roman"/>
                <w:sz w:val="22"/>
                <w:lang w:val="bg-BG"/>
              </w:rPr>
              <w:t>464</w:t>
            </w:r>
          </w:p>
        </w:tc>
        <w:tc>
          <w:tcPr>
            <w:tcW w:w="707" w:type="pct"/>
            <w:tcBorders>
              <w:top w:val="single" w:sz="4" w:space="0" w:color="auto"/>
              <w:left w:val="single" w:sz="4" w:space="0" w:color="auto"/>
              <w:bottom w:val="single" w:sz="4" w:space="0" w:color="auto"/>
              <w:right w:val="single" w:sz="4" w:space="0" w:color="auto"/>
            </w:tcBorders>
            <w:vAlign w:val="bottom"/>
          </w:tcPr>
          <w:p w14:paraId="48CA42FE"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w:t>
            </w:r>
            <w:r w:rsidRPr="006F3533">
              <w:rPr>
                <w:rFonts w:cs="Times New Roman"/>
                <w:lang w:val="bg-BG"/>
              </w:rPr>
              <w:t xml:space="preserve"> </w:t>
            </w:r>
            <w:r w:rsidRPr="006F3533">
              <w:rPr>
                <w:rFonts w:cs="Times New Roman"/>
                <w:sz w:val="22"/>
                <w:lang w:val="bg-BG"/>
              </w:rPr>
              <w:t>720</w:t>
            </w:r>
            <w:r w:rsidRPr="006F3533">
              <w:rPr>
                <w:rFonts w:cs="Times New Roman"/>
                <w:lang w:val="bg-BG"/>
              </w:rPr>
              <w:t xml:space="preserve"> </w:t>
            </w:r>
            <w:r w:rsidRPr="006F3533">
              <w:rPr>
                <w:rFonts w:cs="Times New Roman"/>
                <w:sz w:val="22"/>
                <w:lang w:val="bg-BG"/>
              </w:rPr>
              <w:t>080</w:t>
            </w:r>
          </w:p>
        </w:tc>
      </w:tr>
      <w:tr w:rsidR="000F16D5" w:rsidRPr="006F3533" w14:paraId="620A619D" w14:textId="77777777" w:rsidTr="002C1F20">
        <w:trPr>
          <w:trHeight w:val="292"/>
        </w:trPr>
        <w:tc>
          <w:tcPr>
            <w:tcW w:w="428" w:type="pct"/>
          </w:tcPr>
          <w:p w14:paraId="41782DDB"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(f)</w:t>
            </w:r>
          </w:p>
        </w:tc>
        <w:tc>
          <w:tcPr>
            <w:tcW w:w="1306" w:type="pct"/>
          </w:tcPr>
          <w:p w14:paraId="3A8403E0"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hospitals</w:t>
            </w:r>
            <w:proofErr w:type="spellEnd"/>
            <w:r w:rsidRPr="006F3533">
              <w:rPr>
                <w:rFonts w:cs="Times New Roman"/>
                <w:i/>
                <w:iCs/>
                <w:szCs w:val="24"/>
                <w:lang w:val="bg-BG"/>
              </w:rPr>
              <w:t xml:space="preserve"> &amp; </w:t>
            </w:r>
            <w:proofErr w:type="spellStart"/>
            <w:r w:rsidRPr="006F3533">
              <w:rPr>
                <w:rFonts w:cs="Times New Roman"/>
                <w:i/>
                <w:iCs/>
                <w:szCs w:val="24"/>
                <w:lang w:val="bg-BG"/>
              </w:rPr>
              <w:t>healthcare</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427" w:type="pct"/>
          </w:tcPr>
          <w:p w14:paraId="75956FA1"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00E869BB"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3</w:t>
            </w:r>
            <w:r w:rsidRPr="006F3533">
              <w:rPr>
                <w:rFonts w:cs="Times New Roman"/>
                <w:lang w:val="bg-BG"/>
              </w:rPr>
              <w:t xml:space="preserve"> </w:t>
            </w:r>
            <w:r w:rsidRPr="006F3533">
              <w:rPr>
                <w:rFonts w:cs="Times New Roman"/>
                <w:sz w:val="22"/>
                <w:lang w:val="bg-BG"/>
              </w:rPr>
              <w:t>359</w:t>
            </w:r>
          </w:p>
        </w:tc>
        <w:tc>
          <w:tcPr>
            <w:tcW w:w="706" w:type="pct"/>
            <w:tcBorders>
              <w:top w:val="single" w:sz="4" w:space="0" w:color="auto"/>
              <w:left w:val="single" w:sz="4" w:space="0" w:color="auto"/>
              <w:bottom w:val="single" w:sz="4" w:space="0" w:color="auto"/>
              <w:right w:val="single" w:sz="4" w:space="0" w:color="auto"/>
            </w:tcBorders>
            <w:vAlign w:val="bottom"/>
          </w:tcPr>
          <w:p w14:paraId="6F2CD052"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6</w:t>
            </w:r>
            <w:r w:rsidRPr="006F3533">
              <w:rPr>
                <w:rFonts w:cs="Times New Roman"/>
                <w:lang w:val="bg-BG"/>
              </w:rPr>
              <w:t xml:space="preserve"> </w:t>
            </w:r>
            <w:r w:rsidRPr="006F3533">
              <w:rPr>
                <w:rFonts w:cs="Times New Roman"/>
                <w:sz w:val="22"/>
                <w:lang w:val="bg-BG"/>
              </w:rPr>
              <w:t>067</w:t>
            </w:r>
          </w:p>
        </w:tc>
        <w:tc>
          <w:tcPr>
            <w:tcW w:w="774" w:type="pct"/>
            <w:tcBorders>
              <w:top w:val="single" w:sz="4" w:space="0" w:color="auto"/>
              <w:left w:val="nil"/>
              <w:bottom w:val="single" w:sz="4" w:space="0" w:color="auto"/>
              <w:right w:val="single" w:sz="4" w:space="0" w:color="auto"/>
            </w:tcBorders>
            <w:vAlign w:val="bottom"/>
          </w:tcPr>
          <w:p w14:paraId="2540CC22"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3</w:t>
            </w:r>
            <w:r w:rsidRPr="006F3533">
              <w:rPr>
                <w:rFonts w:cs="Times New Roman"/>
                <w:lang w:val="bg-BG"/>
              </w:rPr>
              <w:t xml:space="preserve"> </w:t>
            </w:r>
            <w:r w:rsidRPr="006F3533">
              <w:rPr>
                <w:rFonts w:cs="Times New Roman"/>
                <w:sz w:val="22"/>
                <w:lang w:val="bg-BG"/>
              </w:rPr>
              <w:t>677</w:t>
            </w:r>
            <w:r w:rsidRPr="006F3533">
              <w:rPr>
                <w:rFonts w:cs="Times New Roman"/>
                <w:lang w:val="bg-BG"/>
              </w:rPr>
              <w:t xml:space="preserve"> </w:t>
            </w:r>
            <w:r w:rsidRPr="006F3533">
              <w:rPr>
                <w:rFonts w:cs="Times New Roman"/>
                <w:sz w:val="22"/>
                <w:lang w:val="bg-BG"/>
              </w:rPr>
              <w:t>451</w:t>
            </w:r>
          </w:p>
        </w:tc>
        <w:tc>
          <w:tcPr>
            <w:tcW w:w="707" w:type="pct"/>
            <w:tcBorders>
              <w:top w:val="single" w:sz="4" w:space="0" w:color="auto"/>
              <w:left w:val="single" w:sz="4" w:space="0" w:color="auto"/>
              <w:bottom w:val="single" w:sz="4" w:space="0" w:color="auto"/>
              <w:right w:val="single" w:sz="4" w:space="0" w:color="auto"/>
            </w:tcBorders>
            <w:vAlign w:val="bottom"/>
          </w:tcPr>
          <w:p w14:paraId="41E3FA69"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7</w:t>
            </w:r>
            <w:r w:rsidRPr="006F3533">
              <w:rPr>
                <w:rFonts w:cs="Times New Roman"/>
                <w:lang w:val="bg-BG"/>
              </w:rPr>
              <w:t xml:space="preserve"> </w:t>
            </w:r>
            <w:r w:rsidRPr="006F3533">
              <w:rPr>
                <w:rFonts w:cs="Times New Roman"/>
                <w:sz w:val="22"/>
                <w:lang w:val="bg-BG"/>
              </w:rPr>
              <w:t>025</w:t>
            </w:r>
            <w:r w:rsidRPr="006F3533">
              <w:rPr>
                <w:rFonts w:cs="Times New Roman"/>
                <w:lang w:val="bg-BG"/>
              </w:rPr>
              <w:t xml:space="preserve"> </w:t>
            </w:r>
            <w:r w:rsidRPr="006F3533">
              <w:rPr>
                <w:rFonts w:cs="Times New Roman"/>
                <w:sz w:val="22"/>
                <w:lang w:val="bg-BG"/>
              </w:rPr>
              <w:t>565</w:t>
            </w:r>
          </w:p>
        </w:tc>
      </w:tr>
      <w:tr w:rsidR="000F16D5" w:rsidRPr="006F3533" w14:paraId="72167D17" w14:textId="77777777" w:rsidTr="002C1F20">
        <w:trPr>
          <w:trHeight w:val="292"/>
        </w:trPr>
        <w:tc>
          <w:tcPr>
            <w:tcW w:w="428" w:type="pct"/>
          </w:tcPr>
          <w:p w14:paraId="434FAB36"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(g)</w:t>
            </w:r>
          </w:p>
        </w:tc>
        <w:tc>
          <w:tcPr>
            <w:tcW w:w="1306" w:type="pct"/>
          </w:tcPr>
          <w:p w14:paraId="62681506"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hotels</w:t>
            </w:r>
            <w:proofErr w:type="spellEnd"/>
            <w:r w:rsidRPr="006F3533">
              <w:rPr>
                <w:rFonts w:cs="Times New Roman"/>
                <w:i/>
                <w:iCs/>
                <w:szCs w:val="24"/>
                <w:lang w:val="bg-BG"/>
              </w:rPr>
              <w:t xml:space="preserve"> and </w:t>
            </w:r>
            <w:proofErr w:type="spellStart"/>
            <w:r w:rsidRPr="006F3533">
              <w:rPr>
                <w:rFonts w:cs="Times New Roman"/>
                <w:i/>
                <w:iCs/>
                <w:szCs w:val="24"/>
                <w:lang w:val="bg-BG"/>
              </w:rPr>
              <w:t>restaurants</w:t>
            </w:r>
            <w:proofErr w:type="spellEnd"/>
          </w:p>
        </w:tc>
        <w:tc>
          <w:tcPr>
            <w:tcW w:w="427" w:type="pct"/>
          </w:tcPr>
          <w:p w14:paraId="4DFB8249"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44C21511"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22</w:t>
            </w:r>
            <w:r w:rsidRPr="006F3533">
              <w:rPr>
                <w:rFonts w:cs="Times New Roman"/>
                <w:lang w:val="bg-BG"/>
              </w:rPr>
              <w:t xml:space="preserve"> </w:t>
            </w:r>
            <w:r w:rsidRPr="006F3533">
              <w:rPr>
                <w:rFonts w:cs="Times New Roman"/>
                <w:sz w:val="22"/>
                <w:lang w:val="bg-BG"/>
              </w:rPr>
              <w:t>308</w:t>
            </w:r>
          </w:p>
        </w:tc>
        <w:tc>
          <w:tcPr>
            <w:tcW w:w="706" w:type="pct"/>
            <w:tcBorders>
              <w:top w:val="single" w:sz="4" w:space="0" w:color="auto"/>
              <w:left w:val="single" w:sz="4" w:space="0" w:color="auto"/>
              <w:bottom w:val="single" w:sz="4" w:space="0" w:color="auto"/>
              <w:right w:val="single" w:sz="4" w:space="0" w:color="auto"/>
            </w:tcBorders>
            <w:vAlign w:val="bottom"/>
          </w:tcPr>
          <w:p w14:paraId="64AF1241"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19</w:t>
            </w:r>
            <w:r w:rsidRPr="006F3533">
              <w:rPr>
                <w:rFonts w:cs="Times New Roman"/>
                <w:lang w:val="bg-BG"/>
              </w:rPr>
              <w:t xml:space="preserve"> </w:t>
            </w:r>
            <w:r w:rsidRPr="006F3533">
              <w:rPr>
                <w:rFonts w:cs="Times New Roman"/>
                <w:sz w:val="22"/>
                <w:lang w:val="bg-BG"/>
              </w:rPr>
              <w:t>347</w:t>
            </w:r>
          </w:p>
        </w:tc>
        <w:tc>
          <w:tcPr>
            <w:tcW w:w="774" w:type="pct"/>
            <w:tcBorders>
              <w:top w:val="single" w:sz="4" w:space="0" w:color="auto"/>
              <w:left w:val="nil"/>
              <w:bottom w:val="single" w:sz="4" w:space="0" w:color="auto"/>
              <w:right w:val="single" w:sz="4" w:space="0" w:color="auto"/>
            </w:tcBorders>
            <w:vAlign w:val="bottom"/>
          </w:tcPr>
          <w:p w14:paraId="2B5C22BA"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17</w:t>
            </w:r>
            <w:r w:rsidRPr="006F3533">
              <w:rPr>
                <w:rFonts w:cs="Times New Roman"/>
                <w:lang w:val="bg-BG"/>
              </w:rPr>
              <w:t xml:space="preserve"> </w:t>
            </w:r>
            <w:r w:rsidRPr="006F3533">
              <w:rPr>
                <w:rFonts w:cs="Times New Roman"/>
                <w:sz w:val="22"/>
                <w:lang w:val="bg-BG"/>
              </w:rPr>
              <w:t>429</w:t>
            </w:r>
            <w:r w:rsidRPr="006F3533">
              <w:rPr>
                <w:rFonts w:cs="Times New Roman"/>
                <w:lang w:val="bg-BG"/>
              </w:rPr>
              <w:t xml:space="preserve"> </w:t>
            </w:r>
            <w:r w:rsidRPr="006F3533">
              <w:rPr>
                <w:rFonts w:cs="Times New Roman"/>
                <w:sz w:val="22"/>
                <w:lang w:val="bg-BG"/>
              </w:rPr>
              <w:t>439</w:t>
            </w:r>
          </w:p>
        </w:tc>
        <w:tc>
          <w:tcPr>
            <w:tcW w:w="707" w:type="pct"/>
            <w:tcBorders>
              <w:top w:val="single" w:sz="4" w:space="0" w:color="auto"/>
              <w:left w:val="single" w:sz="4" w:space="0" w:color="auto"/>
              <w:bottom w:val="single" w:sz="4" w:space="0" w:color="auto"/>
              <w:right w:val="single" w:sz="4" w:space="0" w:color="auto"/>
            </w:tcBorders>
            <w:vAlign w:val="bottom"/>
          </w:tcPr>
          <w:p w14:paraId="08AD0E9E"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13</w:t>
            </w:r>
            <w:r w:rsidRPr="006F3533">
              <w:rPr>
                <w:rFonts w:cs="Times New Roman"/>
                <w:lang w:val="bg-BG"/>
              </w:rPr>
              <w:t xml:space="preserve"> </w:t>
            </w:r>
            <w:r w:rsidRPr="006F3533">
              <w:rPr>
                <w:rFonts w:cs="Times New Roman"/>
                <w:sz w:val="22"/>
                <w:lang w:val="bg-BG"/>
              </w:rPr>
              <w:t>707</w:t>
            </w:r>
            <w:r w:rsidRPr="006F3533">
              <w:rPr>
                <w:rFonts w:cs="Times New Roman"/>
                <w:lang w:val="bg-BG"/>
              </w:rPr>
              <w:t xml:space="preserve"> </w:t>
            </w:r>
            <w:r w:rsidRPr="006F3533">
              <w:rPr>
                <w:rFonts w:cs="Times New Roman"/>
                <w:sz w:val="22"/>
                <w:lang w:val="bg-BG"/>
              </w:rPr>
              <w:t>938</w:t>
            </w:r>
          </w:p>
        </w:tc>
      </w:tr>
      <w:tr w:rsidR="000F16D5" w:rsidRPr="006F3533" w14:paraId="778BC8AC" w14:textId="77777777" w:rsidTr="002C1F20">
        <w:trPr>
          <w:trHeight w:val="292"/>
        </w:trPr>
        <w:tc>
          <w:tcPr>
            <w:tcW w:w="428" w:type="pct"/>
          </w:tcPr>
          <w:p w14:paraId="63C9D650"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(h)</w:t>
            </w:r>
          </w:p>
        </w:tc>
        <w:tc>
          <w:tcPr>
            <w:tcW w:w="1306" w:type="pct"/>
          </w:tcPr>
          <w:p w14:paraId="512F97C0"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wholesale</w:t>
            </w:r>
            <w:proofErr w:type="spellEnd"/>
            <w:r w:rsidRPr="006F3533">
              <w:rPr>
                <w:rFonts w:cs="Times New Roman"/>
                <w:i/>
                <w:iCs/>
                <w:szCs w:val="24"/>
                <w:lang w:val="bg-BG"/>
              </w:rPr>
              <w:t xml:space="preserve"> and </w:t>
            </w:r>
            <w:proofErr w:type="spellStart"/>
            <w:r w:rsidRPr="006F3533">
              <w:rPr>
                <w:rFonts w:cs="Times New Roman"/>
                <w:i/>
                <w:iCs/>
                <w:szCs w:val="24"/>
                <w:lang w:val="bg-BG"/>
              </w:rPr>
              <w:t>retail</w:t>
            </w:r>
            <w:proofErr w:type="spellEnd"/>
            <w:r w:rsidRPr="006F3533">
              <w:rPr>
                <w:rFonts w:cs="Times New Roman"/>
                <w:i/>
                <w:iCs/>
                <w:szCs w:val="24"/>
                <w:lang w:val="bg-BG"/>
              </w:rPr>
              <w:t xml:space="preserve"> </w:t>
            </w:r>
            <w:proofErr w:type="spellStart"/>
            <w:r w:rsidRPr="006F3533">
              <w:rPr>
                <w:rFonts w:cs="Times New Roman"/>
                <w:i/>
                <w:iCs/>
                <w:szCs w:val="24"/>
                <w:lang w:val="bg-BG"/>
              </w:rPr>
              <w:t>trade</w:t>
            </w:r>
            <w:proofErr w:type="spellEnd"/>
            <w:r w:rsidRPr="006F3533">
              <w:rPr>
                <w:rFonts w:cs="Times New Roman"/>
                <w:i/>
                <w:iCs/>
                <w:szCs w:val="24"/>
                <w:lang w:val="bg-BG"/>
              </w:rPr>
              <w:t xml:space="preserve"> </w:t>
            </w:r>
            <w:proofErr w:type="spellStart"/>
            <w:r w:rsidRPr="006F3533">
              <w:rPr>
                <w:rFonts w:cs="Times New Roman"/>
                <w:i/>
                <w:iCs/>
                <w:szCs w:val="24"/>
                <w:lang w:val="bg-BG"/>
              </w:rPr>
              <w:t>services</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427" w:type="pct"/>
          </w:tcPr>
          <w:p w14:paraId="29DD6EAD"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2EEBB917"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49</w:t>
            </w:r>
            <w:r w:rsidRPr="006F3533">
              <w:rPr>
                <w:rFonts w:cs="Times New Roman"/>
                <w:lang w:val="bg-BG"/>
              </w:rPr>
              <w:t xml:space="preserve"> </w:t>
            </w:r>
            <w:r w:rsidRPr="006F3533">
              <w:rPr>
                <w:rFonts w:cs="Times New Roman"/>
                <w:sz w:val="22"/>
                <w:lang w:val="bg-BG"/>
              </w:rPr>
              <w:t>859</w:t>
            </w:r>
          </w:p>
        </w:tc>
        <w:tc>
          <w:tcPr>
            <w:tcW w:w="706" w:type="pct"/>
            <w:tcBorders>
              <w:top w:val="single" w:sz="4" w:space="0" w:color="auto"/>
              <w:left w:val="single" w:sz="4" w:space="0" w:color="auto"/>
              <w:bottom w:val="single" w:sz="4" w:space="0" w:color="auto"/>
              <w:right w:val="single" w:sz="4" w:space="0" w:color="auto"/>
            </w:tcBorders>
            <w:vAlign w:val="bottom"/>
          </w:tcPr>
          <w:p w14:paraId="242883D2"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30</w:t>
            </w:r>
            <w:r w:rsidRPr="006F3533">
              <w:rPr>
                <w:rFonts w:cs="Times New Roman"/>
                <w:lang w:val="bg-BG"/>
              </w:rPr>
              <w:t xml:space="preserve"> </w:t>
            </w:r>
            <w:r w:rsidRPr="006F3533">
              <w:rPr>
                <w:rFonts w:cs="Times New Roman"/>
                <w:sz w:val="22"/>
                <w:lang w:val="bg-BG"/>
              </w:rPr>
              <w:t>753</w:t>
            </w:r>
          </w:p>
        </w:tc>
        <w:tc>
          <w:tcPr>
            <w:tcW w:w="774" w:type="pct"/>
            <w:tcBorders>
              <w:top w:val="single" w:sz="4" w:space="0" w:color="auto"/>
              <w:left w:val="nil"/>
              <w:bottom w:val="single" w:sz="4" w:space="0" w:color="auto"/>
              <w:right w:val="single" w:sz="4" w:space="0" w:color="auto"/>
            </w:tcBorders>
            <w:vAlign w:val="bottom"/>
          </w:tcPr>
          <w:p w14:paraId="4155C84F"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15</w:t>
            </w:r>
            <w:r w:rsidRPr="006F3533">
              <w:rPr>
                <w:rFonts w:cs="Times New Roman"/>
                <w:lang w:val="bg-BG"/>
              </w:rPr>
              <w:t xml:space="preserve"> </w:t>
            </w:r>
            <w:r w:rsidRPr="006F3533">
              <w:rPr>
                <w:rFonts w:cs="Times New Roman"/>
                <w:sz w:val="22"/>
                <w:lang w:val="bg-BG"/>
              </w:rPr>
              <w:t>140</w:t>
            </w:r>
            <w:r w:rsidRPr="006F3533">
              <w:rPr>
                <w:rFonts w:cs="Times New Roman"/>
                <w:lang w:val="bg-BG"/>
              </w:rPr>
              <w:t xml:space="preserve"> </w:t>
            </w:r>
            <w:r w:rsidRPr="006F3533">
              <w:rPr>
                <w:rFonts w:cs="Times New Roman"/>
                <w:sz w:val="22"/>
                <w:lang w:val="bg-BG"/>
              </w:rPr>
              <w:t>975</w:t>
            </w:r>
          </w:p>
        </w:tc>
        <w:tc>
          <w:tcPr>
            <w:tcW w:w="707" w:type="pct"/>
            <w:tcBorders>
              <w:top w:val="single" w:sz="4" w:space="0" w:color="auto"/>
              <w:left w:val="single" w:sz="4" w:space="0" w:color="auto"/>
              <w:bottom w:val="single" w:sz="4" w:space="0" w:color="auto"/>
              <w:right w:val="single" w:sz="4" w:space="0" w:color="auto"/>
            </w:tcBorders>
            <w:vAlign w:val="bottom"/>
          </w:tcPr>
          <w:p w14:paraId="12F2614F"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7</w:t>
            </w:r>
            <w:r w:rsidRPr="006F3533">
              <w:rPr>
                <w:rFonts w:cs="Times New Roman"/>
                <w:lang w:val="bg-BG"/>
              </w:rPr>
              <w:t xml:space="preserve"> </w:t>
            </w:r>
            <w:r w:rsidRPr="006F3533">
              <w:rPr>
                <w:rFonts w:cs="Times New Roman"/>
                <w:sz w:val="22"/>
                <w:lang w:val="bg-BG"/>
              </w:rPr>
              <w:t>629</w:t>
            </w:r>
            <w:r w:rsidRPr="006F3533">
              <w:rPr>
                <w:rFonts w:cs="Times New Roman"/>
                <w:lang w:val="bg-BG"/>
              </w:rPr>
              <w:t xml:space="preserve"> </w:t>
            </w:r>
            <w:r w:rsidRPr="006F3533">
              <w:rPr>
                <w:rFonts w:cs="Times New Roman"/>
                <w:sz w:val="22"/>
                <w:lang w:val="bg-BG"/>
              </w:rPr>
              <w:t>791</w:t>
            </w:r>
          </w:p>
        </w:tc>
      </w:tr>
      <w:tr w:rsidR="000F16D5" w:rsidRPr="006F3533" w14:paraId="295322BB" w14:textId="77777777" w:rsidTr="002C1F20">
        <w:trPr>
          <w:trHeight w:val="292"/>
        </w:trPr>
        <w:tc>
          <w:tcPr>
            <w:tcW w:w="428" w:type="pct"/>
          </w:tcPr>
          <w:p w14:paraId="489E586F"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(i)</w:t>
            </w:r>
          </w:p>
        </w:tc>
        <w:tc>
          <w:tcPr>
            <w:tcW w:w="1306" w:type="pct"/>
          </w:tcPr>
          <w:p w14:paraId="7DB36E2A"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sport</w:t>
            </w:r>
            <w:proofErr w:type="spellEnd"/>
            <w:r w:rsidRPr="006F3533">
              <w:rPr>
                <w:rFonts w:cs="Times New Roman"/>
                <w:i/>
                <w:iCs/>
                <w:szCs w:val="24"/>
                <w:lang w:val="bg-BG"/>
              </w:rPr>
              <w:t xml:space="preserve"> </w:t>
            </w:r>
            <w:proofErr w:type="spellStart"/>
            <w:r w:rsidRPr="006F3533">
              <w:rPr>
                <w:rFonts w:cs="Times New Roman"/>
                <w:i/>
                <w:iCs/>
                <w:szCs w:val="24"/>
                <w:lang w:val="bg-BG"/>
              </w:rPr>
              <w:t>facilities</w:t>
            </w:r>
            <w:proofErr w:type="spellEnd"/>
          </w:p>
        </w:tc>
        <w:tc>
          <w:tcPr>
            <w:tcW w:w="427" w:type="pct"/>
          </w:tcPr>
          <w:p w14:paraId="67964B46"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0BD2ACC0"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w:t>
            </w:r>
            <w:r w:rsidRPr="006F3533">
              <w:rPr>
                <w:rFonts w:cs="Times New Roman"/>
                <w:lang w:val="bg-BG"/>
              </w:rPr>
              <w:t xml:space="preserve"> </w:t>
            </w:r>
            <w:r w:rsidRPr="006F3533">
              <w:rPr>
                <w:rFonts w:cs="Times New Roman"/>
                <w:sz w:val="22"/>
                <w:lang w:val="bg-BG"/>
              </w:rPr>
              <w:t>872</w:t>
            </w:r>
          </w:p>
        </w:tc>
        <w:tc>
          <w:tcPr>
            <w:tcW w:w="706" w:type="pct"/>
            <w:tcBorders>
              <w:top w:val="single" w:sz="4" w:space="0" w:color="auto"/>
              <w:left w:val="single" w:sz="4" w:space="0" w:color="auto"/>
              <w:bottom w:val="single" w:sz="4" w:space="0" w:color="auto"/>
              <w:right w:val="single" w:sz="4" w:space="0" w:color="auto"/>
            </w:tcBorders>
            <w:vAlign w:val="bottom"/>
          </w:tcPr>
          <w:p w14:paraId="2C39FFF1"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w:t>
            </w:r>
            <w:r w:rsidRPr="006F3533">
              <w:rPr>
                <w:rFonts w:cs="Times New Roman"/>
                <w:lang w:val="bg-BG"/>
              </w:rPr>
              <w:t xml:space="preserve"> </w:t>
            </w:r>
            <w:r w:rsidRPr="006F3533">
              <w:rPr>
                <w:rFonts w:cs="Times New Roman"/>
                <w:sz w:val="22"/>
                <w:lang w:val="bg-BG"/>
              </w:rPr>
              <w:t>577</w:t>
            </w:r>
          </w:p>
        </w:tc>
        <w:tc>
          <w:tcPr>
            <w:tcW w:w="774" w:type="pct"/>
            <w:tcBorders>
              <w:top w:val="single" w:sz="4" w:space="0" w:color="auto"/>
              <w:left w:val="nil"/>
              <w:bottom w:val="single" w:sz="4" w:space="0" w:color="auto"/>
              <w:right w:val="single" w:sz="4" w:space="0" w:color="auto"/>
            </w:tcBorders>
            <w:vAlign w:val="bottom"/>
          </w:tcPr>
          <w:p w14:paraId="481C9140"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w:t>
            </w:r>
            <w:r w:rsidRPr="006F3533">
              <w:rPr>
                <w:rFonts w:cs="Times New Roman"/>
                <w:lang w:val="bg-BG"/>
              </w:rPr>
              <w:t xml:space="preserve"> </w:t>
            </w:r>
            <w:r w:rsidRPr="006F3533">
              <w:rPr>
                <w:rFonts w:cs="Times New Roman"/>
                <w:sz w:val="22"/>
                <w:lang w:val="bg-BG"/>
              </w:rPr>
              <w:t>573</w:t>
            </w:r>
            <w:r w:rsidRPr="006F3533">
              <w:rPr>
                <w:rFonts w:cs="Times New Roman"/>
                <w:lang w:val="bg-BG"/>
              </w:rPr>
              <w:t xml:space="preserve"> </w:t>
            </w:r>
            <w:r w:rsidRPr="006F3533">
              <w:rPr>
                <w:rFonts w:cs="Times New Roman"/>
                <w:sz w:val="22"/>
                <w:lang w:val="bg-BG"/>
              </w:rPr>
              <w:t>264</w:t>
            </w:r>
          </w:p>
        </w:tc>
        <w:tc>
          <w:tcPr>
            <w:tcW w:w="707" w:type="pct"/>
            <w:tcBorders>
              <w:top w:val="single" w:sz="4" w:space="0" w:color="auto"/>
              <w:left w:val="single" w:sz="4" w:space="0" w:color="auto"/>
              <w:bottom w:val="single" w:sz="4" w:space="0" w:color="auto"/>
              <w:right w:val="single" w:sz="4" w:space="0" w:color="auto"/>
            </w:tcBorders>
            <w:vAlign w:val="bottom"/>
          </w:tcPr>
          <w:p w14:paraId="0AFD0FC8"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w:t>
            </w:r>
            <w:r w:rsidRPr="006F3533">
              <w:rPr>
                <w:rFonts w:cs="Times New Roman"/>
                <w:lang w:val="bg-BG"/>
              </w:rPr>
              <w:t xml:space="preserve"> </w:t>
            </w:r>
            <w:r w:rsidRPr="006F3533">
              <w:rPr>
                <w:rFonts w:cs="Times New Roman"/>
                <w:sz w:val="22"/>
                <w:lang w:val="bg-BG"/>
              </w:rPr>
              <w:t>300</w:t>
            </w:r>
            <w:r w:rsidRPr="006F3533">
              <w:rPr>
                <w:rFonts w:cs="Times New Roman"/>
                <w:lang w:val="bg-BG"/>
              </w:rPr>
              <w:t xml:space="preserve"> </w:t>
            </w:r>
            <w:r w:rsidRPr="006F3533">
              <w:rPr>
                <w:rFonts w:cs="Times New Roman"/>
                <w:sz w:val="22"/>
                <w:lang w:val="bg-BG"/>
              </w:rPr>
              <w:t>677</w:t>
            </w:r>
          </w:p>
        </w:tc>
      </w:tr>
      <w:tr w:rsidR="000F16D5" w:rsidRPr="006F3533" w14:paraId="583F21C0" w14:textId="77777777" w:rsidTr="002C1F20">
        <w:trPr>
          <w:trHeight w:val="292"/>
        </w:trPr>
        <w:tc>
          <w:tcPr>
            <w:tcW w:w="428" w:type="pct"/>
          </w:tcPr>
          <w:p w14:paraId="756826D0"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(j)</w:t>
            </w:r>
          </w:p>
        </w:tc>
        <w:tc>
          <w:tcPr>
            <w:tcW w:w="1306" w:type="pct"/>
          </w:tcPr>
          <w:p w14:paraId="37A5F352"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culture</w:t>
            </w:r>
            <w:proofErr w:type="spellEnd"/>
            <w:r w:rsidRPr="006F3533">
              <w:rPr>
                <w:rFonts w:cs="Times New Roman"/>
                <w:i/>
                <w:iCs/>
                <w:szCs w:val="24"/>
                <w:lang w:val="bg-BG"/>
              </w:rPr>
              <w:t xml:space="preserve"> and </w:t>
            </w:r>
            <w:proofErr w:type="spellStart"/>
            <w:r w:rsidRPr="006F3533">
              <w:rPr>
                <w:rFonts w:cs="Times New Roman"/>
                <w:i/>
                <w:iCs/>
                <w:szCs w:val="24"/>
                <w:lang w:val="bg-BG"/>
              </w:rPr>
              <w:t>art</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427" w:type="pct"/>
          </w:tcPr>
          <w:p w14:paraId="74747112"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3222A90A"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2</w:t>
            </w:r>
            <w:r w:rsidRPr="006F3533">
              <w:rPr>
                <w:rFonts w:cs="Times New Roman"/>
                <w:lang w:val="bg-BG"/>
              </w:rPr>
              <w:t xml:space="preserve"> </w:t>
            </w:r>
            <w:r w:rsidRPr="006F3533">
              <w:rPr>
                <w:rFonts w:cs="Times New Roman"/>
                <w:sz w:val="22"/>
                <w:lang w:val="bg-BG"/>
              </w:rPr>
              <w:t>507</w:t>
            </w:r>
          </w:p>
        </w:tc>
        <w:tc>
          <w:tcPr>
            <w:tcW w:w="706" w:type="pct"/>
            <w:tcBorders>
              <w:top w:val="single" w:sz="4" w:space="0" w:color="auto"/>
              <w:left w:val="single" w:sz="4" w:space="0" w:color="auto"/>
              <w:bottom w:val="single" w:sz="4" w:space="0" w:color="auto"/>
              <w:right w:val="single" w:sz="4" w:space="0" w:color="auto"/>
            </w:tcBorders>
            <w:vAlign w:val="bottom"/>
          </w:tcPr>
          <w:p w14:paraId="76BBB4E1"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2</w:t>
            </w:r>
            <w:r w:rsidRPr="006F3533">
              <w:rPr>
                <w:rFonts w:cs="Times New Roman"/>
                <w:lang w:val="bg-BG"/>
              </w:rPr>
              <w:t xml:space="preserve"> </w:t>
            </w:r>
            <w:r w:rsidRPr="006F3533">
              <w:rPr>
                <w:rFonts w:cs="Times New Roman"/>
                <w:sz w:val="22"/>
                <w:lang w:val="bg-BG"/>
              </w:rPr>
              <w:t>062</w:t>
            </w:r>
          </w:p>
        </w:tc>
        <w:tc>
          <w:tcPr>
            <w:tcW w:w="774" w:type="pct"/>
            <w:tcBorders>
              <w:top w:val="single" w:sz="4" w:space="0" w:color="auto"/>
              <w:left w:val="nil"/>
              <w:bottom w:val="single" w:sz="4" w:space="0" w:color="auto"/>
              <w:right w:val="single" w:sz="4" w:space="0" w:color="auto"/>
            </w:tcBorders>
            <w:vAlign w:val="bottom"/>
          </w:tcPr>
          <w:p w14:paraId="1A170A2F"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w:t>
            </w:r>
            <w:r w:rsidRPr="006F3533">
              <w:rPr>
                <w:rFonts w:cs="Times New Roman"/>
                <w:lang w:val="bg-BG"/>
              </w:rPr>
              <w:t xml:space="preserve"> </w:t>
            </w:r>
            <w:r w:rsidRPr="006F3533">
              <w:rPr>
                <w:rFonts w:cs="Times New Roman"/>
                <w:sz w:val="22"/>
                <w:lang w:val="bg-BG"/>
              </w:rPr>
              <w:t>964</w:t>
            </w:r>
            <w:r w:rsidRPr="006F3533">
              <w:rPr>
                <w:rFonts w:cs="Times New Roman"/>
                <w:lang w:val="bg-BG"/>
              </w:rPr>
              <w:t xml:space="preserve"> </w:t>
            </w:r>
            <w:r w:rsidRPr="006F3533">
              <w:rPr>
                <w:rFonts w:cs="Times New Roman"/>
                <w:sz w:val="22"/>
                <w:lang w:val="bg-BG"/>
              </w:rPr>
              <w:t>145</w:t>
            </w:r>
          </w:p>
        </w:tc>
        <w:tc>
          <w:tcPr>
            <w:tcW w:w="707" w:type="pct"/>
            <w:tcBorders>
              <w:top w:val="single" w:sz="4" w:space="0" w:color="auto"/>
              <w:left w:val="single" w:sz="4" w:space="0" w:color="auto"/>
              <w:bottom w:val="single" w:sz="4" w:space="0" w:color="auto"/>
              <w:right w:val="single" w:sz="4" w:space="0" w:color="auto"/>
            </w:tcBorders>
            <w:vAlign w:val="bottom"/>
          </w:tcPr>
          <w:p w14:paraId="00EE7D07"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w:t>
            </w:r>
            <w:r w:rsidRPr="006F3533">
              <w:rPr>
                <w:rFonts w:cs="Times New Roman"/>
                <w:lang w:val="bg-BG"/>
              </w:rPr>
              <w:t xml:space="preserve"> </w:t>
            </w:r>
            <w:r w:rsidRPr="006F3533">
              <w:rPr>
                <w:rFonts w:cs="Times New Roman"/>
                <w:sz w:val="22"/>
                <w:lang w:val="bg-BG"/>
              </w:rPr>
              <w:t>665</w:t>
            </w:r>
            <w:r w:rsidRPr="006F3533">
              <w:rPr>
                <w:rFonts w:cs="Times New Roman"/>
                <w:lang w:val="bg-BG"/>
              </w:rPr>
              <w:t xml:space="preserve"> </w:t>
            </w:r>
            <w:r w:rsidRPr="006F3533">
              <w:rPr>
                <w:rFonts w:cs="Times New Roman"/>
                <w:sz w:val="22"/>
                <w:lang w:val="bg-BG"/>
              </w:rPr>
              <w:t>951</w:t>
            </w:r>
          </w:p>
        </w:tc>
      </w:tr>
      <w:tr w:rsidR="000F16D5" w:rsidRPr="006F3533" w14:paraId="6A508DCF" w14:textId="77777777" w:rsidTr="002C1F20">
        <w:trPr>
          <w:trHeight w:val="292"/>
        </w:trPr>
        <w:tc>
          <w:tcPr>
            <w:tcW w:w="428" w:type="pct"/>
          </w:tcPr>
          <w:p w14:paraId="08FEA30A"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(k)</w:t>
            </w:r>
          </w:p>
        </w:tc>
        <w:tc>
          <w:tcPr>
            <w:tcW w:w="1306" w:type="pct"/>
          </w:tcPr>
          <w:p w14:paraId="2BC15EDF"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i/>
                <w:iCs/>
                <w:szCs w:val="24"/>
                <w:lang w:val="bg-BG"/>
              </w:rPr>
              <w:t>Other</w:t>
            </w:r>
            <w:proofErr w:type="spellEnd"/>
            <w:r w:rsidRPr="006F3533">
              <w:rPr>
                <w:rFonts w:cs="Times New Roman"/>
                <w:i/>
                <w:iCs/>
                <w:szCs w:val="24"/>
                <w:lang w:val="bg-BG"/>
              </w:rPr>
              <w:t xml:space="preserve"> </w:t>
            </w:r>
            <w:proofErr w:type="spellStart"/>
            <w:r w:rsidRPr="006F3533">
              <w:rPr>
                <w:rFonts w:cs="Times New Roman"/>
                <w:i/>
                <w:iCs/>
                <w:szCs w:val="24"/>
                <w:lang w:val="bg-BG"/>
              </w:rPr>
              <w:t>type</w:t>
            </w:r>
            <w:proofErr w:type="spellEnd"/>
            <w:r w:rsidRPr="006F3533">
              <w:rPr>
                <w:rFonts w:cs="Times New Roman"/>
                <w:i/>
                <w:iCs/>
                <w:szCs w:val="24"/>
                <w:lang w:val="bg-BG"/>
              </w:rPr>
              <w:t xml:space="preserve"> (</w:t>
            </w:r>
            <w:proofErr w:type="spellStart"/>
            <w:r w:rsidRPr="006F3533">
              <w:rPr>
                <w:rFonts w:cs="Times New Roman"/>
                <w:i/>
                <w:iCs/>
                <w:szCs w:val="24"/>
                <w:lang w:val="bg-BG"/>
              </w:rPr>
              <w:t>individual</w:t>
            </w:r>
            <w:proofErr w:type="spellEnd"/>
            <w:r w:rsidRPr="006F3533">
              <w:rPr>
                <w:rFonts w:cs="Times New Roman"/>
                <w:i/>
                <w:iCs/>
                <w:szCs w:val="24"/>
                <w:lang w:val="bg-BG"/>
              </w:rPr>
              <w:t xml:space="preserve"> </w:t>
            </w:r>
            <w:proofErr w:type="spellStart"/>
            <w:r w:rsidRPr="006F3533">
              <w:rPr>
                <w:rFonts w:cs="Times New Roman"/>
                <w:i/>
                <w:iCs/>
                <w:szCs w:val="24"/>
                <w:lang w:val="bg-BG"/>
              </w:rPr>
              <w:t>energy</w:t>
            </w:r>
            <w:proofErr w:type="spellEnd"/>
            <w:r w:rsidRPr="006F3533">
              <w:rPr>
                <w:rFonts w:cs="Times New Roman"/>
                <w:i/>
                <w:iCs/>
                <w:szCs w:val="24"/>
                <w:lang w:val="bg-BG"/>
              </w:rPr>
              <w:t xml:space="preserve"> </w:t>
            </w:r>
            <w:proofErr w:type="spellStart"/>
            <w:r w:rsidRPr="006F3533">
              <w:rPr>
                <w:rFonts w:cs="Times New Roman"/>
                <w:i/>
                <w:iCs/>
                <w:szCs w:val="24"/>
                <w:lang w:val="bg-BG"/>
              </w:rPr>
              <w:t>class</w:t>
            </w:r>
            <w:proofErr w:type="spellEnd"/>
            <w:r w:rsidRPr="006F3533">
              <w:rPr>
                <w:rFonts w:cs="Times New Roman"/>
                <w:i/>
                <w:iCs/>
                <w:szCs w:val="24"/>
                <w:lang w:val="bg-BG"/>
              </w:rPr>
              <w:t xml:space="preserve"> </w:t>
            </w:r>
            <w:proofErr w:type="spellStart"/>
            <w:r w:rsidRPr="006F3533">
              <w:rPr>
                <w:rFonts w:cs="Times New Roman"/>
                <w:i/>
                <w:iCs/>
                <w:szCs w:val="24"/>
                <w:lang w:val="bg-BG"/>
              </w:rPr>
              <w:t>scales</w:t>
            </w:r>
            <w:proofErr w:type="spellEnd"/>
            <w:r w:rsidRPr="006F3533">
              <w:rPr>
                <w:rFonts w:cs="Times New Roman"/>
                <w:i/>
                <w:iCs/>
                <w:szCs w:val="24"/>
                <w:lang w:val="bg-BG"/>
              </w:rPr>
              <w:t>)</w:t>
            </w:r>
          </w:p>
        </w:tc>
        <w:tc>
          <w:tcPr>
            <w:tcW w:w="427" w:type="pct"/>
          </w:tcPr>
          <w:p w14:paraId="3461593E"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15A97D43"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249</w:t>
            </w:r>
            <w:r w:rsidRPr="006F3533">
              <w:rPr>
                <w:rFonts w:cs="Times New Roman"/>
                <w:lang w:val="bg-BG"/>
              </w:rPr>
              <w:t xml:space="preserve"> </w:t>
            </w:r>
            <w:r w:rsidRPr="006F3533">
              <w:rPr>
                <w:rFonts w:cs="Times New Roman"/>
                <w:sz w:val="22"/>
                <w:lang w:val="bg-BG"/>
              </w:rPr>
              <w:t>281</w:t>
            </w:r>
          </w:p>
        </w:tc>
        <w:tc>
          <w:tcPr>
            <w:tcW w:w="706" w:type="pct"/>
            <w:tcBorders>
              <w:top w:val="single" w:sz="4" w:space="0" w:color="auto"/>
              <w:left w:val="single" w:sz="4" w:space="0" w:color="auto"/>
              <w:bottom w:val="single" w:sz="4" w:space="0" w:color="auto"/>
              <w:right w:val="single" w:sz="4" w:space="0" w:color="auto"/>
            </w:tcBorders>
            <w:vAlign w:val="bottom"/>
          </w:tcPr>
          <w:p w14:paraId="22372FBC"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187</w:t>
            </w:r>
            <w:r w:rsidRPr="006F3533">
              <w:rPr>
                <w:rFonts w:cs="Times New Roman"/>
                <w:lang w:val="bg-BG"/>
              </w:rPr>
              <w:t xml:space="preserve"> </w:t>
            </w:r>
            <w:r w:rsidRPr="006F3533">
              <w:rPr>
                <w:rFonts w:cs="Times New Roman"/>
                <w:sz w:val="22"/>
                <w:lang w:val="bg-BG"/>
              </w:rPr>
              <w:t>832</w:t>
            </w:r>
          </w:p>
        </w:tc>
        <w:tc>
          <w:tcPr>
            <w:tcW w:w="774" w:type="pct"/>
            <w:tcBorders>
              <w:top w:val="single" w:sz="4" w:space="0" w:color="auto"/>
              <w:left w:val="nil"/>
              <w:bottom w:val="single" w:sz="4" w:space="0" w:color="auto"/>
              <w:right w:val="single" w:sz="4" w:space="0" w:color="auto"/>
            </w:tcBorders>
            <w:vAlign w:val="bottom"/>
          </w:tcPr>
          <w:p w14:paraId="3A2F0235"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32</w:t>
            </w:r>
            <w:r w:rsidRPr="006F3533">
              <w:rPr>
                <w:rFonts w:cs="Times New Roman"/>
                <w:lang w:val="bg-BG"/>
              </w:rPr>
              <w:t xml:space="preserve"> </w:t>
            </w:r>
            <w:r w:rsidRPr="006F3533">
              <w:rPr>
                <w:rFonts w:cs="Times New Roman"/>
                <w:sz w:val="22"/>
                <w:lang w:val="bg-BG"/>
              </w:rPr>
              <w:t>671</w:t>
            </w:r>
            <w:r w:rsidRPr="006F3533">
              <w:rPr>
                <w:rFonts w:cs="Times New Roman"/>
                <w:lang w:val="bg-BG"/>
              </w:rPr>
              <w:t xml:space="preserve"> </w:t>
            </w:r>
            <w:r w:rsidRPr="006F3533">
              <w:rPr>
                <w:rFonts w:cs="Times New Roman"/>
                <w:sz w:val="22"/>
                <w:lang w:val="bg-BG"/>
              </w:rPr>
              <w:t>018</w:t>
            </w:r>
          </w:p>
        </w:tc>
        <w:tc>
          <w:tcPr>
            <w:tcW w:w="707" w:type="pct"/>
            <w:tcBorders>
              <w:top w:val="single" w:sz="4" w:space="0" w:color="auto"/>
              <w:left w:val="single" w:sz="4" w:space="0" w:color="auto"/>
              <w:bottom w:val="single" w:sz="4" w:space="0" w:color="auto"/>
              <w:right w:val="single" w:sz="4" w:space="0" w:color="auto"/>
            </w:tcBorders>
            <w:vAlign w:val="bottom"/>
          </w:tcPr>
          <w:p w14:paraId="38748CF6"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25</w:t>
            </w:r>
            <w:r w:rsidRPr="006F3533">
              <w:rPr>
                <w:rFonts w:cs="Times New Roman"/>
                <w:lang w:val="bg-BG"/>
              </w:rPr>
              <w:t xml:space="preserve"> </w:t>
            </w:r>
            <w:r w:rsidRPr="006F3533">
              <w:rPr>
                <w:rFonts w:cs="Times New Roman"/>
                <w:sz w:val="22"/>
                <w:lang w:val="bg-BG"/>
              </w:rPr>
              <w:t>072</w:t>
            </w:r>
            <w:r w:rsidRPr="006F3533">
              <w:rPr>
                <w:rFonts w:cs="Times New Roman"/>
                <w:lang w:val="bg-BG"/>
              </w:rPr>
              <w:t xml:space="preserve"> </w:t>
            </w:r>
            <w:r w:rsidRPr="006F3533">
              <w:rPr>
                <w:rFonts w:cs="Times New Roman"/>
                <w:sz w:val="22"/>
                <w:lang w:val="bg-BG"/>
              </w:rPr>
              <w:t>372</w:t>
            </w:r>
          </w:p>
        </w:tc>
      </w:tr>
      <w:tr w:rsidR="000F16D5" w:rsidRPr="006F3533" w14:paraId="61C54318" w14:textId="77777777" w:rsidTr="002C1F20">
        <w:trPr>
          <w:trHeight w:val="292"/>
        </w:trPr>
        <w:tc>
          <w:tcPr>
            <w:tcW w:w="428" w:type="pct"/>
          </w:tcPr>
          <w:p w14:paraId="2F5D333D" w14:textId="77777777" w:rsidR="000F16D5" w:rsidRPr="006F3533" w:rsidRDefault="000F16D5" w:rsidP="002C1F20">
            <w:pPr>
              <w:pStyle w:val="ListParagraph"/>
              <w:ind w:left="0"/>
              <w:jc w:val="both"/>
              <w:rPr>
                <w:rFonts w:cs="Times New Roman"/>
                <w:i/>
                <w:iCs/>
                <w:szCs w:val="24"/>
                <w:lang w:val="bg-BG"/>
              </w:rPr>
            </w:pPr>
            <w:r w:rsidRPr="006F3533">
              <w:rPr>
                <w:rFonts w:cs="Times New Roman"/>
                <w:i/>
                <w:iCs/>
                <w:szCs w:val="24"/>
                <w:lang w:val="bg-BG"/>
              </w:rPr>
              <w:t>(l)</w:t>
            </w:r>
          </w:p>
        </w:tc>
        <w:tc>
          <w:tcPr>
            <w:tcW w:w="1306" w:type="pct"/>
          </w:tcPr>
          <w:p w14:paraId="25837A5C"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Other</w:t>
            </w:r>
            <w:proofErr w:type="spellEnd"/>
            <w:r w:rsidRPr="006F3533">
              <w:rPr>
                <w:rFonts w:cs="Times New Roman"/>
                <w:i/>
                <w:iCs/>
                <w:szCs w:val="24"/>
                <w:lang w:val="bg-BG"/>
              </w:rPr>
              <w:t xml:space="preserve"> </w:t>
            </w:r>
            <w:proofErr w:type="spellStart"/>
            <w:r w:rsidRPr="006F3533">
              <w:rPr>
                <w:rFonts w:cs="Times New Roman"/>
                <w:i/>
                <w:iCs/>
                <w:szCs w:val="24"/>
                <w:lang w:val="bg-BG"/>
              </w:rPr>
              <w:t>type</w:t>
            </w:r>
            <w:proofErr w:type="spellEnd"/>
            <w:r w:rsidRPr="006F3533">
              <w:rPr>
                <w:rFonts w:cs="Times New Roman"/>
                <w:i/>
                <w:iCs/>
                <w:szCs w:val="24"/>
                <w:lang w:val="bg-BG"/>
              </w:rPr>
              <w:t xml:space="preserve"> (</w:t>
            </w:r>
            <w:proofErr w:type="spellStart"/>
            <w:r w:rsidRPr="006F3533">
              <w:rPr>
                <w:rFonts w:cs="Times New Roman"/>
                <w:i/>
                <w:iCs/>
                <w:szCs w:val="24"/>
                <w:lang w:val="bg-BG"/>
              </w:rPr>
              <w:t>no</w:t>
            </w:r>
            <w:proofErr w:type="spellEnd"/>
            <w:r w:rsidRPr="006F3533">
              <w:rPr>
                <w:rFonts w:cs="Times New Roman"/>
                <w:i/>
                <w:iCs/>
                <w:szCs w:val="24"/>
                <w:lang w:val="bg-BG"/>
              </w:rPr>
              <w:t xml:space="preserve"> EPC </w:t>
            </w:r>
            <w:proofErr w:type="spellStart"/>
            <w:r w:rsidRPr="006F3533">
              <w:rPr>
                <w:rFonts w:cs="Times New Roman"/>
                <w:i/>
                <w:iCs/>
                <w:szCs w:val="24"/>
                <w:lang w:val="bg-BG"/>
              </w:rPr>
              <w:t>issue</w:t>
            </w:r>
            <w:proofErr w:type="spellEnd"/>
            <w:r w:rsidRPr="006F3533">
              <w:rPr>
                <w:rFonts w:cs="Times New Roman"/>
                <w:i/>
                <w:iCs/>
                <w:szCs w:val="24"/>
                <w:lang w:val="bg-BG"/>
              </w:rPr>
              <w:t xml:space="preserve"> </w:t>
            </w:r>
            <w:proofErr w:type="spellStart"/>
            <w:r w:rsidRPr="006F3533">
              <w:rPr>
                <w:rFonts w:cs="Times New Roman"/>
                <w:i/>
                <w:iCs/>
                <w:szCs w:val="24"/>
                <w:lang w:val="bg-BG"/>
              </w:rPr>
              <w:t>requirement</w:t>
            </w:r>
            <w:proofErr w:type="spellEnd"/>
            <w:r w:rsidRPr="006F3533">
              <w:rPr>
                <w:rFonts w:cs="Times New Roman"/>
                <w:i/>
                <w:iCs/>
                <w:szCs w:val="24"/>
                <w:lang w:val="bg-BG"/>
              </w:rPr>
              <w:t>)</w:t>
            </w:r>
          </w:p>
        </w:tc>
        <w:tc>
          <w:tcPr>
            <w:tcW w:w="427" w:type="pct"/>
          </w:tcPr>
          <w:p w14:paraId="3FF9F509" w14:textId="77777777" w:rsidR="000F16D5" w:rsidRPr="006F3533" w:rsidRDefault="000F16D5" w:rsidP="002C1F20">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652" w:type="pct"/>
            <w:tcBorders>
              <w:top w:val="single" w:sz="4" w:space="0" w:color="auto"/>
              <w:left w:val="nil"/>
              <w:bottom w:val="single" w:sz="4" w:space="0" w:color="auto"/>
              <w:right w:val="single" w:sz="4" w:space="0" w:color="auto"/>
            </w:tcBorders>
            <w:vAlign w:val="bottom"/>
          </w:tcPr>
          <w:p w14:paraId="733A3D66"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3</w:t>
            </w:r>
            <w:r w:rsidRPr="006F3533">
              <w:rPr>
                <w:rFonts w:cs="Times New Roman"/>
                <w:lang w:val="bg-BG"/>
              </w:rPr>
              <w:t xml:space="preserve"> </w:t>
            </w:r>
            <w:r w:rsidRPr="006F3533">
              <w:rPr>
                <w:rFonts w:cs="Times New Roman"/>
                <w:sz w:val="22"/>
                <w:lang w:val="bg-BG"/>
              </w:rPr>
              <w:t>992</w:t>
            </w:r>
          </w:p>
        </w:tc>
        <w:tc>
          <w:tcPr>
            <w:tcW w:w="706" w:type="pct"/>
            <w:tcBorders>
              <w:top w:val="single" w:sz="4" w:space="0" w:color="auto"/>
              <w:left w:val="single" w:sz="4" w:space="0" w:color="auto"/>
              <w:bottom w:val="single" w:sz="4" w:space="0" w:color="auto"/>
              <w:right w:val="single" w:sz="4" w:space="0" w:color="auto"/>
            </w:tcBorders>
            <w:vAlign w:val="bottom"/>
          </w:tcPr>
          <w:p w14:paraId="1C5257CF"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3</w:t>
            </w:r>
            <w:r w:rsidRPr="006F3533">
              <w:rPr>
                <w:rFonts w:cs="Times New Roman"/>
                <w:lang w:val="bg-BG"/>
              </w:rPr>
              <w:t xml:space="preserve"> </w:t>
            </w:r>
            <w:r w:rsidRPr="006F3533">
              <w:rPr>
                <w:rFonts w:cs="Times New Roman"/>
                <w:sz w:val="22"/>
                <w:lang w:val="bg-BG"/>
              </w:rPr>
              <w:t>127</w:t>
            </w:r>
          </w:p>
        </w:tc>
        <w:tc>
          <w:tcPr>
            <w:tcW w:w="774" w:type="pct"/>
            <w:tcBorders>
              <w:top w:val="single" w:sz="4" w:space="0" w:color="auto"/>
              <w:left w:val="single" w:sz="4" w:space="0" w:color="auto"/>
              <w:bottom w:val="single" w:sz="4" w:space="0" w:color="auto"/>
              <w:right w:val="nil"/>
            </w:tcBorders>
            <w:vAlign w:val="bottom"/>
          </w:tcPr>
          <w:p w14:paraId="1DFF6D74" w14:textId="77777777" w:rsidR="000F16D5" w:rsidRPr="006F3533" w:rsidRDefault="000F16D5" w:rsidP="002C1F20">
            <w:pPr>
              <w:pStyle w:val="ListParagraph"/>
              <w:ind w:left="0"/>
              <w:jc w:val="both"/>
              <w:rPr>
                <w:rFonts w:cs="Times New Roman"/>
                <w:szCs w:val="24"/>
                <w:lang w:val="bg-BG"/>
              </w:rPr>
            </w:pPr>
            <w:r w:rsidRPr="006F3533">
              <w:rPr>
                <w:rFonts w:cs="Times New Roman"/>
                <w:lang w:val="bg-BG"/>
              </w:rPr>
              <w:t>812 885</w:t>
            </w:r>
          </w:p>
        </w:tc>
        <w:tc>
          <w:tcPr>
            <w:tcW w:w="707" w:type="pct"/>
            <w:tcBorders>
              <w:top w:val="single" w:sz="4" w:space="0" w:color="auto"/>
            </w:tcBorders>
          </w:tcPr>
          <w:p w14:paraId="6B16B907" w14:textId="77777777" w:rsidR="000F16D5" w:rsidRPr="006F3533" w:rsidRDefault="000F16D5" w:rsidP="002C1F20">
            <w:pPr>
              <w:pStyle w:val="ListParagraph"/>
              <w:ind w:left="0"/>
              <w:jc w:val="both"/>
              <w:rPr>
                <w:rFonts w:cs="Times New Roman"/>
                <w:szCs w:val="24"/>
                <w:lang w:val="bg-BG"/>
              </w:rPr>
            </w:pPr>
            <w:r w:rsidRPr="006F3533">
              <w:rPr>
                <w:rFonts w:cs="Times New Roman"/>
                <w:lang w:val="bg-BG"/>
              </w:rPr>
              <w:t>714 214</w:t>
            </w:r>
          </w:p>
        </w:tc>
      </w:tr>
      <w:tr w:rsidR="000F16D5" w:rsidRPr="006F3533" w14:paraId="58911AD4" w14:textId="77777777" w:rsidTr="002C1F20">
        <w:trPr>
          <w:trHeight w:val="292"/>
        </w:trPr>
        <w:tc>
          <w:tcPr>
            <w:tcW w:w="428" w:type="pct"/>
          </w:tcPr>
          <w:p w14:paraId="67ABCBCE" w14:textId="77777777" w:rsidR="000F16D5" w:rsidRPr="006F3533" w:rsidRDefault="000F16D5" w:rsidP="002C1F20">
            <w:pPr>
              <w:pStyle w:val="ListParagraph"/>
              <w:ind w:left="0"/>
              <w:jc w:val="both"/>
              <w:rPr>
                <w:rFonts w:cs="Times New Roman"/>
                <w:szCs w:val="24"/>
                <w:lang w:val="bg-BG"/>
              </w:rPr>
            </w:pPr>
          </w:p>
        </w:tc>
        <w:tc>
          <w:tcPr>
            <w:tcW w:w="1306" w:type="pct"/>
          </w:tcPr>
          <w:p w14:paraId="44B680BE" w14:textId="77777777" w:rsidR="000F16D5" w:rsidRPr="006F3533" w:rsidRDefault="000F16D5" w:rsidP="002C1F20">
            <w:pPr>
              <w:pStyle w:val="ListParagraph"/>
              <w:ind w:left="0"/>
              <w:jc w:val="both"/>
              <w:rPr>
                <w:rFonts w:cs="Times New Roman"/>
                <w:i/>
                <w:iCs/>
                <w:szCs w:val="24"/>
                <w:lang w:val="bg-BG"/>
              </w:rPr>
            </w:pP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r w:rsidRPr="006F3533">
              <w:rPr>
                <w:rFonts w:cs="Times New Roman"/>
                <w:i/>
                <w:iCs/>
                <w:szCs w:val="24"/>
                <w:lang w:val="bg-BG"/>
              </w:rPr>
              <w:t xml:space="preserve"> </w:t>
            </w:r>
            <w:proofErr w:type="spellStart"/>
            <w:r w:rsidRPr="006F3533">
              <w:rPr>
                <w:rFonts w:cs="Times New Roman"/>
                <w:i/>
                <w:iCs/>
                <w:szCs w:val="24"/>
                <w:lang w:val="bg-BG"/>
              </w:rPr>
              <w:t>public</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427" w:type="pct"/>
          </w:tcPr>
          <w:p w14:paraId="2875C9DF"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M</w:t>
            </w:r>
          </w:p>
        </w:tc>
        <w:tc>
          <w:tcPr>
            <w:tcW w:w="652" w:type="pct"/>
            <w:tcBorders>
              <w:top w:val="single" w:sz="4" w:space="0" w:color="auto"/>
              <w:left w:val="nil"/>
              <w:bottom w:val="single" w:sz="4" w:space="0" w:color="auto"/>
              <w:right w:val="single" w:sz="4" w:space="0" w:color="auto"/>
            </w:tcBorders>
            <w:vAlign w:val="bottom"/>
          </w:tcPr>
          <w:p w14:paraId="49CE497A"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38</w:t>
            </w:r>
            <w:r w:rsidRPr="006F3533">
              <w:rPr>
                <w:rFonts w:cs="Times New Roman"/>
                <w:lang w:val="bg-BG"/>
              </w:rPr>
              <w:t xml:space="preserve"> </w:t>
            </w:r>
            <w:r w:rsidRPr="006F3533">
              <w:rPr>
                <w:rFonts w:cs="Times New Roman"/>
                <w:sz w:val="22"/>
                <w:lang w:val="bg-BG"/>
              </w:rPr>
              <w:t>293</w:t>
            </w:r>
          </w:p>
        </w:tc>
        <w:tc>
          <w:tcPr>
            <w:tcW w:w="706" w:type="pct"/>
            <w:tcBorders>
              <w:top w:val="single" w:sz="4" w:space="0" w:color="auto"/>
              <w:left w:val="single" w:sz="4" w:space="0" w:color="auto"/>
              <w:bottom w:val="single" w:sz="4" w:space="0" w:color="auto"/>
              <w:right w:val="single" w:sz="4" w:space="0" w:color="auto"/>
            </w:tcBorders>
            <w:vAlign w:val="bottom"/>
          </w:tcPr>
          <w:p w14:paraId="09E5A284" w14:textId="77777777" w:rsidR="000F16D5" w:rsidRPr="006F3533" w:rsidRDefault="000F16D5" w:rsidP="002C1F20">
            <w:pPr>
              <w:pStyle w:val="ListParagraph"/>
              <w:ind w:left="0"/>
              <w:jc w:val="both"/>
              <w:rPr>
                <w:rFonts w:cs="Times New Roman"/>
                <w:szCs w:val="24"/>
                <w:lang w:val="bg-BG"/>
              </w:rPr>
            </w:pPr>
            <w:r w:rsidRPr="006F3533">
              <w:rPr>
                <w:rFonts w:cs="Times New Roman"/>
                <w:sz w:val="22"/>
                <w:lang w:val="bg-BG"/>
              </w:rPr>
              <w:t>35</w:t>
            </w:r>
            <w:r w:rsidRPr="006F3533">
              <w:rPr>
                <w:rFonts w:cs="Times New Roman"/>
                <w:lang w:val="bg-BG"/>
              </w:rPr>
              <w:t xml:space="preserve"> </w:t>
            </w:r>
            <w:r w:rsidRPr="006F3533">
              <w:rPr>
                <w:rFonts w:cs="Times New Roman"/>
                <w:sz w:val="22"/>
                <w:lang w:val="bg-BG"/>
              </w:rPr>
              <w:t>348</w:t>
            </w:r>
          </w:p>
        </w:tc>
        <w:tc>
          <w:tcPr>
            <w:tcW w:w="774" w:type="pct"/>
            <w:tcBorders>
              <w:top w:val="single" w:sz="4" w:space="0" w:color="auto"/>
              <w:left w:val="single" w:sz="4" w:space="0" w:color="auto"/>
              <w:bottom w:val="single" w:sz="4" w:space="0" w:color="auto"/>
              <w:right w:val="nil"/>
            </w:tcBorders>
            <w:vAlign w:val="bottom"/>
          </w:tcPr>
          <w:p w14:paraId="49986996" w14:textId="77777777" w:rsidR="000F16D5" w:rsidRPr="006F3533" w:rsidRDefault="000F16D5" w:rsidP="002C1F20">
            <w:pPr>
              <w:pStyle w:val="ListParagraph"/>
              <w:ind w:left="0"/>
              <w:jc w:val="both"/>
              <w:rPr>
                <w:rFonts w:cs="Times New Roman"/>
                <w:szCs w:val="24"/>
                <w:lang w:val="bg-BG"/>
              </w:rPr>
            </w:pPr>
            <w:r w:rsidRPr="006F3533">
              <w:rPr>
                <w:rFonts w:cs="Times New Roman"/>
                <w:lang w:val="bg-BG"/>
              </w:rPr>
              <w:t>21 847 702</w:t>
            </w:r>
          </w:p>
        </w:tc>
        <w:tc>
          <w:tcPr>
            <w:tcW w:w="707" w:type="pct"/>
          </w:tcPr>
          <w:p w14:paraId="77176BD7" w14:textId="77777777" w:rsidR="000F16D5" w:rsidRPr="006F3533" w:rsidRDefault="000F16D5" w:rsidP="002C1F20">
            <w:pPr>
              <w:pStyle w:val="ListParagraph"/>
              <w:ind w:left="0"/>
              <w:jc w:val="both"/>
              <w:rPr>
                <w:rFonts w:cs="Times New Roman"/>
                <w:szCs w:val="24"/>
                <w:lang w:val="bg-BG"/>
              </w:rPr>
            </w:pPr>
            <w:r w:rsidRPr="006F3533">
              <w:rPr>
                <w:rFonts w:cs="Times New Roman"/>
                <w:lang w:val="bg-BG"/>
              </w:rPr>
              <w:t>21 899 213</w:t>
            </w:r>
          </w:p>
        </w:tc>
      </w:tr>
      <w:tr w:rsidR="000F16D5" w:rsidRPr="006F3533" w14:paraId="6B89D422" w14:textId="77777777" w:rsidTr="002C1F20">
        <w:trPr>
          <w:trHeight w:val="292"/>
        </w:trPr>
        <w:tc>
          <w:tcPr>
            <w:tcW w:w="428" w:type="pct"/>
          </w:tcPr>
          <w:p w14:paraId="51BF1D71"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T</w:t>
            </w:r>
          </w:p>
        </w:tc>
        <w:tc>
          <w:tcPr>
            <w:tcW w:w="1306" w:type="pct"/>
          </w:tcPr>
          <w:p w14:paraId="2BD95D81"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Total</w:t>
            </w:r>
          </w:p>
          <w:p w14:paraId="4CE4F574" w14:textId="77777777" w:rsidR="000F16D5" w:rsidRPr="006F3533" w:rsidRDefault="000F16D5" w:rsidP="002C1F20">
            <w:pPr>
              <w:pStyle w:val="ListParagraph"/>
              <w:ind w:left="0"/>
              <w:jc w:val="both"/>
              <w:rPr>
                <w:rFonts w:cs="Times New Roman"/>
                <w:szCs w:val="24"/>
                <w:lang w:val="bg-BG"/>
              </w:rPr>
            </w:pPr>
            <w:r w:rsidRPr="006F3533">
              <w:rPr>
                <w:rFonts w:cs="Times New Roman"/>
                <w:color w:val="0070C0"/>
                <w:szCs w:val="24"/>
                <w:lang w:val="bg-BG"/>
              </w:rPr>
              <w:t>T=R + NR</w:t>
            </w:r>
          </w:p>
        </w:tc>
        <w:tc>
          <w:tcPr>
            <w:tcW w:w="427" w:type="pct"/>
          </w:tcPr>
          <w:p w14:paraId="06A949F2" w14:textId="77777777" w:rsidR="000F16D5" w:rsidRPr="006F3533" w:rsidRDefault="000F16D5" w:rsidP="002C1F20">
            <w:pPr>
              <w:pStyle w:val="ListParagraph"/>
              <w:ind w:left="0"/>
              <w:jc w:val="both"/>
              <w:rPr>
                <w:rFonts w:cs="Times New Roman"/>
                <w:szCs w:val="24"/>
                <w:lang w:val="bg-BG"/>
              </w:rPr>
            </w:pPr>
            <w:r w:rsidRPr="006F3533">
              <w:rPr>
                <w:rFonts w:cs="Times New Roman"/>
                <w:szCs w:val="24"/>
                <w:lang w:val="bg-BG"/>
              </w:rPr>
              <w:t>M</w:t>
            </w:r>
          </w:p>
        </w:tc>
        <w:tc>
          <w:tcPr>
            <w:tcW w:w="652" w:type="pct"/>
          </w:tcPr>
          <w:p w14:paraId="2786847C" w14:textId="77777777" w:rsidR="000F16D5" w:rsidRPr="006F3533" w:rsidRDefault="000F16D5" w:rsidP="002C1F20">
            <w:pPr>
              <w:pStyle w:val="ListParagraph"/>
              <w:ind w:left="0"/>
              <w:jc w:val="both"/>
              <w:rPr>
                <w:rFonts w:cs="Times New Roman"/>
                <w:szCs w:val="24"/>
                <w:lang w:val="bg-BG"/>
              </w:rPr>
            </w:pPr>
          </w:p>
        </w:tc>
        <w:tc>
          <w:tcPr>
            <w:tcW w:w="706" w:type="pct"/>
          </w:tcPr>
          <w:p w14:paraId="6E954C08" w14:textId="77777777" w:rsidR="000F16D5" w:rsidRPr="006F3533" w:rsidRDefault="000F16D5" w:rsidP="002C1F20">
            <w:pPr>
              <w:pStyle w:val="ListParagraph"/>
              <w:ind w:left="0"/>
              <w:jc w:val="both"/>
              <w:rPr>
                <w:rFonts w:cs="Times New Roman"/>
                <w:color w:val="0070C0"/>
                <w:szCs w:val="24"/>
                <w:lang w:val="bg-BG"/>
              </w:rPr>
            </w:pPr>
          </w:p>
        </w:tc>
        <w:tc>
          <w:tcPr>
            <w:tcW w:w="774" w:type="pct"/>
          </w:tcPr>
          <w:p w14:paraId="7092B794" w14:textId="77777777" w:rsidR="000F16D5" w:rsidRPr="006F3533" w:rsidRDefault="000F16D5" w:rsidP="002C1F20">
            <w:pPr>
              <w:pStyle w:val="ListParagraph"/>
              <w:ind w:left="0"/>
              <w:jc w:val="both"/>
              <w:rPr>
                <w:rFonts w:cs="Times New Roman"/>
                <w:color w:val="0070C0"/>
                <w:szCs w:val="24"/>
                <w:lang w:val="bg-BG"/>
              </w:rPr>
            </w:pPr>
          </w:p>
        </w:tc>
        <w:tc>
          <w:tcPr>
            <w:tcW w:w="707" w:type="pct"/>
          </w:tcPr>
          <w:p w14:paraId="47999F87" w14:textId="77777777" w:rsidR="000F16D5" w:rsidRPr="006F3533" w:rsidRDefault="000F16D5" w:rsidP="002C1F20">
            <w:pPr>
              <w:pStyle w:val="ListParagraph"/>
              <w:ind w:left="0"/>
              <w:jc w:val="both"/>
              <w:rPr>
                <w:rFonts w:cs="Times New Roman"/>
                <w:color w:val="0070C0"/>
                <w:szCs w:val="24"/>
                <w:lang w:val="bg-BG"/>
              </w:rPr>
            </w:pPr>
          </w:p>
        </w:tc>
      </w:tr>
    </w:tbl>
    <w:p w14:paraId="219C113E" w14:textId="77777777" w:rsidR="000F16D5" w:rsidRPr="006F3533" w:rsidRDefault="000F16D5" w:rsidP="000F16D5">
      <w:pPr>
        <w:pStyle w:val="ListParagraph"/>
        <w:spacing w:line="240" w:lineRule="auto"/>
        <w:ind w:left="1440"/>
        <w:jc w:val="both"/>
        <w:rPr>
          <w:rFonts w:cs="Times New Roman"/>
          <w:szCs w:val="24"/>
          <w:lang w:val="bg-BG"/>
        </w:rPr>
      </w:pPr>
    </w:p>
    <w:bookmarkEnd w:id="111"/>
    <w:p w14:paraId="7B4E38C8" w14:textId="77777777" w:rsidR="000F16D5" w:rsidRPr="006F3533" w:rsidRDefault="000F16D5" w:rsidP="000F16D5">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В сравнение с базовата година 2020 (представена чрез данни от края на 2019 г.) се наблюдава умерено нарастване както на броя на сградите, така и на общата им площ. Това увеличение отразява както ново строителство, така и по-пълно обхващане и актуализиране на информацията в кадастралната база данни.</w:t>
      </w:r>
    </w:p>
    <w:p w14:paraId="02E558E1" w14:textId="77777777" w:rsidR="000F16D5" w:rsidRPr="006F3533" w:rsidRDefault="000F16D5" w:rsidP="000F16D5">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Структурата на нежилищния сграден фонд показва ясно доминиране на сградите, класифицирани в групата „Други типове (индивидуални енергийни скали)“, които представляват най-голям дял както по брой, така и по площ. Това подчертава високата хетерогенност на нежилищния сграден фонд и необходимостта от диференциран подход при определянето на минимални стандарти за енергийни характеристики.</w:t>
      </w:r>
    </w:p>
    <w:p w14:paraId="338F6BE8" w14:textId="77777777" w:rsidR="000F16D5" w:rsidRPr="006F3533" w:rsidRDefault="000F16D5" w:rsidP="000F16D5">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Сред сградите с ясно дефинирани категории най-значителен дял от общата площ заемат сградите за хотелиерство и ресторантьорство, сградите за търговия и услуги на едро и дребно, административните сгради (офиси), както и образователните сгради, включително училища, детски градини и ясли. Макар някои от тези категории да имат </w:t>
      </w:r>
      <w:r w:rsidRPr="006F3533">
        <w:rPr>
          <w:rFonts w:eastAsia="Times New Roman" w:cs="Times New Roman"/>
          <w:szCs w:val="24"/>
          <w:lang w:val="bg-BG"/>
        </w:rPr>
        <w:lastRenderedPageBreak/>
        <w:t>относително по-малък брой обекти, те концентрират значителна площ и съответно имат висок потенциал за енергийни спестявания при целенасочено обновяване.</w:t>
      </w:r>
    </w:p>
    <w:p w14:paraId="202B77A8" w14:textId="77777777" w:rsidR="000F16D5" w:rsidRPr="006F3533" w:rsidRDefault="000F16D5" w:rsidP="000F16D5">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Публичните нежилищни сгради представляват сравнително ограничен дял от общия брой сгради, но обхващат значителна част от общата застроена площ. Това е характерно за сектори като образование, здравеопазване, култура и спорт, където преобладават по-големи по размер сгради и комплекси.</w:t>
      </w:r>
    </w:p>
    <w:p w14:paraId="3E9A2061" w14:textId="77777777" w:rsidR="000F16D5" w:rsidRPr="006F3533" w:rsidRDefault="000F16D5" w:rsidP="000F16D5">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Следва да се има предвид, че броят на сградите, отчетен въз основа на кадастралната информация, по правило е по-висок от функционалния брой сгради. Причината е, че отделните корпуси на многокорпусните сгради често се регистрират в кадастъра като отделни обекти. Това ограничение засяга предимно броя на сградите, но не оказва съществено влияние върху анализа на общата застроена и разгъната застроена площ, която е водещ показател за целите на настоящия план.</w:t>
      </w:r>
    </w:p>
    <w:p w14:paraId="39D8F37E" w14:textId="77777777" w:rsidR="000F16D5" w:rsidRPr="006F3533" w:rsidRDefault="000F16D5" w:rsidP="000F16D5">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За целите на прозрачността и проследимостта на приложената методология, първоначалните кадастрални данни са представени в Таблица 1a.</w:t>
      </w:r>
    </w:p>
    <w:p w14:paraId="530202D6" w14:textId="77777777" w:rsidR="000F16D5" w:rsidRPr="006F3533" w:rsidRDefault="000F16D5" w:rsidP="000F16D5">
      <w:pPr>
        <w:spacing w:line="240" w:lineRule="auto"/>
        <w:ind w:left="1440"/>
        <w:contextualSpacing/>
        <w:jc w:val="both"/>
        <w:rPr>
          <w:rFonts w:cs="Times New Roman"/>
          <w:i/>
          <w:iCs/>
          <w:sz w:val="22"/>
          <w:lang w:val="bg-BG"/>
        </w:rPr>
      </w:pPr>
      <w:r w:rsidRPr="006F3533">
        <w:rPr>
          <w:rFonts w:cs="Times New Roman"/>
          <w:i/>
          <w:iCs/>
          <w:sz w:val="22"/>
          <w:lang w:val="bg-BG"/>
        </w:rPr>
        <w:t>Таблица 1а. Изходни кадастрални данни относно броя и обща разгъната площ на нежилищните сгради (m²) по типове сгради</w:t>
      </w:r>
    </w:p>
    <w:tbl>
      <w:tblPr>
        <w:tblStyle w:val="TableGrid"/>
        <w:tblW w:w="9694" w:type="dxa"/>
        <w:tblInd w:w="-318" w:type="dxa"/>
        <w:tblLayout w:type="fixed"/>
        <w:tblLook w:val="04A0" w:firstRow="1" w:lastRow="0" w:firstColumn="1" w:lastColumn="0" w:noHBand="0" w:noVBand="1"/>
      </w:tblPr>
      <w:tblGrid>
        <w:gridCol w:w="709"/>
        <w:gridCol w:w="2835"/>
        <w:gridCol w:w="1444"/>
        <w:gridCol w:w="1559"/>
        <w:gridCol w:w="1588"/>
        <w:gridCol w:w="1559"/>
      </w:tblGrid>
      <w:tr w:rsidR="000F16D5" w:rsidRPr="006F3533" w14:paraId="092E928F" w14:textId="77777777" w:rsidTr="002C1F20">
        <w:trPr>
          <w:trHeight w:val="300"/>
        </w:trPr>
        <w:tc>
          <w:tcPr>
            <w:tcW w:w="709" w:type="dxa"/>
            <w:vMerge w:val="restart"/>
          </w:tcPr>
          <w:p w14:paraId="0F33B253" w14:textId="77777777" w:rsidR="000F16D5" w:rsidRPr="006F3533" w:rsidRDefault="000F16D5" w:rsidP="002C1F20">
            <w:pPr>
              <w:contextualSpacing/>
              <w:jc w:val="center"/>
              <w:rPr>
                <w:rFonts w:cs="Times New Roman"/>
                <w:b/>
                <w:bCs/>
                <w:sz w:val="22"/>
                <w:lang w:val="bg-BG"/>
              </w:rPr>
            </w:pPr>
            <w:r w:rsidRPr="006F3533">
              <w:rPr>
                <w:rFonts w:cs="Times New Roman"/>
                <w:b/>
                <w:bCs/>
                <w:sz w:val="22"/>
                <w:lang w:val="bg-BG"/>
              </w:rPr>
              <w:t xml:space="preserve">Код </w:t>
            </w:r>
          </w:p>
        </w:tc>
        <w:tc>
          <w:tcPr>
            <w:tcW w:w="2835" w:type="dxa"/>
            <w:vMerge w:val="restart"/>
          </w:tcPr>
          <w:p w14:paraId="4D4CC0D1" w14:textId="77777777" w:rsidR="000F16D5" w:rsidRPr="006F3533" w:rsidRDefault="000F16D5" w:rsidP="002C1F20">
            <w:pPr>
              <w:contextualSpacing/>
              <w:jc w:val="center"/>
              <w:rPr>
                <w:rFonts w:cs="Times New Roman"/>
                <w:sz w:val="22"/>
                <w:lang w:val="bg-BG"/>
              </w:rPr>
            </w:pPr>
            <w:r w:rsidRPr="006F3533">
              <w:rPr>
                <w:rFonts w:cs="Times New Roman"/>
                <w:b/>
                <w:bCs/>
                <w:sz w:val="22"/>
                <w:lang w:val="bg-BG"/>
              </w:rPr>
              <w:t>Тип нежилищни сгради:</w:t>
            </w:r>
          </w:p>
        </w:tc>
        <w:tc>
          <w:tcPr>
            <w:tcW w:w="3003" w:type="dxa"/>
            <w:gridSpan w:val="2"/>
          </w:tcPr>
          <w:p w14:paraId="148DE147" w14:textId="77777777" w:rsidR="000F16D5" w:rsidRPr="006F3533" w:rsidRDefault="000F16D5" w:rsidP="002C1F20">
            <w:pPr>
              <w:contextualSpacing/>
              <w:jc w:val="center"/>
              <w:rPr>
                <w:rFonts w:cs="Times New Roman"/>
                <w:sz w:val="22"/>
                <w:lang w:val="bg-BG"/>
              </w:rPr>
            </w:pPr>
            <w:r w:rsidRPr="006F3533">
              <w:rPr>
                <w:rFonts w:cs="Times New Roman"/>
                <w:sz w:val="22"/>
                <w:lang w:val="bg-BG"/>
              </w:rPr>
              <w:t>Брой сгради</w:t>
            </w:r>
          </w:p>
        </w:tc>
        <w:tc>
          <w:tcPr>
            <w:tcW w:w="1588" w:type="dxa"/>
          </w:tcPr>
          <w:p w14:paraId="220821FC" w14:textId="77777777" w:rsidR="000F16D5" w:rsidRPr="006F3533" w:rsidRDefault="000F16D5" w:rsidP="002C1F20">
            <w:pPr>
              <w:contextualSpacing/>
              <w:jc w:val="center"/>
              <w:rPr>
                <w:rFonts w:cs="Times New Roman"/>
                <w:sz w:val="22"/>
                <w:lang w:val="bg-BG"/>
              </w:rPr>
            </w:pPr>
            <w:proofErr w:type="spellStart"/>
            <w:r w:rsidRPr="006F3533">
              <w:rPr>
                <w:rFonts w:cs="Times New Roman"/>
                <w:sz w:val="22"/>
                <w:lang w:val="bg-BG"/>
              </w:rPr>
              <w:t>Floor</w:t>
            </w:r>
            <w:proofErr w:type="spellEnd"/>
            <w:r w:rsidRPr="006F3533">
              <w:rPr>
                <w:rFonts w:cs="Times New Roman"/>
                <w:sz w:val="22"/>
                <w:lang w:val="bg-BG"/>
              </w:rPr>
              <w:t xml:space="preserve"> </w:t>
            </w:r>
            <w:proofErr w:type="spellStart"/>
            <w:r w:rsidRPr="006F3533">
              <w:rPr>
                <w:rFonts w:cs="Times New Roman"/>
                <w:sz w:val="22"/>
                <w:lang w:val="bg-BG"/>
              </w:rPr>
              <w:t>area</w:t>
            </w:r>
            <w:proofErr w:type="spellEnd"/>
            <w:r w:rsidRPr="006F3533">
              <w:rPr>
                <w:rFonts w:cs="Times New Roman"/>
                <w:sz w:val="22"/>
                <w:lang w:val="bg-BG"/>
              </w:rPr>
              <w:t xml:space="preserve"> </w:t>
            </w:r>
          </w:p>
          <w:p w14:paraId="2D0C7513" w14:textId="77777777" w:rsidR="000F16D5" w:rsidRPr="006F3533" w:rsidRDefault="000F16D5" w:rsidP="002C1F20">
            <w:pPr>
              <w:rPr>
                <w:sz w:val="22"/>
                <w:lang w:val="bg-BG"/>
              </w:rPr>
            </w:pPr>
            <w:r w:rsidRPr="006F3533">
              <w:rPr>
                <w:rFonts w:cs="Times New Roman"/>
                <w:sz w:val="22"/>
                <w:lang w:val="bg-BG"/>
              </w:rPr>
              <w:t>(m²)</w:t>
            </w:r>
          </w:p>
        </w:tc>
        <w:tc>
          <w:tcPr>
            <w:tcW w:w="1559" w:type="dxa"/>
          </w:tcPr>
          <w:p w14:paraId="51F41A0A" w14:textId="77777777" w:rsidR="000F16D5" w:rsidRPr="006F3533" w:rsidRDefault="000F16D5" w:rsidP="002C1F20">
            <w:pPr>
              <w:contextualSpacing/>
              <w:jc w:val="center"/>
              <w:rPr>
                <w:rFonts w:cs="Times New Roman"/>
                <w:sz w:val="22"/>
                <w:lang w:val="bg-BG"/>
              </w:rPr>
            </w:pPr>
            <w:proofErr w:type="spellStart"/>
            <w:r w:rsidRPr="006F3533">
              <w:rPr>
                <w:rFonts w:cs="Times New Roman"/>
                <w:sz w:val="22"/>
                <w:lang w:val="bg-BG"/>
              </w:rPr>
              <w:t>Floor</w:t>
            </w:r>
            <w:proofErr w:type="spellEnd"/>
            <w:r w:rsidRPr="006F3533">
              <w:rPr>
                <w:rFonts w:cs="Times New Roman"/>
                <w:sz w:val="22"/>
                <w:lang w:val="bg-BG"/>
              </w:rPr>
              <w:t xml:space="preserve"> </w:t>
            </w:r>
            <w:proofErr w:type="spellStart"/>
            <w:r w:rsidRPr="006F3533">
              <w:rPr>
                <w:rFonts w:cs="Times New Roman"/>
                <w:sz w:val="22"/>
                <w:lang w:val="bg-BG"/>
              </w:rPr>
              <w:t>area</w:t>
            </w:r>
            <w:proofErr w:type="spellEnd"/>
            <w:r w:rsidRPr="006F3533">
              <w:rPr>
                <w:rFonts w:cs="Times New Roman"/>
                <w:sz w:val="22"/>
                <w:lang w:val="bg-BG"/>
              </w:rPr>
              <w:t xml:space="preserve"> </w:t>
            </w:r>
          </w:p>
          <w:p w14:paraId="1C97DE0E" w14:textId="77777777" w:rsidR="000F16D5" w:rsidRPr="006F3533" w:rsidRDefault="000F16D5" w:rsidP="002C1F20">
            <w:pPr>
              <w:rPr>
                <w:sz w:val="22"/>
                <w:lang w:val="bg-BG"/>
              </w:rPr>
            </w:pPr>
            <w:r w:rsidRPr="006F3533">
              <w:rPr>
                <w:rFonts w:cs="Times New Roman"/>
                <w:sz w:val="22"/>
                <w:lang w:val="bg-BG"/>
              </w:rPr>
              <w:t>(m²)</w:t>
            </w:r>
          </w:p>
        </w:tc>
      </w:tr>
      <w:tr w:rsidR="000F16D5" w:rsidRPr="006F3533" w14:paraId="57CF2509" w14:textId="77777777" w:rsidTr="002C1F20">
        <w:trPr>
          <w:trHeight w:val="300"/>
        </w:trPr>
        <w:tc>
          <w:tcPr>
            <w:tcW w:w="709" w:type="dxa"/>
            <w:vMerge/>
          </w:tcPr>
          <w:p w14:paraId="5AB938C3" w14:textId="77777777" w:rsidR="000F16D5" w:rsidRPr="006F3533" w:rsidRDefault="000F16D5" w:rsidP="002C1F20">
            <w:pPr>
              <w:contextualSpacing/>
              <w:jc w:val="center"/>
              <w:rPr>
                <w:rFonts w:cs="Times New Roman"/>
                <w:sz w:val="22"/>
                <w:lang w:val="bg-BG"/>
              </w:rPr>
            </w:pPr>
          </w:p>
        </w:tc>
        <w:tc>
          <w:tcPr>
            <w:tcW w:w="2835" w:type="dxa"/>
            <w:vMerge/>
          </w:tcPr>
          <w:p w14:paraId="0EC36F41" w14:textId="77777777" w:rsidR="000F16D5" w:rsidRPr="006F3533" w:rsidRDefault="000F16D5" w:rsidP="002C1F20">
            <w:pPr>
              <w:contextualSpacing/>
              <w:jc w:val="center"/>
              <w:rPr>
                <w:rFonts w:cs="Times New Roman"/>
                <w:sz w:val="22"/>
                <w:lang w:val="bg-BG"/>
              </w:rPr>
            </w:pPr>
          </w:p>
        </w:tc>
        <w:tc>
          <w:tcPr>
            <w:tcW w:w="1444" w:type="dxa"/>
          </w:tcPr>
          <w:p w14:paraId="7A8FBEFE" w14:textId="77777777" w:rsidR="000F16D5" w:rsidRPr="006F3533" w:rsidRDefault="000F16D5" w:rsidP="002C1F20">
            <w:pPr>
              <w:contextualSpacing/>
              <w:jc w:val="center"/>
              <w:rPr>
                <w:rFonts w:cs="Times New Roman"/>
                <w:sz w:val="22"/>
                <w:lang w:val="bg-BG"/>
              </w:rPr>
            </w:pPr>
            <w:r w:rsidRPr="006F3533">
              <w:rPr>
                <w:rFonts w:cs="Times New Roman"/>
                <w:sz w:val="22"/>
                <w:lang w:val="bg-BG"/>
              </w:rPr>
              <w:t>Година X = 2025</w:t>
            </w:r>
          </w:p>
        </w:tc>
        <w:tc>
          <w:tcPr>
            <w:tcW w:w="1559" w:type="dxa"/>
          </w:tcPr>
          <w:p w14:paraId="779F00D2" w14:textId="77777777" w:rsidR="000F16D5" w:rsidRPr="006F3533" w:rsidRDefault="000F16D5" w:rsidP="002C1F20">
            <w:pPr>
              <w:contextualSpacing/>
              <w:jc w:val="center"/>
              <w:rPr>
                <w:rFonts w:cs="Times New Roman"/>
                <w:sz w:val="22"/>
                <w:lang w:val="bg-BG"/>
              </w:rPr>
            </w:pPr>
            <w:r w:rsidRPr="006F3533">
              <w:rPr>
                <w:rFonts w:cs="Times New Roman"/>
                <w:sz w:val="22"/>
                <w:lang w:val="bg-BG"/>
              </w:rPr>
              <w:t>2020 = 2019</w:t>
            </w:r>
          </w:p>
        </w:tc>
        <w:tc>
          <w:tcPr>
            <w:tcW w:w="1588" w:type="dxa"/>
          </w:tcPr>
          <w:p w14:paraId="29EF5D85" w14:textId="77777777" w:rsidR="000F16D5" w:rsidRPr="006F3533" w:rsidRDefault="000F16D5" w:rsidP="002C1F20">
            <w:pPr>
              <w:contextualSpacing/>
              <w:jc w:val="center"/>
              <w:rPr>
                <w:rFonts w:cs="Times New Roman"/>
                <w:sz w:val="22"/>
                <w:lang w:val="bg-BG"/>
              </w:rPr>
            </w:pPr>
            <w:r w:rsidRPr="006F3533">
              <w:rPr>
                <w:rFonts w:cs="Times New Roman"/>
                <w:sz w:val="22"/>
                <w:lang w:val="bg-BG"/>
              </w:rPr>
              <w:t xml:space="preserve">Година X-2 = 2025 </w:t>
            </w:r>
          </w:p>
        </w:tc>
        <w:tc>
          <w:tcPr>
            <w:tcW w:w="1559" w:type="dxa"/>
          </w:tcPr>
          <w:p w14:paraId="5EE37A13" w14:textId="77777777" w:rsidR="000F16D5" w:rsidRPr="006F3533" w:rsidRDefault="000F16D5" w:rsidP="002C1F20">
            <w:pPr>
              <w:contextualSpacing/>
              <w:jc w:val="center"/>
              <w:rPr>
                <w:rFonts w:cs="Times New Roman"/>
                <w:sz w:val="22"/>
                <w:lang w:val="bg-BG"/>
              </w:rPr>
            </w:pPr>
            <w:r w:rsidRPr="006F3533">
              <w:rPr>
                <w:rFonts w:cs="Times New Roman"/>
                <w:sz w:val="22"/>
                <w:lang w:val="bg-BG"/>
              </w:rPr>
              <w:t>2020 = 2019</w:t>
            </w:r>
          </w:p>
        </w:tc>
      </w:tr>
      <w:tr w:rsidR="000F16D5" w:rsidRPr="006F3533" w14:paraId="1CC654DA" w14:textId="77777777" w:rsidTr="002C1F20">
        <w:trPr>
          <w:trHeight w:val="300"/>
        </w:trPr>
        <w:tc>
          <w:tcPr>
            <w:tcW w:w="709" w:type="dxa"/>
          </w:tcPr>
          <w:p w14:paraId="40CCA6F5" w14:textId="77777777" w:rsidR="000F16D5" w:rsidRPr="006F3533" w:rsidRDefault="000F16D5" w:rsidP="002C1F20">
            <w:pPr>
              <w:jc w:val="right"/>
              <w:rPr>
                <w:rFonts w:cs="Times New Roman"/>
                <w:i/>
                <w:iCs/>
                <w:sz w:val="22"/>
                <w:lang w:val="bg-BG"/>
              </w:rPr>
            </w:pPr>
            <w:r w:rsidRPr="006F3533">
              <w:rPr>
                <w:rFonts w:cs="Times New Roman"/>
                <w:i/>
                <w:iCs/>
                <w:sz w:val="22"/>
                <w:lang w:val="bg-BG"/>
              </w:rPr>
              <w:t>(c)</w:t>
            </w:r>
          </w:p>
        </w:tc>
        <w:tc>
          <w:tcPr>
            <w:tcW w:w="2835" w:type="dxa"/>
          </w:tcPr>
          <w:p w14:paraId="062DD2EF" w14:textId="77777777" w:rsidR="000F16D5" w:rsidRPr="006F3533" w:rsidRDefault="000F16D5" w:rsidP="002C1F20">
            <w:pPr>
              <w:ind w:left="708"/>
              <w:contextualSpacing/>
              <w:jc w:val="right"/>
              <w:rPr>
                <w:rFonts w:cs="Times New Roman"/>
                <w:sz w:val="22"/>
                <w:lang w:val="bg-BG"/>
              </w:rPr>
            </w:pPr>
            <w:proofErr w:type="spellStart"/>
            <w:r w:rsidRPr="006F3533">
              <w:rPr>
                <w:rFonts w:cs="Times New Roman"/>
                <w:i/>
                <w:iCs/>
                <w:sz w:val="22"/>
                <w:lang w:val="bg-BG"/>
              </w:rPr>
              <w:t>offices</w:t>
            </w:r>
            <w:proofErr w:type="spellEnd"/>
          </w:p>
        </w:tc>
        <w:tc>
          <w:tcPr>
            <w:tcW w:w="1444" w:type="dxa"/>
          </w:tcPr>
          <w:p w14:paraId="2701CAB5" w14:textId="77777777" w:rsidR="000F16D5" w:rsidRPr="006F3533" w:rsidRDefault="000F16D5" w:rsidP="002C1F20">
            <w:pPr>
              <w:contextualSpacing/>
              <w:jc w:val="right"/>
              <w:rPr>
                <w:rFonts w:cs="Times New Roman"/>
                <w:sz w:val="22"/>
                <w:lang w:val="bg-BG"/>
              </w:rPr>
            </w:pPr>
            <w:r w:rsidRPr="006F3533">
              <w:rPr>
                <w:rFonts w:cs="Times New Roman"/>
                <w:sz w:val="22"/>
                <w:lang w:val="bg-BG"/>
              </w:rPr>
              <w:t>17 509</w:t>
            </w:r>
          </w:p>
        </w:tc>
        <w:tc>
          <w:tcPr>
            <w:tcW w:w="1559" w:type="dxa"/>
          </w:tcPr>
          <w:p w14:paraId="0ACA37DB" w14:textId="77777777" w:rsidR="000F16D5" w:rsidRPr="006F3533" w:rsidRDefault="000F16D5" w:rsidP="002C1F20">
            <w:pPr>
              <w:contextualSpacing/>
              <w:jc w:val="right"/>
              <w:rPr>
                <w:rFonts w:cs="Times New Roman"/>
                <w:sz w:val="22"/>
                <w:lang w:val="bg-BG"/>
              </w:rPr>
            </w:pPr>
            <w:r w:rsidRPr="006F3533">
              <w:rPr>
                <w:rFonts w:cs="Times New Roman"/>
                <w:sz w:val="22"/>
                <w:lang w:val="bg-BG"/>
              </w:rPr>
              <w:t>15 041</w:t>
            </w:r>
          </w:p>
        </w:tc>
        <w:tc>
          <w:tcPr>
            <w:tcW w:w="1588" w:type="dxa"/>
          </w:tcPr>
          <w:p w14:paraId="0ACD8595" w14:textId="77777777" w:rsidR="000F16D5" w:rsidRPr="006F3533" w:rsidRDefault="000F16D5" w:rsidP="002C1F20">
            <w:pPr>
              <w:contextualSpacing/>
              <w:jc w:val="right"/>
              <w:rPr>
                <w:rFonts w:cs="Times New Roman"/>
                <w:sz w:val="22"/>
                <w:lang w:val="bg-BG"/>
              </w:rPr>
            </w:pPr>
            <w:r w:rsidRPr="006F3533">
              <w:rPr>
                <w:rFonts w:cs="Times New Roman"/>
                <w:sz w:val="22"/>
                <w:lang w:val="bg-BG"/>
              </w:rPr>
              <w:t>16 002 447</w:t>
            </w:r>
          </w:p>
        </w:tc>
        <w:tc>
          <w:tcPr>
            <w:tcW w:w="1559" w:type="dxa"/>
          </w:tcPr>
          <w:p w14:paraId="098A6160" w14:textId="77777777" w:rsidR="000F16D5" w:rsidRPr="006F3533" w:rsidRDefault="000F16D5" w:rsidP="002C1F20">
            <w:pPr>
              <w:contextualSpacing/>
              <w:jc w:val="right"/>
              <w:rPr>
                <w:rFonts w:cs="Times New Roman"/>
                <w:sz w:val="22"/>
                <w:lang w:val="bg-BG"/>
              </w:rPr>
            </w:pPr>
            <w:r w:rsidRPr="006F3533">
              <w:rPr>
                <w:rFonts w:cs="Times New Roman"/>
                <w:sz w:val="22"/>
                <w:lang w:val="bg-BG"/>
              </w:rPr>
              <w:t>14 878 947</w:t>
            </w:r>
          </w:p>
        </w:tc>
      </w:tr>
      <w:tr w:rsidR="000F16D5" w:rsidRPr="006F3533" w14:paraId="64CB037D" w14:textId="77777777" w:rsidTr="002C1F20">
        <w:trPr>
          <w:trHeight w:val="300"/>
        </w:trPr>
        <w:tc>
          <w:tcPr>
            <w:tcW w:w="709" w:type="dxa"/>
          </w:tcPr>
          <w:p w14:paraId="7FB1F2C7" w14:textId="77777777" w:rsidR="000F16D5" w:rsidRPr="006F3533" w:rsidRDefault="000F16D5" w:rsidP="002C1F20">
            <w:pPr>
              <w:contextualSpacing/>
              <w:jc w:val="right"/>
              <w:rPr>
                <w:rFonts w:cs="Times New Roman"/>
                <w:i/>
                <w:iCs/>
                <w:sz w:val="22"/>
                <w:lang w:val="bg-BG"/>
              </w:rPr>
            </w:pPr>
            <w:r w:rsidRPr="006F3533">
              <w:rPr>
                <w:rFonts w:cs="Times New Roman"/>
                <w:i/>
                <w:iCs/>
                <w:sz w:val="22"/>
                <w:lang w:val="bg-BG"/>
              </w:rPr>
              <w:t>(d)</w:t>
            </w:r>
          </w:p>
        </w:tc>
        <w:tc>
          <w:tcPr>
            <w:tcW w:w="2835" w:type="dxa"/>
          </w:tcPr>
          <w:p w14:paraId="68BBB659" w14:textId="77777777" w:rsidR="000F16D5" w:rsidRPr="006F3533" w:rsidRDefault="000F16D5" w:rsidP="002C1F20">
            <w:pPr>
              <w:contextualSpacing/>
              <w:jc w:val="right"/>
              <w:rPr>
                <w:rFonts w:cs="Times New Roman"/>
                <w:i/>
                <w:iCs/>
                <w:sz w:val="22"/>
                <w:lang w:val="bg-BG"/>
              </w:rPr>
            </w:pPr>
            <w:proofErr w:type="spellStart"/>
            <w:r w:rsidRPr="006F3533">
              <w:rPr>
                <w:rFonts w:cs="Times New Roman"/>
                <w:i/>
                <w:iCs/>
                <w:sz w:val="22"/>
                <w:lang w:val="bg-BG"/>
              </w:rPr>
              <w:t>educational</w:t>
            </w:r>
            <w:proofErr w:type="spellEnd"/>
            <w:r w:rsidRPr="006F3533">
              <w:rPr>
                <w:rFonts w:cs="Times New Roman"/>
                <w:i/>
                <w:iCs/>
                <w:sz w:val="22"/>
                <w:lang w:val="bg-BG"/>
              </w:rPr>
              <w:t xml:space="preserve"> </w:t>
            </w:r>
            <w:proofErr w:type="spellStart"/>
            <w:r w:rsidRPr="006F3533">
              <w:rPr>
                <w:rFonts w:cs="Times New Roman"/>
                <w:i/>
                <w:iCs/>
                <w:sz w:val="22"/>
                <w:lang w:val="bg-BG"/>
              </w:rPr>
              <w:t>buildings</w:t>
            </w:r>
            <w:proofErr w:type="spellEnd"/>
          </w:p>
        </w:tc>
        <w:tc>
          <w:tcPr>
            <w:tcW w:w="1444" w:type="dxa"/>
          </w:tcPr>
          <w:p w14:paraId="044F707E" w14:textId="77777777" w:rsidR="000F16D5" w:rsidRPr="006F3533" w:rsidRDefault="000F16D5" w:rsidP="002C1F20">
            <w:pPr>
              <w:contextualSpacing/>
              <w:jc w:val="right"/>
              <w:rPr>
                <w:rFonts w:cs="Times New Roman"/>
                <w:sz w:val="22"/>
                <w:lang w:val="bg-BG"/>
              </w:rPr>
            </w:pPr>
            <w:r w:rsidRPr="006F3533">
              <w:rPr>
                <w:rFonts w:cs="Times New Roman"/>
                <w:sz w:val="22"/>
                <w:lang w:val="bg-BG"/>
              </w:rPr>
              <w:t>7 568</w:t>
            </w:r>
          </w:p>
        </w:tc>
        <w:tc>
          <w:tcPr>
            <w:tcW w:w="1559" w:type="dxa"/>
          </w:tcPr>
          <w:p w14:paraId="769B446C" w14:textId="77777777" w:rsidR="000F16D5" w:rsidRPr="006F3533" w:rsidRDefault="000F16D5" w:rsidP="002C1F20">
            <w:pPr>
              <w:contextualSpacing/>
              <w:jc w:val="right"/>
              <w:rPr>
                <w:rFonts w:cs="Times New Roman"/>
                <w:sz w:val="22"/>
                <w:lang w:val="bg-BG"/>
              </w:rPr>
            </w:pPr>
            <w:r w:rsidRPr="006F3533">
              <w:rPr>
                <w:rFonts w:cs="Times New Roman"/>
                <w:sz w:val="22"/>
                <w:lang w:val="bg-BG"/>
              </w:rPr>
              <w:t>6 652</w:t>
            </w:r>
          </w:p>
        </w:tc>
        <w:tc>
          <w:tcPr>
            <w:tcW w:w="1588" w:type="dxa"/>
          </w:tcPr>
          <w:p w14:paraId="3D9CDB58" w14:textId="77777777" w:rsidR="000F16D5" w:rsidRPr="006F3533" w:rsidRDefault="000F16D5" w:rsidP="002C1F20">
            <w:pPr>
              <w:contextualSpacing/>
              <w:jc w:val="right"/>
              <w:rPr>
                <w:rFonts w:cs="Times New Roman"/>
                <w:sz w:val="22"/>
                <w:lang w:val="bg-BG"/>
              </w:rPr>
            </w:pPr>
            <w:r w:rsidRPr="006F3533">
              <w:rPr>
                <w:rFonts w:cs="Times New Roman"/>
                <w:sz w:val="22"/>
                <w:lang w:val="bg-BG"/>
              </w:rPr>
              <w:t>10 058 921</w:t>
            </w:r>
          </w:p>
        </w:tc>
        <w:tc>
          <w:tcPr>
            <w:tcW w:w="1559" w:type="dxa"/>
          </w:tcPr>
          <w:p w14:paraId="45979F67" w14:textId="77777777" w:rsidR="000F16D5" w:rsidRPr="006F3533" w:rsidRDefault="000F16D5" w:rsidP="002C1F20">
            <w:pPr>
              <w:contextualSpacing/>
              <w:jc w:val="right"/>
              <w:rPr>
                <w:rFonts w:cs="Times New Roman"/>
                <w:sz w:val="22"/>
                <w:lang w:val="bg-BG"/>
              </w:rPr>
            </w:pPr>
            <w:r w:rsidRPr="006F3533">
              <w:rPr>
                <w:rFonts w:cs="Times New Roman"/>
                <w:sz w:val="22"/>
                <w:lang w:val="bg-BG"/>
              </w:rPr>
              <w:t>8 927 599</w:t>
            </w:r>
          </w:p>
        </w:tc>
      </w:tr>
      <w:tr w:rsidR="000F16D5" w:rsidRPr="006F3533" w14:paraId="2C3964B0" w14:textId="77777777" w:rsidTr="002C1F20">
        <w:trPr>
          <w:trHeight w:val="300"/>
        </w:trPr>
        <w:tc>
          <w:tcPr>
            <w:tcW w:w="709" w:type="dxa"/>
          </w:tcPr>
          <w:p w14:paraId="5B51C0C7" w14:textId="77777777" w:rsidR="000F16D5" w:rsidRPr="006F3533" w:rsidRDefault="000F16D5" w:rsidP="002C1F20">
            <w:pPr>
              <w:contextualSpacing/>
              <w:jc w:val="right"/>
              <w:rPr>
                <w:rFonts w:cs="Times New Roman"/>
                <w:i/>
                <w:iCs/>
                <w:sz w:val="22"/>
                <w:lang w:val="bg-BG"/>
              </w:rPr>
            </w:pPr>
            <w:r w:rsidRPr="006F3533">
              <w:rPr>
                <w:rFonts w:cs="Times New Roman"/>
                <w:i/>
                <w:iCs/>
                <w:sz w:val="22"/>
                <w:lang w:val="bg-BG"/>
              </w:rPr>
              <w:t>(e)</w:t>
            </w:r>
          </w:p>
        </w:tc>
        <w:tc>
          <w:tcPr>
            <w:tcW w:w="2835" w:type="dxa"/>
          </w:tcPr>
          <w:p w14:paraId="6A5D817C" w14:textId="77777777" w:rsidR="000F16D5" w:rsidRPr="006F3533" w:rsidRDefault="000F16D5" w:rsidP="002C1F20">
            <w:pPr>
              <w:contextualSpacing/>
              <w:jc w:val="right"/>
              <w:rPr>
                <w:rFonts w:cs="Times New Roman"/>
                <w:i/>
                <w:iCs/>
                <w:sz w:val="22"/>
                <w:lang w:val="bg-BG"/>
              </w:rPr>
            </w:pPr>
            <w:proofErr w:type="spellStart"/>
            <w:r w:rsidRPr="006F3533">
              <w:rPr>
                <w:rFonts w:cs="Times New Roman"/>
                <w:i/>
                <w:iCs/>
                <w:sz w:val="22"/>
                <w:lang w:val="bg-BG"/>
              </w:rPr>
              <w:t>kindergartens</w:t>
            </w:r>
            <w:proofErr w:type="spellEnd"/>
            <w:r w:rsidRPr="006F3533">
              <w:rPr>
                <w:rFonts w:cs="Times New Roman"/>
                <w:i/>
                <w:iCs/>
                <w:sz w:val="22"/>
                <w:lang w:val="bg-BG"/>
              </w:rPr>
              <w:t xml:space="preserve"> and </w:t>
            </w:r>
            <w:proofErr w:type="spellStart"/>
            <w:r w:rsidRPr="006F3533">
              <w:rPr>
                <w:rFonts w:cs="Times New Roman"/>
                <w:i/>
                <w:iCs/>
                <w:sz w:val="22"/>
                <w:lang w:val="bg-BG"/>
              </w:rPr>
              <w:t>nursery</w:t>
            </w:r>
            <w:proofErr w:type="spellEnd"/>
          </w:p>
        </w:tc>
        <w:tc>
          <w:tcPr>
            <w:tcW w:w="1444" w:type="dxa"/>
          </w:tcPr>
          <w:p w14:paraId="203D612B" w14:textId="77777777" w:rsidR="000F16D5" w:rsidRPr="006F3533" w:rsidRDefault="000F16D5" w:rsidP="002C1F20">
            <w:pPr>
              <w:contextualSpacing/>
              <w:jc w:val="right"/>
              <w:rPr>
                <w:rFonts w:cs="Times New Roman"/>
                <w:sz w:val="22"/>
                <w:lang w:val="bg-BG"/>
              </w:rPr>
            </w:pPr>
            <w:r w:rsidRPr="006F3533">
              <w:rPr>
                <w:rFonts w:cs="Times New Roman"/>
                <w:sz w:val="22"/>
                <w:lang w:val="bg-BG"/>
              </w:rPr>
              <w:t>4 348</w:t>
            </w:r>
          </w:p>
        </w:tc>
        <w:tc>
          <w:tcPr>
            <w:tcW w:w="1559" w:type="dxa"/>
          </w:tcPr>
          <w:p w14:paraId="6DC57068" w14:textId="77777777" w:rsidR="000F16D5" w:rsidRPr="006F3533" w:rsidRDefault="000F16D5" w:rsidP="002C1F20">
            <w:pPr>
              <w:contextualSpacing/>
              <w:jc w:val="right"/>
              <w:rPr>
                <w:rFonts w:cs="Times New Roman"/>
                <w:sz w:val="22"/>
                <w:lang w:val="bg-BG"/>
              </w:rPr>
            </w:pPr>
            <w:r w:rsidRPr="006F3533">
              <w:rPr>
                <w:rFonts w:cs="Times New Roman"/>
                <w:sz w:val="22"/>
                <w:lang w:val="bg-BG"/>
              </w:rPr>
              <w:t>3 764</w:t>
            </w:r>
          </w:p>
        </w:tc>
        <w:tc>
          <w:tcPr>
            <w:tcW w:w="1588" w:type="dxa"/>
          </w:tcPr>
          <w:p w14:paraId="4A76320D"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2 760 754</w:t>
            </w:r>
          </w:p>
        </w:tc>
        <w:tc>
          <w:tcPr>
            <w:tcW w:w="1559" w:type="dxa"/>
          </w:tcPr>
          <w:p w14:paraId="336B08B2"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2 371 438</w:t>
            </w:r>
          </w:p>
        </w:tc>
      </w:tr>
      <w:tr w:rsidR="000F16D5" w:rsidRPr="006F3533" w14:paraId="3AF95890" w14:textId="77777777" w:rsidTr="002C1F20">
        <w:trPr>
          <w:trHeight w:val="300"/>
        </w:trPr>
        <w:tc>
          <w:tcPr>
            <w:tcW w:w="709" w:type="dxa"/>
          </w:tcPr>
          <w:p w14:paraId="30D88D7A" w14:textId="77777777" w:rsidR="000F16D5" w:rsidRPr="006F3533" w:rsidRDefault="000F16D5" w:rsidP="002C1F20">
            <w:pPr>
              <w:contextualSpacing/>
              <w:jc w:val="right"/>
              <w:rPr>
                <w:rFonts w:cs="Times New Roman"/>
                <w:i/>
                <w:iCs/>
                <w:sz w:val="22"/>
                <w:lang w:val="bg-BG"/>
              </w:rPr>
            </w:pPr>
            <w:r w:rsidRPr="006F3533">
              <w:rPr>
                <w:rFonts w:cs="Times New Roman"/>
                <w:i/>
                <w:iCs/>
                <w:sz w:val="22"/>
                <w:lang w:val="bg-BG"/>
              </w:rPr>
              <w:t>(f)</w:t>
            </w:r>
          </w:p>
        </w:tc>
        <w:tc>
          <w:tcPr>
            <w:tcW w:w="2835" w:type="dxa"/>
          </w:tcPr>
          <w:p w14:paraId="7EB85D7B" w14:textId="77777777" w:rsidR="000F16D5" w:rsidRPr="006F3533" w:rsidRDefault="000F16D5" w:rsidP="002C1F20">
            <w:pPr>
              <w:contextualSpacing/>
              <w:jc w:val="right"/>
              <w:rPr>
                <w:rFonts w:cs="Times New Roman"/>
                <w:i/>
                <w:iCs/>
                <w:sz w:val="22"/>
                <w:lang w:val="bg-BG"/>
              </w:rPr>
            </w:pPr>
            <w:proofErr w:type="spellStart"/>
            <w:r w:rsidRPr="006F3533">
              <w:rPr>
                <w:rFonts w:cs="Times New Roman"/>
                <w:i/>
                <w:iCs/>
                <w:sz w:val="22"/>
                <w:lang w:val="bg-BG"/>
              </w:rPr>
              <w:t>hospitals</w:t>
            </w:r>
            <w:proofErr w:type="spellEnd"/>
            <w:r w:rsidRPr="006F3533">
              <w:rPr>
                <w:rFonts w:cs="Times New Roman"/>
                <w:i/>
                <w:iCs/>
                <w:sz w:val="22"/>
                <w:lang w:val="bg-BG"/>
              </w:rPr>
              <w:t xml:space="preserve"> &amp; </w:t>
            </w:r>
            <w:proofErr w:type="spellStart"/>
            <w:r w:rsidRPr="006F3533">
              <w:rPr>
                <w:rFonts w:cs="Times New Roman"/>
                <w:i/>
                <w:iCs/>
                <w:sz w:val="22"/>
                <w:lang w:val="bg-BG"/>
              </w:rPr>
              <w:t>healthcare</w:t>
            </w:r>
            <w:proofErr w:type="spellEnd"/>
            <w:r w:rsidRPr="006F3533">
              <w:rPr>
                <w:rFonts w:cs="Times New Roman"/>
                <w:i/>
                <w:iCs/>
                <w:sz w:val="22"/>
                <w:lang w:val="bg-BG"/>
              </w:rPr>
              <w:t xml:space="preserve"> </w:t>
            </w:r>
            <w:proofErr w:type="spellStart"/>
            <w:r w:rsidRPr="006F3533">
              <w:rPr>
                <w:rFonts w:cs="Times New Roman"/>
                <w:i/>
                <w:iCs/>
                <w:sz w:val="22"/>
                <w:lang w:val="bg-BG"/>
              </w:rPr>
              <w:t>buildings</w:t>
            </w:r>
            <w:proofErr w:type="spellEnd"/>
          </w:p>
        </w:tc>
        <w:tc>
          <w:tcPr>
            <w:tcW w:w="1444" w:type="dxa"/>
          </w:tcPr>
          <w:p w14:paraId="01E72190" w14:textId="77777777" w:rsidR="000F16D5" w:rsidRPr="006F3533" w:rsidRDefault="000F16D5" w:rsidP="002C1F20">
            <w:pPr>
              <w:contextualSpacing/>
              <w:jc w:val="right"/>
              <w:rPr>
                <w:rFonts w:cs="Times New Roman"/>
                <w:sz w:val="22"/>
                <w:lang w:val="bg-BG"/>
              </w:rPr>
            </w:pPr>
            <w:r w:rsidRPr="006F3533">
              <w:rPr>
                <w:rFonts w:cs="Times New Roman"/>
                <w:sz w:val="22"/>
                <w:lang w:val="bg-BG"/>
              </w:rPr>
              <w:t>4 631</w:t>
            </w:r>
          </w:p>
        </w:tc>
        <w:tc>
          <w:tcPr>
            <w:tcW w:w="1559" w:type="dxa"/>
          </w:tcPr>
          <w:p w14:paraId="1AFF37C1" w14:textId="77777777" w:rsidR="000F16D5" w:rsidRPr="006F3533" w:rsidRDefault="000F16D5" w:rsidP="002C1F20">
            <w:pPr>
              <w:contextualSpacing/>
              <w:jc w:val="right"/>
              <w:rPr>
                <w:rFonts w:cs="Times New Roman"/>
                <w:sz w:val="22"/>
                <w:lang w:val="bg-BG"/>
              </w:rPr>
            </w:pPr>
            <w:r w:rsidRPr="006F3533">
              <w:rPr>
                <w:rFonts w:cs="Times New Roman"/>
                <w:sz w:val="22"/>
                <w:lang w:val="bg-BG"/>
              </w:rPr>
              <w:t>8 364</w:t>
            </w:r>
          </w:p>
        </w:tc>
        <w:tc>
          <w:tcPr>
            <w:tcW w:w="1588" w:type="dxa"/>
          </w:tcPr>
          <w:p w14:paraId="4C0AA18F" w14:textId="77777777" w:rsidR="000F16D5" w:rsidRPr="006F3533" w:rsidRDefault="000F16D5" w:rsidP="002C1F20">
            <w:pPr>
              <w:contextualSpacing/>
              <w:jc w:val="right"/>
              <w:rPr>
                <w:rFonts w:cs="Times New Roman"/>
                <w:sz w:val="22"/>
                <w:lang w:val="bg-BG"/>
              </w:rPr>
            </w:pPr>
            <w:r w:rsidRPr="006F3533">
              <w:rPr>
                <w:rFonts w:cs="Times New Roman"/>
                <w:sz w:val="22"/>
                <w:lang w:val="bg-BG"/>
              </w:rPr>
              <w:t>5 070 023</w:t>
            </w:r>
          </w:p>
        </w:tc>
        <w:tc>
          <w:tcPr>
            <w:tcW w:w="1559" w:type="dxa"/>
          </w:tcPr>
          <w:p w14:paraId="4EE4CF81" w14:textId="77777777" w:rsidR="000F16D5" w:rsidRPr="006F3533" w:rsidRDefault="000F16D5" w:rsidP="002C1F20">
            <w:pPr>
              <w:contextualSpacing/>
              <w:jc w:val="right"/>
              <w:rPr>
                <w:rFonts w:cs="Times New Roman"/>
                <w:sz w:val="22"/>
                <w:lang w:val="bg-BG"/>
              </w:rPr>
            </w:pPr>
            <w:r w:rsidRPr="006F3533">
              <w:rPr>
                <w:rFonts w:cs="Times New Roman"/>
                <w:sz w:val="22"/>
                <w:lang w:val="bg-BG"/>
              </w:rPr>
              <w:t>9 685 995</w:t>
            </w:r>
          </w:p>
        </w:tc>
      </w:tr>
      <w:tr w:rsidR="000F16D5" w:rsidRPr="006F3533" w14:paraId="0E13548E" w14:textId="77777777" w:rsidTr="002C1F20">
        <w:trPr>
          <w:trHeight w:val="300"/>
        </w:trPr>
        <w:tc>
          <w:tcPr>
            <w:tcW w:w="709" w:type="dxa"/>
          </w:tcPr>
          <w:p w14:paraId="0AC757D8" w14:textId="77777777" w:rsidR="000F16D5" w:rsidRPr="006F3533" w:rsidRDefault="000F16D5" w:rsidP="002C1F20">
            <w:pPr>
              <w:contextualSpacing/>
              <w:jc w:val="right"/>
              <w:rPr>
                <w:rFonts w:cs="Times New Roman"/>
                <w:i/>
                <w:iCs/>
                <w:sz w:val="22"/>
                <w:lang w:val="bg-BG"/>
              </w:rPr>
            </w:pPr>
            <w:r w:rsidRPr="006F3533">
              <w:rPr>
                <w:rFonts w:cs="Times New Roman"/>
                <w:i/>
                <w:iCs/>
                <w:sz w:val="22"/>
                <w:lang w:val="bg-BG"/>
              </w:rPr>
              <w:t>(g)</w:t>
            </w:r>
          </w:p>
        </w:tc>
        <w:tc>
          <w:tcPr>
            <w:tcW w:w="2835" w:type="dxa"/>
          </w:tcPr>
          <w:p w14:paraId="1C81B08B" w14:textId="77777777" w:rsidR="000F16D5" w:rsidRPr="006F3533" w:rsidRDefault="000F16D5" w:rsidP="002C1F20">
            <w:pPr>
              <w:contextualSpacing/>
              <w:jc w:val="right"/>
              <w:rPr>
                <w:rFonts w:cs="Times New Roman"/>
                <w:i/>
                <w:iCs/>
                <w:sz w:val="22"/>
                <w:lang w:val="bg-BG"/>
              </w:rPr>
            </w:pPr>
            <w:proofErr w:type="spellStart"/>
            <w:r w:rsidRPr="006F3533">
              <w:rPr>
                <w:rFonts w:cs="Times New Roman"/>
                <w:i/>
                <w:iCs/>
                <w:sz w:val="22"/>
                <w:lang w:val="bg-BG"/>
              </w:rPr>
              <w:t>hotels</w:t>
            </w:r>
            <w:proofErr w:type="spellEnd"/>
            <w:r w:rsidRPr="006F3533">
              <w:rPr>
                <w:rFonts w:cs="Times New Roman"/>
                <w:i/>
                <w:iCs/>
                <w:sz w:val="22"/>
                <w:lang w:val="bg-BG"/>
              </w:rPr>
              <w:t xml:space="preserve"> and </w:t>
            </w:r>
            <w:proofErr w:type="spellStart"/>
            <w:r w:rsidRPr="006F3533">
              <w:rPr>
                <w:rFonts w:cs="Times New Roman"/>
                <w:i/>
                <w:iCs/>
                <w:sz w:val="22"/>
                <w:lang w:val="bg-BG"/>
              </w:rPr>
              <w:t>restaurants</w:t>
            </w:r>
            <w:proofErr w:type="spellEnd"/>
          </w:p>
        </w:tc>
        <w:tc>
          <w:tcPr>
            <w:tcW w:w="1444" w:type="dxa"/>
          </w:tcPr>
          <w:p w14:paraId="365E8B61" w14:textId="77777777" w:rsidR="000F16D5" w:rsidRPr="006F3533" w:rsidRDefault="000F16D5" w:rsidP="002C1F20">
            <w:pPr>
              <w:contextualSpacing/>
              <w:jc w:val="right"/>
              <w:rPr>
                <w:rFonts w:cs="Times New Roman"/>
                <w:sz w:val="22"/>
                <w:lang w:val="bg-BG"/>
              </w:rPr>
            </w:pPr>
            <w:r w:rsidRPr="006F3533">
              <w:rPr>
                <w:rFonts w:cs="Times New Roman"/>
                <w:sz w:val="22"/>
                <w:lang w:val="bg-BG"/>
              </w:rPr>
              <w:t>30 755</w:t>
            </w:r>
          </w:p>
        </w:tc>
        <w:tc>
          <w:tcPr>
            <w:tcW w:w="1559" w:type="dxa"/>
          </w:tcPr>
          <w:p w14:paraId="6415DBA2"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26 673</w:t>
            </w:r>
          </w:p>
        </w:tc>
        <w:tc>
          <w:tcPr>
            <w:tcW w:w="1588" w:type="dxa"/>
          </w:tcPr>
          <w:p w14:paraId="3597B60F"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24 029 593</w:t>
            </w:r>
          </w:p>
        </w:tc>
        <w:tc>
          <w:tcPr>
            <w:tcW w:w="1559" w:type="dxa"/>
          </w:tcPr>
          <w:p w14:paraId="18303FFC" w14:textId="77777777" w:rsidR="000F16D5" w:rsidRPr="006F3533" w:rsidRDefault="000F16D5" w:rsidP="002C1F20">
            <w:pPr>
              <w:contextualSpacing/>
              <w:jc w:val="right"/>
              <w:rPr>
                <w:rFonts w:cs="Times New Roman"/>
                <w:sz w:val="22"/>
                <w:lang w:val="bg-BG"/>
              </w:rPr>
            </w:pPr>
            <w:r w:rsidRPr="006F3533">
              <w:rPr>
                <w:rFonts w:cs="Times New Roman"/>
                <w:sz w:val="22"/>
                <w:lang w:val="bg-BG"/>
              </w:rPr>
              <w:t>18 898 840</w:t>
            </w:r>
          </w:p>
        </w:tc>
      </w:tr>
      <w:tr w:rsidR="000F16D5" w:rsidRPr="006F3533" w14:paraId="4A4716F2" w14:textId="77777777" w:rsidTr="002C1F20">
        <w:trPr>
          <w:trHeight w:val="300"/>
        </w:trPr>
        <w:tc>
          <w:tcPr>
            <w:tcW w:w="709" w:type="dxa"/>
          </w:tcPr>
          <w:p w14:paraId="169F934C" w14:textId="77777777" w:rsidR="000F16D5" w:rsidRPr="006F3533" w:rsidRDefault="000F16D5" w:rsidP="002C1F20">
            <w:pPr>
              <w:contextualSpacing/>
              <w:jc w:val="right"/>
              <w:rPr>
                <w:rFonts w:cs="Times New Roman"/>
                <w:i/>
                <w:iCs/>
                <w:sz w:val="22"/>
                <w:lang w:val="bg-BG"/>
              </w:rPr>
            </w:pPr>
            <w:r w:rsidRPr="006F3533">
              <w:rPr>
                <w:rFonts w:cs="Times New Roman"/>
                <w:i/>
                <w:iCs/>
                <w:sz w:val="22"/>
                <w:lang w:val="bg-BG"/>
              </w:rPr>
              <w:t>(h)</w:t>
            </w:r>
          </w:p>
        </w:tc>
        <w:tc>
          <w:tcPr>
            <w:tcW w:w="2835" w:type="dxa"/>
          </w:tcPr>
          <w:p w14:paraId="02E27792" w14:textId="77777777" w:rsidR="000F16D5" w:rsidRPr="006F3533" w:rsidRDefault="000F16D5" w:rsidP="002C1F20">
            <w:pPr>
              <w:contextualSpacing/>
              <w:jc w:val="right"/>
              <w:rPr>
                <w:rFonts w:cs="Times New Roman"/>
                <w:i/>
                <w:iCs/>
                <w:sz w:val="22"/>
                <w:lang w:val="bg-BG"/>
              </w:rPr>
            </w:pPr>
            <w:proofErr w:type="spellStart"/>
            <w:r w:rsidRPr="006F3533">
              <w:rPr>
                <w:rFonts w:cs="Times New Roman"/>
                <w:i/>
                <w:iCs/>
                <w:sz w:val="22"/>
                <w:lang w:val="bg-BG"/>
              </w:rPr>
              <w:t>wholesale</w:t>
            </w:r>
            <w:proofErr w:type="spellEnd"/>
            <w:r w:rsidRPr="006F3533">
              <w:rPr>
                <w:rFonts w:cs="Times New Roman"/>
                <w:i/>
                <w:iCs/>
                <w:sz w:val="22"/>
                <w:lang w:val="bg-BG"/>
              </w:rPr>
              <w:t xml:space="preserve"> and </w:t>
            </w:r>
            <w:proofErr w:type="spellStart"/>
            <w:r w:rsidRPr="006F3533">
              <w:rPr>
                <w:rFonts w:cs="Times New Roman"/>
                <w:i/>
                <w:iCs/>
                <w:sz w:val="22"/>
                <w:lang w:val="bg-BG"/>
              </w:rPr>
              <w:t>retail</w:t>
            </w:r>
            <w:proofErr w:type="spellEnd"/>
            <w:r w:rsidRPr="006F3533">
              <w:rPr>
                <w:rFonts w:cs="Times New Roman"/>
                <w:i/>
                <w:iCs/>
                <w:sz w:val="22"/>
                <w:lang w:val="bg-BG"/>
              </w:rPr>
              <w:t xml:space="preserve"> </w:t>
            </w:r>
            <w:proofErr w:type="spellStart"/>
            <w:r w:rsidRPr="006F3533">
              <w:rPr>
                <w:rFonts w:cs="Times New Roman"/>
                <w:i/>
                <w:iCs/>
                <w:sz w:val="22"/>
                <w:lang w:val="bg-BG"/>
              </w:rPr>
              <w:t>trade</w:t>
            </w:r>
            <w:proofErr w:type="spellEnd"/>
            <w:r w:rsidRPr="006F3533">
              <w:rPr>
                <w:rFonts w:cs="Times New Roman"/>
                <w:i/>
                <w:iCs/>
                <w:sz w:val="22"/>
                <w:lang w:val="bg-BG"/>
              </w:rPr>
              <w:t xml:space="preserve"> </w:t>
            </w:r>
            <w:proofErr w:type="spellStart"/>
            <w:r w:rsidRPr="006F3533">
              <w:rPr>
                <w:rFonts w:cs="Times New Roman"/>
                <w:i/>
                <w:iCs/>
                <w:sz w:val="22"/>
                <w:lang w:val="bg-BG"/>
              </w:rPr>
              <w:t>services</w:t>
            </w:r>
            <w:proofErr w:type="spellEnd"/>
            <w:r w:rsidRPr="006F3533">
              <w:rPr>
                <w:rFonts w:cs="Times New Roman"/>
                <w:i/>
                <w:iCs/>
                <w:sz w:val="22"/>
                <w:lang w:val="bg-BG"/>
              </w:rPr>
              <w:t xml:space="preserve"> </w:t>
            </w:r>
            <w:proofErr w:type="spellStart"/>
            <w:r w:rsidRPr="006F3533">
              <w:rPr>
                <w:rFonts w:cs="Times New Roman"/>
                <w:i/>
                <w:iCs/>
                <w:sz w:val="22"/>
                <w:lang w:val="bg-BG"/>
              </w:rPr>
              <w:t>buildings</w:t>
            </w:r>
            <w:proofErr w:type="spellEnd"/>
          </w:p>
        </w:tc>
        <w:tc>
          <w:tcPr>
            <w:tcW w:w="1444" w:type="dxa"/>
          </w:tcPr>
          <w:p w14:paraId="4511CEEA" w14:textId="77777777" w:rsidR="000F16D5" w:rsidRPr="006F3533" w:rsidRDefault="000F16D5" w:rsidP="002C1F20">
            <w:pPr>
              <w:contextualSpacing/>
              <w:jc w:val="right"/>
              <w:rPr>
                <w:rFonts w:cs="Times New Roman"/>
                <w:sz w:val="22"/>
                <w:lang w:val="bg-BG"/>
              </w:rPr>
            </w:pPr>
            <w:r w:rsidRPr="006F3533">
              <w:rPr>
                <w:rFonts w:cs="Times New Roman"/>
                <w:sz w:val="22"/>
                <w:lang w:val="bg-BG"/>
              </w:rPr>
              <w:t>68 739</w:t>
            </w:r>
          </w:p>
        </w:tc>
        <w:tc>
          <w:tcPr>
            <w:tcW w:w="1559" w:type="dxa"/>
          </w:tcPr>
          <w:p w14:paraId="573BCDA9" w14:textId="77777777" w:rsidR="000F16D5" w:rsidRPr="006F3533" w:rsidRDefault="000F16D5" w:rsidP="002C1F20">
            <w:pPr>
              <w:contextualSpacing/>
              <w:jc w:val="right"/>
              <w:rPr>
                <w:rFonts w:cs="Times New Roman"/>
                <w:sz w:val="22"/>
                <w:lang w:val="bg-BG"/>
              </w:rPr>
            </w:pPr>
            <w:r w:rsidRPr="006F3533">
              <w:rPr>
                <w:rFonts w:cs="Times New Roman"/>
                <w:sz w:val="22"/>
                <w:lang w:val="bg-BG"/>
              </w:rPr>
              <w:t>42 399</w:t>
            </w:r>
          </w:p>
        </w:tc>
        <w:tc>
          <w:tcPr>
            <w:tcW w:w="1588" w:type="dxa"/>
          </w:tcPr>
          <w:p w14:paraId="2C4DB765"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20 874 537</w:t>
            </w:r>
          </w:p>
        </w:tc>
        <w:tc>
          <w:tcPr>
            <w:tcW w:w="1559" w:type="dxa"/>
          </w:tcPr>
          <w:p w14:paraId="3C815FDB" w14:textId="77777777" w:rsidR="000F16D5" w:rsidRPr="006F3533" w:rsidRDefault="000F16D5" w:rsidP="002C1F20">
            <w:pPr>
              <w:contextualSpacing/>
              <w:jc w:val="right"/>
              <w:rPr>
                <w:rFonts w:cs="Times New Roman"/>
                <w:sz w:val="22"/>
                <w:lang w:val="bg-BG"/>
              </w:rPr>
            </w:pPr>
            <w:r w:rsidRPr="006F3533">
              <w:rPr>
                <w:rFonts w:cs="Times New Roman"/>
                <w:sz w:val="22"/>
                <w:lang w:val="bg-BG"/>
              </w:rPr>
              <w:t>10 519 029</w:t>
            </w:r>
          </w:p>
        </w:tc>
      </w:tr>
      <w:tr w:rsidR="000F16D5" w:rsidRPr="006F3533" w14:paraId="2F3A590C" w14:textId="77777777" w:rsidTr="002C1F20">
        <w:trPr>
          <w:trHeight w:val="300"/>
        </w:trPr>
        <w:tc>
          <w:tcPr>
            <w:tcW w:w="709" w:type="dxa"/>
          </w:tcPr>
          <w:p w14:paraId="24481935" w14:textId="77777777" w:rsidR="000F16D5" w:rsidRPr="006F3533" w:rsidRDefault="000F16D5" w:rsidP="002C1F20">
            <w:pPr>
              <w:contextualSpacing/>
              <w:jc w:val="right"/>
              <w:rPr>
                <w:rFonts w:cs="Times New Roman"/>
                <w:i/>
                <w:iCs/>
                <w:sz w:val="22"/>
                <w:lang w:val="bg-BG"/>
              </w:rPr>
            </w:pPr>
            <w:r w:rsidRPr="006F3533">
              <w:rPr>
                <w:rFonts w:cs="Times New Roman"/>
                <w:i/>
                <w:iCs/>
                <w:sz w:val="22"/>
                <w:lang w:val="bg-BG"/>
              </w:rPr>
              <w:t>(i)</w:t>
            </w:r>
          </w:p>
        </w:tc>
        <w:tc>
          <w:tcPr>
            <w:tcW w:w="2835" w:type="dxa"/>
          </w:tcPr>
          <w:p w14:paraId="7CFBD12E" w14:textId="77777777" w:rsidR="000F16D5" w:rsidRPr="006F3533" w:rsidRDefault="000F16D5" w:rsidP="002C1F20">
            <w:pPr>
              <w:contextualSpacing/>
              <w:jc w:val="right"/>
              <w:rPr>
                <w:rFonts w:cs="Times New Roman"/>
                <w:i/>
                <w:iCs/>
                <w:sz w:val="22"/>
                <w:lang w:val="bg-BG"/>
              </w:rPr>
            </w:pPr>
            <w:proofErr w:type="spellStart"/>
            <w:r w:rsidRPr="006F3533">
              <w:rPr>
                <w:rFonts w:cs="Times New Roman"/>
                <w:i/>
                <w:iCs/>
                <w:sz w:val="22"/>
                <w:lang w:val="bg-BG"/>
              </w:rPr>
              <w:t>sport</w:t>
            </w:r>
            <w:proofErr w:type="spellEnd"/>
            <w:r w:rsidRPr="006F3533">
              <w:rPr>
                <w:rFonts w:cs="Times New Roman"/>
                <w:i/>
                <w:iCs/>
                <w:sz w:val="22"/>
                <w:lang w:val="bg-BG"/>
              </w:rPr>
              <w:t xml:space="preserve"> </w:t>
            </w:r>
            <w:proofErr w:type="spellStart"/>
            <w:r w:rsidRPr="006F3533">
              <w:rPr>
                <w:rFonts w:cs="Times New Roman"/>
                <w:i/>
                <w:iCs/>
                <w:sz w:val="22"/>
                <w:lang w:val="bg-BG"/>
              </w:rPr>
              <w:t>facilities</w:t>
            </w:r>
            <w:proofErr w:type="spellEnd"/>
          </w:p>
        </w:tc>
        <w:tc>
          <w:tcPr>
            <w:tcW w:w="1444" w:type="dxa"/>
          </w:tcPr>
          <w:p w14:paraId="6394C420"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2 581</w:t>
            </w:r>
          </w:p>
        </w:tc>
        <w:tc>
          <w:tcPr>
            <w:tcW w:w="1559" w:type="dxa"/>
          </w:tcPr>
          <w:p w14:paraId="5D34E78D"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2 174</w:t>
            </w:r>
          </w:p>
        </w:tc>
        <w:tc>
          <w:tcPr>
            <w:tcW w:w="1588" w:type="dxa"/>
          </w:tcPr>
          <w:p w14:paraId="51A3E397"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2 169 025</w:t>
            </w:r>
          </w:p>
        </w:tc>
        <w:tc>
          <w:tcPr>
            <w:tcW w:w="1559" w:type="dxa"/>
          </w:tcPr>
          <w:p w14:paraId="175EE9C1" w14:textId="77777777" w:rsidR="000F16D5" w:rsidRPr="006F3533" w:rsidRDefault="000F16D5" w:rsidP="002C1F20">
            <w:pPr>
              <w:contextualSpacing/>
              <w:jc w:val="right"/>
              <w:rPr>
                <w:rFonts w:cs="Times New Roman"/>
                <w:sz w:val="22"/>
                <w:lang w:val="bg-BG"/>
              </w:rPr>
            </w:pPr>
            <w:r w:rsidRPr="006F3533">
              <w:rPr>
                <w:rFonts w:cs="Times New Roman"/>
                <w:sz w:val="22"/>
                <w:lang w:val="bg-BG"/>
              </w:rPr>
              <w:t>1 793 216</w:t>
            </w:r>
          </w:p>
        </w:tc>
      </w:tr>
      <w:tr w:rsidR="000F16D5" w:rsidRPr="006F3533" w14:paraId="485B7D8A" w14:textId="77777777" w:rsidTr="002C1F20">
        <w:trPr>
          <w:trHeight w:val="300"/>
        </w:trPr>
        <w:tc>
          <w:tcPr>
            <w:tcW w:w="709" w:type="dxa"/>
          </w:tcPr>
          <w:p w14:paraId="6C76E338" w14:textId="77777777" w:rsidR="000F16D5" w:rsidRPr="006F3533" w:rsidRDefault="000F16D5" w:rsidP="002C1F20">
            <w:pPr>
              <w:contextualSpacing/>
              <w:jc w:val="right"/>
              <w:rPr>
                <w:rFonts w:cs="Times New Roman"/>
                <w:i/>
                <w:iCs/>
                <w:sz w:val="22"/>
                <w:lang w:val="bg-BG"/>
              </w:rPr>
            </w:pPr>
            <w:r w:rsidRPr="006F3533">
              <w:rPr>
                <w:rFonts w:cs="Times New Roman"/>
                <w:i/>
                <w:iCs/>
                <w:sz w:val="22"/>
                <w:lang w:val="bg-BG"/>
              </w:rPr>
              <w:t>(j)</w:t>
            </w:r>
          </w:p>
        </w:tc>
        <w:tc>
          <w:tcPr>
            <w:tcW w:w="2835" w:type="dxa"/>
          </w:tcPr>
          <w:p w14:paraId="27F7CE96" w14:textId="77777777" w:rsidR="000F16D5" w:rsidRPr="006F3533" w:rsidRDefault="000F16D5" w:rsidP="002C1F20">
            <w:pPr>
              <w:contextualSpacing/>
              <w:jc w:val="right"/>
              <w:rPr>
                <w:rFonts w:cs="Times New Roman"/>
                <w:i/>
                <w:iCs/>
                <w:sz w:val="22"/>
                <w:lang w:val="bg-BG"/>
              </w:rPr>
            </w:pPr>
            <w:proofErr w:type="spellStart"/>
            <w:r w:rsidRPr="006F3533">
              <w:rPr>
                <w:rFonts w:cs="Times New Roman"/>
                <w:i/>
                <w:iCs/>
                <w:sz w:val="22"/>
                <w:lang w:val="bg-BG"/>
              </w:rPr>
              <w:t>culture</w:t>
            </w:r>
            <w:proofErr w:type="spellEnd"/>
            <w:r w:rsidRPr="006F3533">
              <w:rPr>
                <w:rFonts w:cs="Times New Roman"/>
                <w:i/>
                <w:iCs/>
                <w:sz w:val="22"/>
                <w:lang w:val="bg-BG"/>
              </w:rPr>
              <w:t xml:space="preserve"> and </w:t>
            </w:r>
            <w:proofErr w:type="spellStart"/>
            <w:r w:rsidRPr="006F3533">
              <w:rPr>
                <w:rFonts w:cs="Times New Roman"/>
                <w:i/>
                <w:iCs/>
                <w:sz w:val="22"/>
                <w:lang w:val="bg-BG"/>
              </w:rPr>
              <w:t>art</w:t>
            </w:r>
            <w:proofErr w:type="spellEnd"/>
            <w:r w:rsidRPr="006F3533">
              <w:rPr>
                <w:rFonts w:cs="Times New Roman"/>
                <w:i/>
                <w:iCs/>
                <w:sz w:val="22"/>
                <w:lang w:val="bg-BG"/>
              </w:rPr>
              <w:t xml:space="preserve"> </w:t>
            </w:r>
            <w:proofErr w:type="spellStart"/>
            <w:r w:rsidRPr="006F3533">
              <w:rPr>
                <w:rFonts w:cs="Times New Roman"/>
                <w:i/>
                <w:iCs/>
                <w:sz w:val="22"/>
                <w:lang w:val="bg-BG"/>
              </w:rPr>
              <w:t>buildings</w:t>
            </w:r>
            <w:proofErr w:type="spellEnd"/>
          </w:p>
        </w:tc>
        <w:tc>
          <w:tcPr>
            <w:tcW w:w="1444" w:type="dxa"/>
          </w:tcPr>
          <w:p w14:paraId="68BD120D" w14:textId="77777777" w:rsidR="000F16D5" w:rsidRPr="006F3533" w:rsidRDefault="000F16D5" w:rsidP="002C1F20">
            <w:pPr>
              <w:contextualSpacing/>
              <w:jc w:val="right"/>
              <w:rPr>
                <w:rFonts w:cs="Times New Roman"/>
                <w:sz w:val="22"/>
                <w:lang w:val="bg-BG"/>
              </w:rPr>
            </w:pPr>
            <w:r w:rsidRPr="006F3533">
              <w:rPr>
                <w:rFonts w:cs="Times New Roman"/>
                <w:sz w:val="22"/>
                <w:lang w:val="bg-BG"/>
              </w:rPr>
              <w:t>3 456</w:t>
            </w:r>
          </w:p>
        </w:tc>
        <w:tc>
          <w:tcPr>
            <w:tcW w:w="1559" w:type="dxa"/>
          </w:tcPr>
          <w:p w14:paraId="386A7A74"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2 843</w:t>
            </w:r>
          </w:p>
        </w:tc>
        <w:tc>
          <w:tcPr>
            <w:tcW w:w="1588" w:type="dxa"/>
          </w:tcPr>
          <w:p w14:paraId="67E88609"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2 707 925</w:t>
            </w:r>
          </w:p>
        </w:tc>
        <w:tc>
          <w:tcPr>
            <w:tcW w:w="1559" w:type="dxa"/>
          </w:tcPr>
          <w:p w14:paraId="5E6AF590"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2 296 810</w:t>
            </w:r>
          </w:p>
        </w:tc>
      </w:tr>
      <w:tr w:rsidR="000F16D5" w:rsidRPr="006F3533" w14:paraId="259FDD36" w14:textId="77777777" w:rsidTr="002C1F20">
        <w:trPr>
          <w:trHeight w:val="300"/>
        </w:trPr>
        <w:tc>
          <w:tcPr>
            <w:tcW w:w="709" w:type="dxa"/>
          </w:tcPr>
          <w:p w14:paraId="78EBE402" w14:textId="77777777" w:rsidR="000F16D5" w:rsidRPr="006F3533" w:rsidRDefault="000F16D5" w:rsidP="002C1F20">
            <w:pPr>
              <w:contextualSpacing/>
              <w:jc w:val="right"/>
              <w:rPr>
                <w:rFonts w:cs="Times New Roman"/>
                <w:i/>
                <w:iCs/>
                <w:sz w:val="22"/>
                <w:lang w:val="bg-BG"/>
              </w:rPr>
            </w:pPr>
            <w:r w:rsidRPr="006F3533">
              <w:rPr>
                <w:rFonts w:cs="Times New Roman"/>
                <w:i/>
                <w:iCs/>
                <w:sz w:val="22"/>
                <w:lang w:val="bg-BG"/>
              </w:rPr>
              <w:t>(k)</w:t>
            </w:r>
          </w:p>
        </w:tc>
        <w:tc>
          <w:tcPr>
            <w:tcW w:w="2835" w:type="dxa"/>
          </w:tcPr>
          <w:p w14:paraId="0C970881" w14:textId="77777777" w:rsidR="000F16D5" w:rsidRPr="006F3533" w:rsidRDefault="000F16D5" w:rsidP="002C1F20">
            <w:pPr>
              <w:contextualSpacing/>
              <w:jc w:val="right"/>
              <w:rPr>
                <w:rFonts w:cs="Times New Roman"/>
                <w:sz w:val="22"/>
                <w:lang w:val="bg-BG"/>
              </w:rPr>
            </w:pPr>
            <w:proofErr w:type="spellStart"/>
            <w:r w:rsidRPr="006F3533">
              <w:rPr>
                <w:rFonts w:cs="Times New Roman"/>
                <w:i/>
                <w:iCs/>
                <w:sz w:val="22"/>
                <w:lang w:val="bg-BG"/>
              </w:rPr>
              <w:t>Other</w:t>
            </w:r>
            <w:proofErr w:type="spellEnd"/>
            <w:r w:rsidRPr="006F3533">
              <w:rPr>
                <w:rFonts w:cs="Times New Roman"/>
                <w:i/>
                <w:iCs/>
                <w:sz w:val="22"/>
                <w:lang w:val="bg-BG"/>
              </w:rPr>
              <w:t xml:space="preserve"> </w:t>
            </w:r>
            <w:proofErr w:type="spellStart"/>
            <w:r w:rsidRPr="006F3533">
              <w:rPr>
                <w:rFonts w:cs="Times New Roman"/>
                <w:i/>
                <w:iCs/>
                <w:sz w:val="22"/>
                <w:lang w:val="bg-BG"/>
              </w:rPr>
              <w:t>type</w:t>
            </w:r>
            <w:proofErr w:type="spellEnd"/>
            <w:r w:rsidRPr="006F3533">
              <w:rPr>
                <w:rFonts w:cs="Times New Roman"/>
                <w:i/>
                <w:iCs/>
                <w:sz w:val="22"/>
                <w:lang w:val="bg-BG"/>
              </w:rPr>
              <w:t xml:space="preserve"> (</w:t>
            </w:r>
            <w:proofErr w:type="spellStart"/>
            <w:r w:rsidRPr="006F3533">
              <w:rPr>
                <w:rFonts w:cs="Times New Roman"/>
                <w:i/>
                <w:iCs/>
                <w:sz w:val="22"/>
                <w:lang w:val="bg-BG"/>
              </w:rPr>
              <w:t>individual</w:t>
            </w:r>
            <w:proofErr w:type="spellEnd"/>
            <w:r w:rsidRPr="006F3533">
              <w:rPr>
                <w:rFonts w:cs="Times New Roman"/>
                <w:i/>
                <w:iCs/>
                <w:sz w:val="22"/>
                <w:lang w:val="bg-BG"/>
              </w:rPr>
              <w:t xml:space="preserve"> </w:t>
            </w:r>
            <w:proofErr w:type="spellStart"/>
            <w:r w:rsidRPr="006F3533">
              <w:rPr>
                <w:rFonts w:cs="Times New Roman"/>
                <w:i/>
                <w:iCs/>
                <w:sz w:val="22"/>
                <w:lang w:val="bg-BG"/>
              </w:rPr>
              <w:t>energy</w:t>
            </w:r>
            <w:proofErr w:type="spellEnd"/>
            <w:r w:rsidRPr="006F3533">
              <w:rPr>
                <w:rFonts w:cs="Times New Roman"/>
                <w:i/>
                <w:iCs/>
                <w:sz w:val="22"/>
                <w:lang w:val="bg-BG"/>
              </w:rPr>
              <w:t xml:space="preserve"> </w:t>
            </w:r>
            <w:proofErr w:type="spellStart"/>
            <w:r w:rsidRPr="006F3533">
              <w:rPr>
                <w:rFonts w:cs="Times New Roman"/>
                <w:i/>
                <w:iCs/>
                <w:sz w:val="22"/>
                <w:lang w:val="bg-BG"/>
              </w:rPr>
              <w:t>class</w:t>
            </w:r>
            <w:proofErr w:type="spellEnd"/>
            <w:r w:rsidRPr="006F3533">
              <w:rPr>
                <w:rFonts w:cs="Times New Roman"/>
                <w:i/>
                <w:iCs/>
                <w:sz w:val="22"/>
                <w:lang w:val="bg-BG"/>
              </w:rPr>
              <w:t xml:space="preserve"> </w:t>
            </w:r>
            <w:proofErr w:type="spellStart"/>
            <w:r w:rsidRPr="006F3533">
              <w:rPr>
                <w:rFonts w:cs="Times New Roman"/>
                <w:i/>
                <w:iCs/>
                <w:sz w:val="22"/>
                <w:lang w:val="bg-BG"/>
              </w:rPr>
              <w:t>scales</w:t>
            </w:r>
            <w:proofErr w:type="spellEnd"/>
            <w:r w:rsidRPr="006F3533">
              <w:rPr>
                <w:rFonts w:cs="Times New Roman"/>
                <w:i/>
                <w:iCs/>
                <w:sz w:val="22"/>
                <w:lang w:val="bg-BG"/>
              </w:rPr>
              <w:t>)</w:t>
            </w:r>
          </w:p>
        </w:tc>
        <w:tc>
          <w:tcPr>
            <w:tcW w:w="1444" w:type="dxa"/>
          </w:tcPr>
          <w:p w14:paraId="192E065F" w14:textId="77777777" w:rsidR="000F16D5" w:rsidRPr="006F3533" w:rsidRDefault="000F16D5" w:rsidP="002C1F20">
            <w:pPr>
              <w:contextualSpacing/>
              <w:jc w:val="right"/>
              <w:rPr>
                <w:rFonts w:cs="Times New Roman"/>
                <w:sz w:val="22"/>
                <w:lang w:val="bg-BG"/>
              </w:rPr>
            </w:pPr>
            <w:r w:rsidRPr="006F3533">
              <w:rPr>
                <w:rFonts w:cs="Times New Roman"/>
                <w:sz w:val="22"/>
                <w:lang w:val="bg-BG"/>
              </w:rPr>
              <w:t>343 679</w:t>
            </w:r>
          </w:p>
        </w:tc>
        <w:tc>
          <w:tcPr>
            <w:tcW w:w="1559" w:type="dxa"/>
          </w:tcPr>
          <w:p w14:paraId="15B72542" w14:textId="77777777" w:rsidR="000F16D5" w:rsidRPr="006F3533" w:rsidRDefault="000F16D5" w:rsidP="002C1F20">
            <w:pPr>
              <w:contextualSpacing/>
              <w:jc w:val="right"/>
              <w:rPr>
                <w:rFonts w:cs="Times New Roman"/>
                <w:sz w:val="22"/>
                <w:lang w:val="bg-BG"/>
              </w:rPr>
            </w:pPr>
            <w:r w:rsidRPr="006F3533">
              <w:rPr>
                <w:rFonts w:cs="Times New Roman"/>
                <w:sz w:val="22"/>
                <w:lang w:val="bg-BG"/>
              </w:rPr>
              <w:t>258 960</w:t>
            </w:r>
          </w:p>
        </w:tc>
        <w:tc>
          <w:tcPr>
            <w:tcW w:w="1588" w:type="dxa"/>
          </w:tcPr>
          <w:p w14:paraId="2E1D180A" w14:textId="77777777" w:rsidR="000F16D5" w:rsidRPr="006F3533" w:rsidRDefault="000F16D5" w:rsidP="002C1F20">
            <w:pPr>
              <w:contextualSpacing/>
              <w:jc w:val="right"/>
              <w:rPr>
                <w:rFonts w:cs="Times New Roman"/>
                <w:sz w:val="22"/>
                <w:lang w:val="bg-BG"/>
              </w:rPr>
            </w:pPr>
            <w:r w:rsidRPr="006F3533">
              <w:rPr>
                <w:rFonts w:cs="Times New Roman"/>
                <w:sz w:val="22"/>
                <w:lang w:val="bg-BG"/>
              </w:rPr>
              <w:t>45 042 831</w:t>
            </w:r>
          </w:p>
        </w:tc>
        <w:tc>
          <w:tcPr>
            <w:tcW w:w="1559" w:type="dxa"/>
          </w:tcPr>
          <w:p w14:paraId="2D3000EA" w14:textId="77777777" w:rsidR="000F16D5" w:rsidRPr="006F3533" w:rsidRDefault="000F16D5" w:rsidP="002C1F20">
            <w:pPr>
              <w:contextualSpacing/>
              <w:jc w:val="right"/>
              <w:rPr>
                <w:rFonts w:cs="Times New Roman"/>
                <w:sz w:val="22"/>
                <w:lang w:val="bg-BG"/>
              </w:rPr>
            </w:pPr>
            <w:r w:rsidRPr="006F3533">
              <w:rPr>
                <w:rFonts w:cs="Times New Roman"/>
                <w:sz w:val="22"/>
                <w:lang w:val="bg-BG"/>
              </w:rPr>
              <w:t>34 566 741</w:t>
            </w:r>
          </w:p>
        </w:tc>
      </w:tr>
      <w:tr w:rsidR="000F16D5" w:rsidRPr="006F3533" w14:paraId="15CAB76E" w14:textId="77777777" w:rsidTr="002C1F20">
        <w:trPr>
          <w:trHeight w:val="300"/>
        </w:trPr>
        <w:tc>
          <w:tcPr>
            <w:tcW w:w="709" w:type="dxa"/>
          </w:tcPr>
          <w:p w14:paraId="00F6300C" w14:textId="77777777" w:rsidR="000F16D5" w:rsidRPr="006F3533" w:rsidRDefault="000F16D5" w:rsidP="002C1F20">
            <w:pPr>
              <w:contextualSpacing/>
              <w:jc w:val="right"/>
              <w:rPr>
                <w:rFonts w:cs="Times New Roman"/>
                <w:i/>
                <w:iCs/>
                <w:sz w:val="22"/>
                <w:lang w:val="bg-BG"/>
              </w:rPr>
            </w:pPr>
            <w:r w:rsidRPr="006F3533">
              <w:rPr>
                <w:rFonts w:cs="Times New Roman"/>
                <w:i/>
                <w:iCs/>
                <w:sz w:val="22"/>
                <w:lang w:val="bg-BG"/>
              </w:rPr>
              <w:t>(l)</w:t>
            </w:r>
          </w:p>
        </w:tc>
        <w:tc>
          <w:tcPr>
            <w:tcW w:w="2835" w:type="dxa"/>
          </w:tcPr>
          <w:p w14:paraId="7F9DDE26" w14:textId="77777777" w:rsidR="000F16D5" w:rsidRPr="006F3533" w:rsidRDefault="000F16D5" w:rsidP="002C1F20">
            <w:pPr>
              <w:contextualSpacing/>
              <w:jc w:val="right"/>
              <w:rPr>
                <w:rFonts w:cs="Times New Roman"/>
                <w:i/>
                <w:iCs/>
                <w:sz w:val="22"/>
                <w:lang w:val="bg-BG"/>
              </w:rPr>
            </w:pPr>
            <w:proofErr w:type="spellStart"/>
            <w:r w:rsidRPr="006F3533">
              <w:rPr>
                <w:rFonts w:cs="Times New Roman"/>
                <w:i/>
                <w:iCs/>
                <w:sz w:val="22"/>
                <w:lang w:val="bg-BG"/>
              </w:rPr>
              <w:t>Other</w:t>
            </w:r>
            <w:proofErr w:type="spellEnd"/>
            <w:r w:rsidRPr="006F3533">
              <w:rPr>
                <w:rFonts w:cs="Times New Roman"/>
                <w:i/>
                <w:iCs/>
                <w:sz w:val="22"/>
                <w:lang w:val="bg-BG"/>
              </w:rPr>
              <w:t xml:space="preserve"> </w:t>
            </w:r>
            <w:proofErr w:type="spellStart"/>
            <w:r w:rsidRPr="006F3533">
              <w:rPr>
                <w:rFonts w:cs="Times New Roman"/>
                <w:i/>
                <w:iCs/>
                <w:sz w:val="22"/>
                <w:lang w:val="bg-BG"/>
              </w:rPr>
              <w:t>type</w:t>
            </w:r>
            <w:proofErr w:type="spellEnd"/>
            <w:r w:rsidRPr="006F3533">
              <w:rPr>
                <w:rFonts w:cs="Times New Roman"/>
                <w:i/>
                <w:iCs/>
                <w:sz w:val="22"/>
                <w:lang w:val="bg-BG"/>
              </w:rPr>
              <w:t xml:space="preserve"> (</w:t>
            </w:r>
            <w:proofErr w:type="spellStart"/>
            <w:r w:rsidRPr="006F3533">
              <w:rPr>
                <w:rFonts w:cs="Times New Roman"/>
                <w:i/>
                <w:iCs/>
                <w:sz w:val="22"/>
                <w:lang w:val="bg-BG"/>
              </w:rPr>
              <w:t>no</w:t>
            </w:r>
            <w:proofErr w:type="spellEnd"/>
            <w:r w:rsidRPr="006F3533">
              <w:rPr>
                <w:rFonts w:cs="Times New Roman"/>
                <w:i/>
                <w:iCs/>
                <w:sz w:val="22"/>
                <w:lang w:val="bg-BG"/>
              </w:rPr>
              <w:t xml:space="preserve"> EPC </w:t>
            </w:r>
            <w:proofErr w:type="spellStart"/>
            <w:r w:rsidRPr="006F3533">
              <w:rPr>
                <w:rFonts w:cs="Times New Roman"/>
                <w:i/>
                <w:iCs/>
                <w:sz w:val="22"/>
                <w:lang w:val="bg-BG"/>
              </w:rPr>
              <w:t>issue</w:t>
            </w:r>
            <w:proofErr w:type="spellEnd"/>
            <w:r w:rsidRPr="006F3533">
              <w:rPr>
                <w:rFonts w:cs="Times New Roman"/>
                <w:i/>
                <w:iCs/>
                <w:sz w:val="22"/>
                <w:lang w:val="bg-BG"/>
              </w:rPr>
              <w:t xml:space="preserve"> </w:t>
            </w:r>
            <w:proofErr w:type="spellStart"/>
            <w:r w:rsidRPr="006F3533">
              <w:rPr>
                <w:rFonts w:cs="Times New Roman"/>
                <w:i/>
                <w:iCs/>
                <w:sz w:val="22"/>
                <w:lang w:val="bg-BG"/>
              </w:rPr>
              <w:t>requirement</w:t>
            </w:r>
            <w:proofErr w:type="spellEnd"/>
            <w:r w:rsidRPr="006F3533">
              <w:rPr>
                <w:rFonts w:cs="Times New Roman"/>
                <w:i/>
                <w:iCs/>
                <w:sz w:val="22"/>
                <w:lang w:val="bg-BG"/>
              </w:rPr>
              <w:t>)</w:t>
            </w:r>
          </w:p>
        </w:tc>
        <w:tc>
          <w:tcPr>
            <w:tcW w:w="1444" w:type="dxa"/>
          </w:tcPr>
          <w:p w14:paraId="666054EF" w14:textId="77777777" w:rsidR="000F16D5" w:rsidRPr="006F3533" w:rsidRDefault="000F16D5" w:rsidP="002C1F20">
            <w:pPr>
              <w:contextualSpacing/>
              <w:jc w:val="right"/>
              <w:rPr>
                <w:rFonts w:cs="Times New Roman"/>
                <w:sz w:val="22"/>
                <w:lang w:val="bg-BG"/>
              </w:rPr>
            </w:pPr>
            <w:r w:rsidRPr="006F3533">
              <w:rPr>
                <w:rFonts w:cs="Times New Roman"/>
                <w:sz w:val="22"/>
                <w:lang w:val="bg-BG"/>
              </w:rPr>
              <w:t>5 503</w:t>
            </w:r>
          </w:p>
        </w:tc>
        <w:tc>
          <w:tcPr>
            <w:tcW w:w="1559" w:type="dxa"/>
          </w:tcPr>
          <w:p w14:paraId="18A7473E" w14:textId="77777777" w:rsidR="000F16D5" w:rsidRPr="006F3533" w:rsidRDefault="000F16D5" w:rsidP="002C1F20">
            <w:pPr>
              <w:contextualSpacing/>
              <w:jc w:val="right"/>
              <w:rPr>
                <w:rFonts w:cs="Times New Roman"/>
                <w:sz w:val="22"/>
                <w:lang w:val="bg-BG"/>
              </w:rPr>
            </w:pPr>
            <w:r w:rsidRPr="006F3533">
              <w:rPr>
                <w:rFonts w:cs="Times New Roman"/>
                <w:sz w:val="22"/>
                <w:lang w:val="bg-BG"/>
              </w:rPr>
              <w:t>4 311</w:t>
            </w:r>
          </w:p>
        </w:tc>
        <w:tc>
          <w:tcPr>
            <w:tcW w:w="1588" w:type="dxa"/>
          </w:tcPr>
          <w:p w14:paraId="6464D702" w14:textId="77777777" w:rsidR="000F16D5" w:rsidRPr="006F3533" w:rsidRDefault="000F16D5" w:rsidP="002C1F20">
            <w:pPr>
              <w:contextualSpacing/>
              <w:jc w:val="right"/>
              <w:rPr>
                <w:rFonts w:cs="Times New Roman"/>
                <w:sz w:val="22"/>
                <w:lang w:val="bg-BG"/>
              </w:rPr>
            </w:pPr>
            <w:r w:rsidRPr="006F3533">
              <w:rPr>
                <w:rFonts w:cs="Times New Roman"/>
                <w:sz w:val="22"/>
                <w:lang w:val="bg-BG"/>
              </w:rPr>
              <w:t>1 120 707</w:t>
            </w:r>
          </w:p>
        </w:tc>
        <w:tc>
          <w:tcPr>
            <w:tcW w:w="1559" w:type="dxa"/>
          </w:tcPr>
          <w:p w14:paraId="0B995E7E" w14:textId="77777777" w:rsidR="000F16D5" w:rsidRPr="006F3533" w:rsidRDefault="000F16D5" w:rsidP="002C1F20">
            <w:pPr>
              <w:contextualSpacing/>
              <w:jc w:val="right"/>
              <w:rPr>
                <w:rFonts w:cs="Times New Roman"/>
                <w:sz w:val="22"/>
                <w:lang w:val="bg-BG"/>
              </w:rPr>
            </w:pPr>
            <w:r w:rsidRPr="006F3533">
              <w:rPr>
                <w:rFonts w:cs="Times New Roman"/>
                <w:sz w:val="22"/>
                <w:lang w:val="bg-BG"/>
              </w:rPr>
              <w:t>984 672</w:t>
            </w:r>
          </w:p>
        </w:tc>
      </w:tr>
      <w:tr w:rsidR="000F16D5" w:rsidRPr="006F3533" w14:paraId="1F3AD694" w14:textId="77777777" w:rsidTr="002C1F20">
        <w:trPr>
          <w:trHeight w:val="300"/>
        </w:trPr>
        <w:tc>
          <w:tcPr>
            <w:tcW w:w="709" w:type="dxa"/>
          </w:tcPr>
          <w:p w14:paraId="1CEBBE85" w14:textId="77777777" w:rsidR="000F16D5" w:rsidRPr="006F3533" w:rsidRDefault="000F16D5" w:rsidP="002C1F20">
            <w:pPr>
              <w:contextualSpacing/>
              <w:jc w:val="center"/>
              <w:rPr>
                <w:rFonts w:cs="Times New Roman"/>
                <w:sz w:val="22"/>
                <w:lang w:val="bg-BG"/>
              </w:rPr>
            </w:pPr>
          </w:p>
        </w:tc>
        <w:tc>
          <w:tcPr>
            <w:tcW w:w="2835" w:type="dxa"/>
          </w:tcPr>
          <w:p w14:paraId="1AF8B9B4" w14:textId="77777777" w:rsidR="000F16D5" w:rsidRPr="006F3533" w:rsidRDefault="000F16D5" w:rsidP="002C1F20">
            <w:pPr>
              <w:contextualSpacing/>
              <w:jc w:val="right"/>
              <w:rPr>
                <w:rFonts w:cs="Times New Roman"/>
                <w:i/>
                <w:iCs/>
                <w:sz w:val="22"/>
                <w:lang w:val="bg-BG"/>
              </w:rPr>
            </w:pPr>
            <w:proofErr w:type="spellStart"/>
            <w:r w:rsidRPr="006F3533">
              <w:rPr>
                <w:rFonts w:cs="Times New Roman"/>
                <w:i/>
                <w:iCs/>
                <w:sz w:val="22"/>
                <w:lang w:val="bg-BG"/>
              </w:rPr>
              <w:t>Out</w:t>
            </w:r>
            <w:proofErr w:type="spellEnd"/>
            <w:r w:rsidRPr="006F3533">
              <w:rPr>
                <w:rFonts w:cs="Times New Roman"/>
                <w:i/>
                <w:iCs/>
                <w:sz w:val="22"/>
                <w:lang w:val="bg-BG"/>
              </w:rPr>
              <w:t xml:space="preserve"> </w:t>
            </w:r>
            <w:proofErr w:type="spellStart"/>
            <w:r w:rsidRPr="006F3533">
              <w:rPr>
                <w:rFonts w:cs="Times New Roman"/>
                <w:i/>
                <w:iCs/>
                <w:sz w:val="22"/>
                <w:lang w:val="bg-BG"/>
              </w:rPr>
              <w:t>of</w:t>
            </w:r>
            <w:proofErr w:type="spellEnd"/>
            <w:r w:rsidRPr="006F3533">
              <w:rPr>
                <w:rFonts w:cs="Times New Roman"/>
                <w:i/>
                <w:iCs/>
                <w:sz w:val="22"/>
                <w:lang w:val="bg-BG"/>
              </w:rPr>
              <w:t xml:space="preserve"> </w:t>
            </w:r>
            <w:proofErr w:type="spellStart"/>
            <w:r w:rsidRPr="006F3533">
              <w:rPr>
                <w:rFonts w:cs="Times New Roman"/>
                <w:i/>
                <w:iCs/>
                <w:sz w:val="22"/>
                <w:lang w:val="bg-BG"/>
              </w:rPr>
              <w:t>which</w:t>
            </w:r>
            <w:proofErr w:type="spellEnd"/>
            <w:r w:rsidRPr="006F3533">
              <w:rPr>
                <w:rFonts w:cs="Times New Roman"/>
                <w:i/>
                <w:iCs/>
                <w:sz w:val="22"/>
                <w:lang w:val="bg-BG"/>
              </w:rPr>
              <w:t xml:space="preserve"> </w:t>
            </w:r>
            <w:proofErr w:type="spellStart"/>
            <w:r w:rsidRPr="006F3533">
              <w:rPr>
                <w:rFonts w:cs="Times New Roman"/>
                <w:i/>
                <w:iCs/>
                <w:sz w:val="22"/>
                <w:lang w:val="bg-BG"/>
              </w:rPr>
              <w:t>public</w:t>
            </w:r>
            <w:proofErr w:type="spellEnd"/>
            <w:r w:rsidRPr="006F3533">
              <w:rPr>
                <w:rFonts w:cs="Times New Roman"/>
                <w:i/>
                <w:iCs/>
                <w:sz w:val="22"/>
                <w:lang w:val="bg-BG"/>
              </w:rPr>
              <w:t xml:space="preserve"> </w:t>
            </w:r>
            <w:proofErr w:type="spellStart"/>
            <w:r w:rsidRPr="006F3533">
              <w:rPr>
                <w:rFonts w:cs="Times New Roman"/>
                <w:i/>
                <w:iCs/>
                <w:sz w:val="22"/>
                <w:lang w:val="bg-BG"/>
              </w:rPr>
              <w:t>buildings</w:t>
            </w:r>
            <w:proofErr w:type="spellEnd"/>
          </w:p>
        </w:tc>
        <w:tc>
          <w:tcPr>
            <w:tcW w:w="1444" w:type="dxa"/>
          </w:tcPr>
          <w:p w14:paraId="52F8E982" w14:textId="77777777" w:rsidR="000F16D5" w:rsidRPr="006F3533" w:rsidRDefault="000F16D5" w:rsidP="002C1F20">
            <w:pPr>
              <w:contextualSpacing/>
              <w:jc w:val="right"/>
              <w:rPr>
                <w:rFonts w:cs="Times New Roman"/>
                <w:sz w:val="22"/>
                <w:lang w:val="bg-BG"/>
              </w:rPr>
            </w:pPr>
            <w:r w:rsidRPr="006F3533">
              <w:rPr>
                <w:rFonts w:cs="Times New Roman"/>
                <w:sz w:val="22"/>
                <w:lang w:val="bg-BG"/>
              </w:rPr>
              <w:t>52 794</w:t>
            </w:r>
          </w:p>
        </w:tc>
        <w:tc>
          <w:tcPr>
            <w:tcW w:w="1559" w:type="dxa"/>
          </w:tcPr>
          <w:p w14:paraId="32230621" w14:textId="77777777" w:rsidR="000F16D5" w:rsidRPr="006F3533" w:rsidRDefault="000F16D5" w:rsidP="002C1F20">
            <w:pPr>
              <w:contextualSpacing/>
              <w:jc w:val="right"/>
              <w:rPr>
                <w:rFonts w:cs="Times New Roman"/>
                <w:sz w:val="22"/>
                <w:lang w:val="bg-BG"/>
              </w:rPr>
            </w:pPr>
            <w:r w:rsidRPr="006F3533">
              <w:rPr>
                <w:rFonts w:cs="Times New Roman"/>
                <w:sz w:val="22"/>
                <w:lang w:val="bg-BG"/>
              </w:rPr>
              <w:t>48 734</w:t>
            </w:r>
          </w:p>
        </w:tc>
        <w:tc>
          <w:tcPr>
            <w:tcW w:w="1588" w:type="dxa"/>
          </w:tcPr>
          <w:p w14:paraId="04AEFB08" w14:textId="77777777" w:rsidR="000F16D5" w:rsidRPr="006F3533" w:rsidRDefault="000F16D5" w:rsidP="002C1F20">
            <w:pPr>
              <w:contextualSpacing/>
              <w:jc w:val="right"/>
              <w:rPr>
                <w:rFonts w:cs="Times New Roman"/>
                <w:sz w:val="22"/>
                <w:lang w:val="bg-BG"/>
              </w:rPr>
            </w:pPr>
            <w:r w:rsidRPr="006F3533">
              <w:rPr>
                <w:rFonts w:cs="Times New Roman"/>
                <w:sz w:val="22"/>
                <w:lang w:val="bg-BG"/>
              </w:rPr>
              <w:t>30 345 822</w:t>
            </w:r>
          </w:p>
        </w:tc>
        <w:tc>
          <w:tcPr>
            <w:tcW w:w="1559" w:type="dxa"/>
          </w:tcPr>
          <w:p w14:paraId="47E1099E" w14:textId="77777777" w:rsidR="000F16D5" w:rsidRPr="006F3533" w:rsidRDefault="000F16D5" w:rsidP="002C1F20">
            <w:pPr>
              <w:contextualSpacing/>
              <w:jc w:val="right"/>
              <w:rPr>
                <w:rFonts w:cs="Times New Roman"/>
                <w:sz w:val="22"/>
                <w:lang w:val="bg-BG"/>
              </w:rPr>
            </w:pPr>
            <w:r w:rsidRPr="006F3533">
              <w:rPr>
                <w:rFonts w:cs="Times New Roman"/>
                <w:sz w:val="22"/>
                <w:lang w:val="bg-BG"/>
              </w:rPr>
              <w:t>30 411 230</w:t>
            </w:r>
          </w:p>
        </w:tc>
      </w:tr>
      <w:tr w:rsidR="000F16D5" w:rsidRPr="006F3533" w14:paraId="34A18EE4" w14:textId="77777777" w:rsidTr="002C1F20">
        <w:trPr>
          <w:trHeight w:val="300"/>
        </w:trPr>
        <w:tc>
          <w:tcPr>
            <w:tcW w:w="709" w:type="dxa"/>
          </w:tcPr>
          <w:p w14:paraId="2F46BFFD" w14:textId="77777777" w:rsidR="000F16D5" w:rsidRPr="006F3533" w:rsidRDefault="000F16D5" w:rsidP="002C1F20">
            <w:pPr>
              <w:contextualSpacing/>
              <w:jc w:val="center"/>
              <w:rPr>
                <w:rFonts w:cs="Times New Roman"/>
                <w:sz w:val="22"/>
                <w:lang w:val="bg-BG"/>
              </w:rPr>
            </w:pPr>
            <w:r w:rsidRPr="006F3533">
              <w:rPr>
                <w:rFonts w:cs="Times New Roman"/>
                <w:b/>
                <w:bCs/>
                <w:sz w:val="22"/>
                <w:lang w:val="bg-BG"/>
              </w:rPr>
              <w:t>НЖ</w:t>
            </w:r>
          </w:p>
        </w:tc>
        <w:tc>
          <w:tcPr>
            <w:tcW w:w="2835" w:type="dxa"/>
          </w:tcPr>
          <w:p w14:paraId="484006AE" w14:textId="77777777" w:rsidR="000F16D5" w:rsidRPr="006F3533" w:rsidRDefault="000F16D5" w:rsidP="002C1F20">
            <w:pPr>
              <w:rPr>
                <w:rFonts w:cs="Times New Roman"/>
                <w:b/>
                <w:bCs/>
                <w:sz w:val="22"/>
                <w:lang w:val="bg-BG"/>
              </w:rPr>
            </w:pPr>
            <w:r w:rsidRPr="006F3533">
              <w:rPr>
                <w:rFonts w:cs="Times New Roman"/>
                <w:b/>
                <w:bCs/>
                <w:sz w:val="22"/>
                <w:lang w:val="bg-BG"/>
              </w:rPr>
              <w:t>Общо – нежилищни сгради</w:t>
            </w:r>
          </w:p>
          <w:p w14:paraId="5B4D1CC6" w14:textId="77777777" w:rsidR="000F16D5" w:rsidRPr="006F3533" w:rsidRDefault="000F16D5" w:rsidP="002C1F20">
            <w:pPr>
              <w:contextualSpacing/>
              <w:jc w:val="right"/>
              <w:rPr>
                <w:rFonts w:cs="Times New Roman"/>
                <w:i/>
                <w:iCs/>
                <w:sz w:val="22"/>
                <w:lang w:val="bg-BG"/>
              </w:rPr>
            </w:pPr>
          </w:p>
        </w:tc>
        <w:tc>
          <w:tcPr>
            <w:tcW w:w="1444" w:type="dxa"/>
          </w:tcPr>
          <w:p w14:paraId="3855B06C" w14:textId="77777777" w:rsidR="000F16D5" w:rsidRPr="006F3533" w:rsidRDefault="000F16D5" w:rsidP="002C1F20">
            <w:pPr>
              <w:contextualSpacing/>
              <w:jc w:val="right"/>
              <w:rPr>
                <w:rFonts w:cs="Times New Roman"/>
                <w:sz w:val="22"/>
                <w:lang w:val="bg-BG"/>
              </w:rPr>
            </w:pPr>
            <w:r w:rsidRPr="006F3533">
              <w:rPr>
                <w:rFonts w:cs="Times New Roman"/>
                <w:b/>
                <w:bCs/>
                <w:sz w:val="22"/>
                <w:lang w:val="bg-BG"/>
              </w:rPr>
              <w:t>488 769</w:t>
            </w:r>
          </w:p>
        </w:tc>
        <w:tc>
          <w:tcPr>
            <w:tcW w:w="1559" w:type="dxa"/>
          </w:tcPr>
          <w:p w14:paraId="4A5DE691" w14:textId="77777777" w:rsidR="000F16D5" w:rsidRPr="006F3533" w:rsidRDefault="000F16D5" w:rsidP="002C1F20">
            <w:pPr>
              <w:contextualSpacing/>
              <w:jc w:val="right"/>
              <w:rPr>
                <w:rFonts w:cs="Times New Roman"/>
                <w:sz w:val="22"/>
                <w:lang w:val="bg-BG"/>
              </w:rPr>
            </w:pPr>
            <w:r w:rsidRPr="006F3533">
              <w:rPr>
                <w:rFonts w:cs="Times New Roman"/>
                <w:b/>
                <w:bCs/>
                <w:sz w:val="22"/>
                <w:lang w:val="bg-BG"/>
              </w:rPr>
              <w:t>371 181</w:t>
            </w:r>
          </w:p>
        </w:tc>
        <w:tc>
          <w:tcPr>
            <w:tcW w:w="1588" w:type="dxa"/>
          </w:tcPr>
          <w:p w14:paraId="0F631F85" w14:textId="77777777" w:rsidR="000F16D5" w:rsidRPr="006F3533" w:rsidRDefault="000F16D5" w:rsidP="002C1F20">
            <w:pPr>
              <w:contextualSpacing/>
              <w:jc w:val="right"/>
              <w:rPr>
                <w:rFonts w:cs="Times New Roman"/>
                <w:sz w:val="22"/>
                <w:lang w:val="bg-BG"/>
              </w:rPr>
            </w:pPr>
            <w:r w:rsidRPr="006F3533">
              <w:rPr>
                <w:rFonts w:cs="Times New Roman"/>
                <w:b/>
                <w:bCs/>
                <w:sz w:val="22"/>
                <w:lang w:val="bg-BG"/>
              </w:rPr>
              <w:t>129 836 763</w:t>
            </w:r>
          </w:p>
        </w:tc>
        <w:tc>
          <w:tcPr>
            <w:tcW w:w="1559" w:type="dxa"/>
          </w:tcPr>
          <w:p w14:paraId="68BCF8CC" w14:textId="77777777" w:rsidR="000F16D5" w:rsidRPr="006F3533" w:rsidRDefault="000F16D5" w:rsidP="002C1F20">
            <w:pPr>
              <w:contextualSpacing/>
              <w:jc w:val="right"/>
              <w:rPr>
                <w:rFonts w:cs="Times New Roman"/>
                <w:sz w:val="22"/>
                <w:lang w:val="bg-BG"/>
              </w:rPr>
            </w:pPr>
            <w:r w:rsidRPr="006F3533">
              <w:rPr>
                <w:rFonts w:cs="Times New Roman"/>
                <w:b/>
                <w:bCs/>
                <w:sz w:val="22"/>
                <w:lang w:val="bg-BG"/>
              </w:rPr>
              <w:t>104 923 286</w:t>
            </w:r>
          </w:p>
        </w:tc>
      </w:tr>
    </w:tbl>
    <w:p w14:paraId="08D92E59" w14:textId="77777777" w:rsidR="00975C4D" w:rsidRPr="006F3533" w:rsidRDefault="00975C4D" w:rsidP="00077D42">
      <w:pPr>
        <w:pStyle w:val="Heading2"/>
        <w:jc w:val="both"/>
        <w:rPr>
          <w:lang w:val="bg-BG"/>
        </w:rPr>
      </w:pPr>
      <w:bookmarkStart w:id="112" w:name="_Toc217888776"/>
      <w:r w:rsidRPr="006F3533">
        <w:rPr>
          <w:lang w:val="bg-BG"/>
        </w:rPr>
        <w:t>Разпределение на нежилищните сгради по клас на енергопотребление</w:t>
      </w:r>
      <w:bookmarkEnd w:id="112"/>
    </w:p>
    <w:p w14:paraId="6DD6A9D5" w14:textId="6004C311" w:rsidR="00975C4D" w:rsidRPr="006F3533" w:rsidRDefault="00975C4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Информацията за разпределението на нежилищните сгради по клас на енергопотребление е извлечена от националната база данни за енергийните характеристики на сградите, поддържана от Агенцията за устойчиво енергийно развитие (АУЕР). Базата данни се попълва въз основа на резултатите от извършени енергийни </w:t>
      </w:r>
      <w:r w:rsidRPr="006F3533">
        <w:rPr>
          <w:rFonts w:eastAsia="Times New Roman" w:cs="Times New Roman"/>
          <w:szCs w:val="24"/>
          <w:lang w:val="bg-BG"/>
        </w:rPr>
        <w:lastRenderedPageBreak/>
        <w:t>обследвания на сгради и издадени сертификати за енергийни характеристики (ЕХ) съгласно действащото национално законодателство. Информацията е актуална към ноември 2025 г.</w:t>
      </w:r>
    </w:p>
    <w:p w14:paraId="5F3E43D8" w14:textId="28DA1FD2" w:rsidR="00975C4D" w:rsidRPr="006F3533" w:rsidRDefault="00975C4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В представената таблица е включена информация само за нежилищни сгради с валидни сертификати за енергийни характеристики към референтната година X-2 (данни, актуални към ноември 2025 г.). Това е в съответствие с изискванията на </w:t>
      </w:r>
      <w:r w:rsidR="008F70E5" w:rsidRPr="006F3533">
        <w:rPr>
          <w:rFonts w:eastAsia="Times New Roman" w:cs="Times New Roman"/>
          <w:szCs w:val="24"/>
          <w:lang w:val="bg-BG"/>
        </w:rPr>
        <w:t>образеца</w:t>
      </w:r>
      <w:r w:rsidRPr="006F3533">
        <w:rPr>
          <w:rFonts w:eastAsia="Times New Roman" w:cs="Times New Roman"/>
          <w:szCs w:val="24"/>
          <w:lang w:val="bg-BG"/>
        </w:rPr>
        <w:t xml:space="preserve"> за докладване на разпределението по класове на енергопотребление въз основа на валидни сертификати.</w:t>
      </w:r>
    </w:p>
    <w:p w14:paraId="72BD8BDC" w14:textId="77777777" w:rsidR="00975C4D" w:rsidRPr="006F3533" w:rsidRDefault="00975C4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Следва да се отбележи, че националната база данни на АУЕР съдържа информация и за значителен брой нежилищни сгради със сертификати с изтекъл срок на валидност. Тези данни не са включени в настоящата таблица, но се използват и анализират в последващите раздели на плана, по-специално при определянето на най-слабо представящите се сгради и при оценката на представителността на наличната информация.</w:t>
      </w:r>
    </w:p>
    <w:p w14:paraId="05C15DEF" w14:textId="77777777" w:rsidR="00975C4D" w:rsidRPr="006F3533" w:rsidRDefault="00975C4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Разпределението по класове на енергопотребление е извършено в съответствие с националната скала за класове на енергопотребление, приложима към момента на издаване на сертификатите. Класификацията се основава на интегрирания показател „специфично потребление на първична </w:t>
      </w:r>
      <w:proofErr w:type="spellStart"/>
      <w:r w:rsidRPr="006F3533">
        <w:rPr>
          <w:rFonts w:eastAsia="Times New Roman" w:cs="Times New Roman"/>
          <w:szCs w:val="24"/>
          <w:lang w:val="bg-BG"/>
        </w:rPr>
        <w:t>невъзобновяема</w:t>
      </w:r>
      <w:proofErr w:type="spellEnd"/>
      <w:r w:rsidRPr="006F3533">
        <w:rPr>
          <w:rFonts w:eastAsia="Times New Roman" w:cs="Times New Roman"/>
          <w:szCs w:val="24"/>
          <w:lang w:val="bg-BG"/>
        </w:rPr>
        <w:t xml:space="preserve"> енергия на единица </w:t>
      </w:r>
      <w:proofErr w:type="spellStart"/>
      <w:r w:rsidRPr="006F3533">
        <w:rPr>
          <w:rFonts w:eastAsia="Times New Roman" w:cs="Times New Roman"/>
          <w:szCs w:val="24"/>
          <w:lang w:val="bg-BG"/>
        </w:rPr>
        <w:t>кондиционирана</w:t>
      </w:r>
      <w:proofErr w:type="spellEnd"/>
      <w:r w:rsidRPr="006F3533">
        <w:rPr>
          <w:rFonts w:eastAsia="Times New Roman" w:cs="Times New Roman"/>
          <w:szCs w:val="24"/>
          <w:lang w:val="bg-BG"/>
        </w:rPr>
        <w:t xml:space="preserve"> площ“, който е водещият индикатор при сертифицирането на нежилищни сгради в България.</w:t>
      </w:r>
    </w:p>
    <w:p w14:paraId="663D56E4" w14:textId="77777777" w:rsidR="00975C4D" w:rsidRPr="006F3533" w:rsidRDefault="00975C4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Поради наличието на различни скали за класовете на енергопотребление за отделните типове нежилищни сгради, представеното разпределение отразява </w:t>
      </w:r>
      <w:proofErr w:type="spellStart"/>
      <w:r w:rsidRPr="006F3533">
        <w:rPr>
          <w:rFonts w:eastAsia="Times New Roman" w:cs="Times New Roman"/>
          <w:szCs w:val="24"/>
          <w:lang w:val="bg-BG"/>
        </w:rPr>
        <w:t>агрегирана</w:t>
      </w:r>
      <w:proofErr w:type="spellEnd"/>
      <w:r w:rsidRPr="006F3533">
        <w:rPr>
          <w:rFonts w:eastAsia="Times New Roman" w:cs="Times New Roman"/>
          <w:szCs w:val="24"/>
          <w:lang w:val="bg-BG"/>
        </w:rPr>
        <w:t xml:space="preserve"> картина на всички нежилищни сгради с валидни сертификати и следва да се интерпретира като индикативно за общото състояние на сертифицираната част от сградния фонд.</w:t>
      </w:r>
    </w:p>
    <w:p w14:paraId="2EB00956" w14:textId="0B9466B4" w:rsidR="00975C4D" w:rsidRPr="006F3533" w:rsidRDefault="00975C4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Данните в таблица 2 показват, че по-голямата част от нежилищните сгради с валидни сертификати за енергийни характеристики са концентрирани в средните и по-ниските класове на енергопотребление, като най-значителен дял заемат сградите в класове B и C, следвани от класове D и E.</w:t>
      </w:r>
    </w:p>
    <w:p w14:paraId="57A26254" w14:textId="77777777" w:rsidR="00975C4D" w:rsidRPr="006F3533" w:rsidRDefault="00975C4D" w:rsidP="00077D42">
      <w:pPr>
        <w:spacing w:line="240" w:lineRule="auto"/>
        <w:jc w:val="both"/>
        <w:rPr>
          <w:rFonts w:cs="Times New Roman"/>
          <w:i/>
          <w:iCs/>
          <w:color w:val="0070C0"/>
          <w:szCs w:val="24"/>
          <w:lang w:val="bg-BG"/>
        </w:rPr>
      </w:pPr>
      <w:r w:rsidRPr="006F3533">
        <w:rPr>
          <w:rFonts w:cs="Times New Roman"/>
          <w:i/>
          <w:iCs/>
          <w:color w:val="0070C0"/>
          <w:szCs w:val="24"/>
          <w:lang w:val="bg-BG"/>
        </w:rPr>
        <w:t>Таблица 2. Разпределение на сградите по клас на енергопотребление според валидните сертификати за енергийните характеристики</w:t>
      </w:r>
    </w:p>
    <w:tbl>
      <w:tblPr>
        <w:tblStyle w:val="TableGrid"/>
        <w:tblW w:w="5000" w:type="pct"/>
        <w:tblLook w:val="04A0" w:firstRow="1" w:lastRow="0" w:firstColumn="1" w:lastColumn="0" w:noHBand="0" w:noVBand="1"/>
      </w:tblPr>
      <w:tblGrid>
        <w:gridCol w:w="1126"/>
        <w:gridCol w:w="1983"/>
        <w:gridCol w:w="1985"/>
        <w:gridCol w:w="1985"/>
        <w:gridCol w:w="1983"/>
      </w:tblGrid>
      <w:tr w:rsidR="00975C4D" w:rsidRPr="006F3533" w14:paraId="76854B0F" w14:textId="77777777" w:rsidTr="008F70E5">
        <w:tc>
          <w:tcPr>
            <w:tcW w:w="622" w:type="pct"/>
            <w:shd w:val="clear" w:color="auto" w:fill="D0CECE" w:themeFill="background2" w:themeFillShade="E6"/>
          </w:tcPr>
          <w:p w14:paraId="0BA30723" w14:textId="77777777" w:rsidR="00975C4D" w:rsidRPr="006F3533" w:rsidRDefault="00975C4D" w:rsidP="00077D42">
            <w:pPr>
              <w:pStyle w:val="ListParagraph"/>
              <w:ind w:left="0"/>
              <w:jc w:val="both"/>
              <w:rPr>
                <w:rFonts w:cs="Times New Roman"/>
                <w:szCs w:val="24"/>
                <w:lang w:val="bg-BG"/>
              </w:rPr>
            </w:pPr>
            <w:bookmarkStart w:id="113" w:name="_Hlk213846348"/>
            <w:r w:rsidRPr="006F3533">
              <w:rPr>
                <w:rFonts w:cs="Times New Roman"/>
                <w:szCs w:val="24"/>
                <w:lang w:val="bg-BG"/>
              </w:rPr>
              <w:t>EPC</w:t>
            </w:r>
          </w:p>
          <w:p w14:paraId="08557C4C" w14:textId="77777777" w:rsidR="00975C4D" w:rsidRPr="006F3533" w:rsidRDefault="00975C4D" w:rsidP="00077D42">
            <w:pPr>
              <w:pStyle w:val="ListParagraph"/>
              <w:ind w:left="0"/>
              <w:jc w:val="both"/>
              <w:rPr>
                <w:rFonts w:cs="Times New Roman"/>
                <w:szCs w:val="24"/>
                <w:lang w:val="bg-BG"/>
              </w:rPr>
            </w:pPr>
            <w:proofErr w:type="spellStart"/>
            <w:r w:rsidRPr="006F3533">
              <w:rPr>
                <w:rFonts w:cs="Times New Roman"/>
                <w:szCs w:val="24"/>
                <w:lang w:val="bg-BG"/>
              </w:rPr>
              <w:t>Class</w:t>
            </w:r>
            <w:proofErr w:type="spellEnd"/>
          </w:p>
          <w:p w14:paraId="528E1406" w14:textId="77777777" w:rsidR="00975C4D" w:rsidRPr="006F3533" w:rsidRDefault="00975C4D" w:rsidP="00077D42">
            <w:pPr>
              <w:pStyle w:val="ListParagraph"/>
              <w:ind w:left="0"/>
              <w:jc w:val="both"/>
              <w:rPr>
                <w:rFonts w:cs="Times New Roman"/>
                <w:szCs w:val="24"/>
                <w:lang w:val="bg-BG"/>
              </w:rPr>
            </w:pPr>
          </w:p>
        </w:tc>
        <w:tc>
          <w:tcPr>
            <w:tcW w:w="1094" w:type="pct"/>
            <w:shd w:val="clear" w:color="auto" w:fill="D0CECE" w:themeFill="background2" w:themeFillShade="E6"/>
          </w:tcPr>
          <w:p w14:paraId="2FA30EA9" w14:textId="77777777" w:rsidR="00975C4D" w:rsidRPr="006F3533" w:rsidRDefault="00975C4D" w:rsidP="00077D42">
            <w:pPr>
              <w:pStyle w:val="ListParagraph"/>
              <w:ind w:left="0"/>
              <w:jc w:val="both"/>
              <w:rPr>
                <w:rFonts w:cs="Times New Roman"/>
                <w:szCs w:val="24"/>
                <w:lang w:val="bg-BG"/>
              </w:rPr>
            </w:pPr>
            <w:proofErr w:type="spellStart"/>
            <w:r w:rsidRPr="006F3533">
              <w:rPr>
                <w:rFonts w:cs="Times New Roman"/>
                <w:szCs w:val="24"/>
                <w:lang w:val="bg-BG"/>
              </w:rPr>
              <w:t>Number</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residential</w:t>
            </w:r>
            <w:proofErr w:type="spellEnd"/>
            <w:r w:rsidRPr="006F3533">
              <w:rPr>
                <w:rFonts w:cs="Times New Roman"/>
                <w:szCs w:val="24"/>
                <w:lang w:val="bg-BG"/>
              </w:rPr>
              <w:t xml:space="preserve"> </w:t>
            </w:r>
            <w:proofErr w:type="spellStart"/>
            <w:r w:rsidRPr="006F3533">
              <w:rPr>
                <w:rFonts w:cs="Times New Roman"/>
                <w:szCs w:val="24"/>
                <w:lang w:val="bg-BG"/>
              </w:rPr>
              <w:t>building</w:t>
            </w:r>
            <w:proofErr w:type="spellEnd"/>
            <w:r w:rsidRPr="006F3533">
              <w:rPr>
                <w:rFonts w:cs="Times New Roman"/>
                <w:szCs w:val="24"/>
                <w:lang w:val="bg-BG"/>
              </w:rPr>
              <w:t xml:space="preserve"> </w:t>
            </w:r>
            <w:proofErr w:type="spellStart"/>
            <w:r w:rsidRPr="006F3533">
              <w:rPr>
                <w:rFonts w:cs="Times New Roman"/>
                <w:szCs w:val="24"/>
                <w:lang w:val="bg-BG"/>
              </w:rPr>
              <w:t>or</w:t>
            </w:r>
            <w:proofErr w:type="spellEnd"/>
            <w:r w:rsidRPr="006F3533">
              <w:rPr>
                <w:rFonts w:cs="Times New Roman"/>
                <w:szCs w:val="24"/>
                <w:lang w:val="bg-BG"/>
              </w:rPr>
              <w:t xml:space="preserve"> /</w:t>
            </w:r>
            <w:proofErr w:type="spellStart"/>
            <w:r w:rsidRPr="006F3533">
              <w:rPr>
                <w:rFonts w:cs="Times New Roman"/>
                <w:szCs w:val="24"/>
                <w:lang w:val="bg-BG"/>
              </w:rPr>
              <w:t>building</w:t>
            </w:r>
            <w:proofErr w:type="spellEnd"/>
            <w:r w:rsidRPr="006F3533">
              <w:rPr>
                <w:rFonts w:cs="Times New Roman"/>
                <w:szCs w:val="24"/>
                <w:lang w:val="bg-BG"/>
              </w:rPr>
              <w:t xml:space="preserve"> </w:t>
            </w:r>
            <w:proofErr w:type="spellStart"/>
            <w:r w:rsidRPr="006F3533">
              <w:rPr>
                <w:rFonts w:cs="Times New Roman"/>
                <w:szCs w:val="24"/>
                <w:lang w:val="bg-BG"/>
              </w:rPr>
              <w:t>units</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tc>
        <w:tc>
          <w:tcPr>
            <w:tcW w:w="1095" w:type="pct"/>
            <w:shd w:val="clear" w:color="auto" w:fill="D0CECE" w:themeFill="background2" w:themeFillShade="E6"/>
          </w:tcPr>
          <w:p w14:paraId="1D763320" w14:textId="77777777" w:rsidR="00975C4D" w:rsidRPr="006F3533" w:rsidRDefault="00975C4D" w:rsidP="00077D42">
            <w:pPr>
              <w:pStyle w:val="ListParagraph"/>
              <w:ind w:left="0"/>
              <w:jc w:val="both"/>
              <w:rPr>
                <w:rFonts w:cs="Times New Roman"/>
                <w:szCs w:val="24"/>
                <w:lang w:val="bg-BG"/>
              </w:rPr>
            </w:pPr>
            <w:proofErr w:type="spellStart"/>
            <w:r w:rsidRPr="006F3533">
              <w:rPr>
                <w:rFonts w:cs="Times New Roman"/>
                <w:szCs w:val="24"/>
                <w:lang w:val="bg-BG"/>
              </w:rPr>
              <w:t>Floor</w:t>
            </w:r>
            <w:proofErr w:type="spellEnd"/>
            <w:r w:rsidRPr="006F3533">
              <w:rPr>
                <w:rFonts w:cs="Times New Roman"/>
                <w:szCs w:val="24"/>
                <w:lang w:val="bg-BG"/>
              </w:rPr>
              <w:t xml:space="preserve"> </w:t>
            </w:r>
            <w:proofErr w:type="spellStart"/>
            <w:r w:rsidRPr="006F3533">
              <w:rPr>
                <w:rFonts w:cs="Times New Roman"/>
                <w:szCs w:val="24"/>
                <w:lang w:val="bg-BG"/>
              </w:rPr>
              <w:t>area</w:t>
            </w:r>
            <w:proofErr w:type="spellEnd"/>
            <w:r w:rsidRPr="006F3533">
              <w:rPr>
                <w:rFonts w:cs="Times New Roman"/>
                <w:szCs w:val="24"/>
                <w:lang w:val="bg-BG"/>
              </w:rPr>
              <w:t xml:space="preserve"> </w:t>
            </w:r>
            <w:proofErr w:type="spellStart"/>
            <w:r w:rsidRPr="006F3533">
              <w:rPr>
                <w:rFonts w:cs="Times New Roman"/>
                <w:szCs w:val="24"/>
                <w:lang w:val="bg-BG"/>
              </w:rPr>
              <w:t>residential</w:t>
            </w:r>
            <w:proofErr w:type="spellEnd"/>
          </w:p>
          <w:p w14:paraId="5A942246" w14:textId="77777777" w:rsidR="00975C4D" w:rsidRPr="006F3533" w:rsidRDefault="00975C4D"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p w14:paraId="7FF3B47D" w14:textId="77777777" w:rsidR="00975C4D" w:rsidRPr="006F3533" w:rsidRDefault="00975C4D" w:rsidP="00077D42">
            <w:pPr>
              <w:pStyle w:val="ListParagraph"/>
              <w:ind w:left="0"/>
              <w:jc w:val="both"/>
              <w:rPr>
                <w:rFonts w:cs="Times New Roman"/>
                <w:szCs w:val="24"/>
                <w:lang w:val="bg-BG"/>
              </w:rPr>
            </w:pPr>
            <w:r w:rsidRPr="006F3533">
              <w:rPr>
                <w:rFonts w:cs="Times New Roman"/>
                <w:szCs w:val="24"/>
                <w:lang w:val="bg-BG"/>
              </w:rPr>
              <w:t>m²</w:t>
            </w:r>
          </w:p>
        </w:tc>
        <w:tc>
          <w:tcPr>
            <w:tcW w:w="1095" w:type="pct"/>
            <w:shd w:val="clear" w:color="auto" w:fill="D0CECE" w:themeFill="background2" w:themeFillShade="E6"/>
          </w:tcPr>
          <w:p w14:paraId="4360102D" w14:textId="77777777" w:rsidR="00975C4D" w:rsidRPr="006F3533" w:rsidRDefault="00975C4D" w:rsidP="00077D42">
            <w:pPr>
              <w:pStyle w:val="ListParagraph"/>
              <w:ind w:left="0"/>
              <w:jc w:val="both"/>
              <w:rPr>
                <w:rFonts w:cs="Times New Roman"/>
                <w:szCs w:val="24"/>
                <w:lang w:val="bg-BG"/>
              </w:rPr>
            </w:pPr>
            <w:proofErr w:type="spellStart"/>
            <w:r w:rsidRPr="006F3533">
              <w:rPr>
                <w:rFonts w:cs="Times New Roman"/>
                <w:szCs w:val="24"/>
                <w:lang w:val="bg-BG"/>
              </w:rPr>
              <w:t>Number</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non-residential</w:t>
            </w:r>
            <w:proofErr w:type="spellEnd"/>
            <w:r w:rsidRPr="006F3533">
              <w:rPr>
                <w:rFonts w:cs="Times New Roman"/>
                <w:szCs w:val="24"/>
                <w:lang w:val="bg-BG"/>
              </w:rPr>
              <w:t xml:space="preserve"> </w:t>
            </w:r>
            <w:proofErr w:type="spellStart"/>
            <w:r w:rsidRPr="006F3533">
              <w:rPr>
                <w:rFonts w:cs="Times New Roman"/>
                <w:szCs w:val="24"/>
                <w:lang w:val="bg-BG"/>
              </w:rPr>
              <w:t>building</w:t>
            </w:r>
            <w:proofErr w:type="spellEnd"/>
            <w:r w:rsidRPr="006F3533">
              <w:rPr>
                <w:rFonts w:cs="Times New Roman"/>
                <w:szCs w:val="24"/>
                <w:lang w:val="bg-BG"/>
              </w:rPr>
              <w:t xml:space="preserve"> </w:t>
            </w:r>
            <w:proofErr w:type="spellStart"/>
            <w:r w:rsidRPr="006F3533">
              <w:rPr>
                <w:rFonts w:cs="Times New Roman"/>
                <w:szCs w:val="24"/>
                <w:lang w:val="bg-BG"/>
              </w:rPr>
              <w:t>or</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tc>
        <w:tc>
          <w:tcPr>
            <w:tcW w:w="1094" w:type="pct"/>
            <w:shd w:val="clear" w:color="auto" w:fill="D0CECE" w:themeFill="background2" w:themeFillShade="E6"/>
          </w:tcPr>
          <w:p w14:paraId="5759766C" w14:textId="77777777" w:rsidR="00975C4D" w:rsidRPr="006F3533" w:rsidRDefault="00975C4D" w:rsidP="00077D42">
            <w:pPr>
              <w:pStyle w:val="ListParagraph"/>
              <w:ind w:left="0"/>
              <w:jc w:val="both"/>
              <w:rPr>
                <w:rFonts w:cs="Times New Roman"/>
                <w:szCs w:val="24"/>
                <w:lang w:val="bg-BG"/>
              </w:rPr>
            </w:pPr>
            <w:proofErr w:type="spellStart"/>
            <w:r w:rsidRPr="006F3533">
              <w:rPr>
                <w:rFonts w:cs="Times New Roman"/>
                <w:szCs w:val="24"/>
                <w:lang w:val="bg-BG"/>
              </w:rPr>
              <w:t>Floor</w:t>
            </w:r>
            <w:proofErr w:type="spellEnd"/>
            <w:r w:rsidRPr="006F3533">
              <w:rPr>
                <w:rFonts w:cs="Times New Roman"/>
                <w:szCs w:val="24"/>
                <w:lang w:val="bg-BG"/>
              </w:rPr>
              <w:t xml:space="preserve"> </w:t>
            </w:r>
            <w:proofErr w:type="spellStart"/>
            <w:r w:rsidRPr="006F3533">
              <w:rPr>
                <w:rFonts w:cs="Times New Roman"/>
                <w:szCs w:val="24"/>
                <w:lang w:val="bg-BG"/>
              </w:rPr>
              <w:t>area</w:t>
            </w:r>
            <w:proofErr w:type="spellEnd"/>
            <w:r w:rsidRPr="006F3533">
              <w:rPr>
                <w:rFonts w:cs="Times New Roman"/>
                <w:szCs w:val="24"/>
                <w:lang w:val="bg-BG"/>
              </w:rPr>
              <w:t xml:space="preserve"> </w:t>
            </w:r>
            <w:proofErr w:type="spellStart"/>
            <w:r w:rsidRPr="006F3533">
              <w:rPr>
                <w:rFonts w:cs="Times New Roman"/>
                <w:szCs w:val="24"/>
                <w:lang w:val="bg-BG"/>
              </w:rPr>
              <w:t>non</w:t>
            </w:r>
            <w:proofErr w:type="spellEnd"/>
            <w:r w:rsidRPr="006F3533">
              <w:rPr>
                <w:rFonts w:cs="Times New Roman"/>
                <w:szCs w:val="24"/>
                <w:lang w:val="bg-BG"/>
              </w:rPr>
              <w:t xml:space="preserve">- </w:t>
            </w:r>
            <w:proofErr w:type="spellStart"/>
            <w:r w:rsidRPr="006F3533">
              <w:rPr>
                <w:rFonts w:cs="Times New Roman"/>
                <w:szCs w:val="24"/>
                <w:lang w:val="bg-BG"/>
              </w:rPr>
              <w:t>residential</w:t>
            </w:r>
            <w:proofErr w:type="spellEnd"/>
          </w:p>
          <w:p w14:paraId="1E20F28A" w14:textId="77777777" w:rsidR="00975C4D" w:rsidRPr="006F3533" w:rsidRDefault="00975C4D"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p w14:paraId="710561C9" w14:textId="77777777" w:rsidR="00975C4D" w:rsidRPr="006F3533" w:rsidRDefault="00975C4D" w:rsidP="00077D42">
            <w:pPr>
              <w:pStyle w:val="ListParagraph"/>
              <w:ind w:left="0"/>
              <w:jc w:val="both"/>
              <w:rPr>
                <w:rFonts w:cs="Times New Roman"/>
                <w:szCs w:val="24"/>
                <w:lang w:val="bg-BG"/>
              </w:rPr>
            </w:pPr>
            <w:r w:rsidRPr="006F3533">
              <w:rPr>
                <w:rFonts w:cs="Times New Roman"/>
                <w:szCs w:val="24"/>
                <w:lang w:val="bg-BG"/>
              </w:rPr>
              <w:t>m²</w:t>
            </w:r>
          </w:p>
        </w:tc>
      </w:tr>
      <w:tr w:rsidR="00975C4D" w:rsidRPr="006F3533" w14:paraId="748E140E" w14:textId="77777777" w:rsidTr="008F70E5">
        <w:tc>
          <w:tcPr>
            <w:tcW w:w="622" w:type="pct"/>
            <w:shd w:val="clear" w:color="auto" w:fill="FFFFFF" w:themeFill="background1"/>
          </w:tcPr>
          <w:p w14:paraId="729D8624" w14:textId="77777777" w:rsidR="00975C4D" w:rsidRPr="006F3533" w:rsidRDefault="00975C4D" w:rsidP="00077D42">
            <w:pPr>
              <w:pStyle w:val="ListParagraph"/>
              <w:ind w:left="0"/>
              <w:jc w:val="both"/>
              <w:rPr>
                <w:rFonts w:cs="Times New Roman"/>
                <w:szCs w:val="24"/>
                <w:lang w:val="bg-BG"/>
              </w:rPr>
            </w:pPr>
            <w:r w:rsidRPr="006F3533">
              <w:rPr>
                <w:rFonts w:cs="Times New Roman"/>
                <w:szCs w:val="24"/>
                <w:lang w:val="bg-BG"/>
              </w:rPr>
              <w:t xml:space="preserve">A+ </w:t>
            </w:r>
          </w:p>
          <w:p w14:paraId="2030117C" w14:textId="77777777" w:rsidR="00975C4D" w:rsidRPr="006F3533" w:rsidRDefault="00975C4D"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if</w:t>
            </w:r>
            <w:proofErr w:type="spellEnd"/>
            <w:r w:rsidRPr="006F3533">
              <w:rPr>
                <w:rFonts w:cs="Times New Roman"/>
                <w:szCs w:val="24"/>
                <w:lang w:val="bg-BG"/>
              </w:rPr>
              <w:t xml:space="preserve"> </w:t>
            </w:r>
            <w:proofErr w:type="spellStart"/>
            <w:r w:rsidRPr="006F3533">
              <w:rPr>
                <w:rFonts w:cs="Times New Roman"/>
                <w:szCs w:val="24"/>
                <w:lang w:val="bg-BG"/>
              </w:rPr>
              <w:t>relevant</w:t>
            </w:r>
            <w:proofErr w:type="spellEnd"/>
            <w:r w:rsidRPr="006F3533">
              <w:rPr>
                <w:rFonts w:cs="Times New Roman"/>
                <w:szCs w:val="24"/>
                <w:lang w:val="bg-BG"/>
              </w:rPr>
              <w:t xml:space="preserve">) </w:t>
            </w:r>
          </w:p>
        </w:tc>
        <w:tc>
          <w:tcPr>
            <w:tcW w:w="1094" w:type="pct"/>
            <w:shd w:val="clear" w:color="auto" w:fill="FFFFFF" w:themeFill="background1"/>
          </w:tcPr>
          <w:p w14:paraId="6F1B8601" w14:textId="77777777" w:rsidR="00975C4D" w:rsidRPr="006F3533" w:rsidRDefault="00975C4D" w:rsidP="00077D42">
            <w:pPr>
              <w:pStyle w:val="ListParagraph"/>
              <w:ind w:left="0"/>
              <w:jc w:val="both"/>
              <w:rPr>
                <w:rFonts w:cs="Times New Roman"/>
                <w:color w:val="0070C0"/>
                <w:szCs w:val="24"/>
                <w:lang w:val="bg-BG"/>
              </w:rPr>
            </w:pPr>
            <w:r w:rsidRPr="006F3533">
              <w:rPr>
                <w:rFonts w:cs="Times New Roman"/>
                <w:color w:val="0070C0"/>
                <w:szCs w:val="24"/>
                <w:lang w:val="bg-BG"/>
              </w:rPr>
              <w:t>0</w:t>
            </w:r>
          </w:p>
        </w:tc>
        <w:tc>
          <w:tcPr>
            <w:tcW w:w="1095" w:type="pct"/>
            <w:shd w:val="clear" w:color="auto" w:fill="FFFFFF" w:themeFill="background1"/>
          </w:tcPr>
          <w:p w14:paraId="0DF0CAE7" w14:textId="77777777" w:rsidR="00975C4D" w:rsidRPr="006F3533" w:rsidRDefault="00975C4D" w:rsidP="00077D42">
            <w:pPr>
              <w:pStyle w:val="ListParagraph"/>
              <w:ind w:left="0"/>
              <w:jc w:val="both"/>
              <w:rPr>
                <w:rFonts w:cs="Times New Roman"/>
                <w:color w:val="0070C0"/>
                <w:szCs w:val="24"/>
                <w:lang w:val="bg-BG"/>
              </w:rPr>
            </w:pPr>
            <w:r w:rsidRPr="006F3533">
              <w:rPr>
                <w:rFonts w:cs="Times New Roman"/>
                <w:color w:val="0070C0"/>
                <w:szCs w:val="24"/>
                <w:lang w:val="bg-BG"/>
              </w:rPr>
              <w:t>0</w:t>
            </w:r>
          </w:p>
        </w:tc>
        <w:tc>
          <w:tcPr>
            <w:tcW w:w="1095" w:type="pct"/>
          </w:tcPr>
          <w:p w14:paraId="69A4C12E" w14:textId="77777777" w:rsidR="00975C4D" w:rsidRPr="006F3533" w:rsidRDefault="00975C4D" w:rsidP="00077D42">
            <w:pPr>
              <w:pStyle w:val="ListParagraph"/>
              <w:ind w:left="0"/>
              <w:jc w:val="both"/>
              <w:rPr>
                <w:rFonts w:cs="Times New Roman"/>
                <w:color w:val="0070C0"/>
                <w:szCs w:val="24"/>
                <w:lang w:val="bg-BG"/>
              </w:rPr>
            </w:pPr>
            <w:r w:rsidRPr="006F3533">
              <w:rPr>
                <w:rFonts w:cs="Times New Roman"/>
                <w:color w:val="0070C0"/>
                <w:szCs w:val="24"/>
                <w:lang w:val="bg-BG"/>
              </w:rPr>
              <w:t>0</w:t>
            </w:r>
          </w:p>
        </w:tc>
        <w:tc>
          <w:tcPr>
            <w:tcW w:w="1094" w:type="pct"/>
          </w:tcPr>
          <w:p w14:paraId="7093E391" w14:textId="77777777" w:rsidR="00975C4D" w:rsidRPr="006F3533" w:rsidRDefault="00975C4D" w:rsidP="00077D42">
            <w:pPr>
              <w:pStyle w:val="ListParagraph"/>
              <w:ind w:left="0"/>
              <w:jc w:val="both"/>
              <w:rPr>
                <w:rFonts w:cs="Times New Roman"/>
                <w:color w:val="0070C0"/>
                <w:szCs w:val="24"/>
                <w:lang w:val="bg-BG"/>
              </w:rPr>
            </w:pPr>
          </w:p>
        </w:tc>
      </w:tr>
      <w:tr w:rsidR="00975C4D" w:rsidRPr="006F3533" w14:paraId="559ADF87" w14:textId="77777777" w:rsidTr="008F70E5">
        <w:tc>
          <w:tcPr>
            <w:tcW w:w="622" w:type="pct"/>
            <w:shd w:val="clear" w:color="auto" w:fill="FFFFFF" w:themeFill="background1"/>
          </w:tcPr>
          <w:p w14:paraId="09A449F6" w14:textId="77777777" w:rsidR="00975C4D" w:rsidRPr="006F3533" w:rsidRDefault="00975C4D" w:rsidP="00077D42">
            <w:pPr>
              <w:pStyle w:val="ListParagraph"/>
              <w:ind w:left="0"/>
              <w:jc w:val="both"/>
              <w:rPr>
                <w:rFonts w:cs="Times New Roman"/>
                <w:szCs w:val="24"/>
                <w:lang w:val="bg-BG"/>
              </w:rPr>
            </w:pPr>
            <w:r w:rsidRPr="006F3533">
              <w:rPr>
                <w:rFonts w:cs="Times New Roman"/>
                <w:szCs w:val="24"/>
                <w:lang w:val="bg-BG"/>
              </w:rPr>
              <w:t xml:space="preserve">A0 </w:t>
            </w:r>
          </w:p>
          <w:p w14:paraId="7EB612FE" w14:textId="77777777" w:rsidR="00975C4D" w:rsidRPr="006F3533" w:rsidRDefault="00975C4D"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if</w:t>
            </w:r>
            <w:proofErr w:type="spellEnd"/>
            <w:r w:rsidRPr="006F3533">
              <w:rPr>
                <w:rFonts w:cs="Times New Roman"/>
                <w:szCs w:val="24"/>
                <w:lang w:val="bg-BG"/>
              </w:rPr>
              <w:t xml:space="preserve"> </w:t>
            </w:r>
            <w:proofErr w:type="spellStart"/>
            <w:r w:rsidRPr="006F3533">
              <w:rPr>
                <w:rFonts w:cs="Times New Roman"/>
                <w:szCs w:val="24"/>
                <w:lang w:val="bg-BG"/>
              </w:rPr>
              <w:t>relevant</w:t>
            </w:r>
            <w:proofErr w:type="spellEnd"/>
            <w:r w:rsidRPr="006F3533">
              <w:rPr>
                <w:rFonts w:cs="Times New Roman"/>
                <w:szCs w:val="24"/>
                <w:lang w:val="bg-BG"/>
              </w:rPr>
              <w:t>)</w:t>
            </w:r>
          </w:p>
        </w:tc>
        <w:tc>
          <w:tcPr>
            <w:tcW w:w="1094" w:type="pct"/>
            <w:shd w:val="clear" w:color="auto" w:fill="FFFFFF" w:themeFill="background1"/>
          </w:tcPr>
          <w:p w14:paraId="2A03960E" w14:textId="77777777" w:rsidR="00975C4D" w:rsidRPr="006F3533" w:rsidRDefault="00975C4D" w:rsidP="00077D42">
            <w:pPr>
              <w:pStyle w:val="ListParagraph"/>
              <w:ind w:left="0"/>
              <w:jc w:val="both"/>
              <w:rPr>
                <w:rFonts w:cs="Times New Roman"/>
                <w:color w:val="0070C0"/>
                <w:szCs w:val="24"/>
                <w:lang w:val="bg-BG"/>
              </w:rPr>
            </w:pPr>
            <w:r w:rsidRPr="006F3533">
              <w:rPr>
                <w:rFonts w:cs="Times New Roman"/>
                <w:color w:val="0070C0"/>
                <w:szCs w:val="24"/>
                <w:lang w:val="bg-BG"/>
              </w:rPr>
              <w:t>0</w:t>
            </w:r>
          </w:p>
        </w:tc>
        <w:tc>
          <w:tcPr>
            <w:tcW w:w="1095" w:type="pct"/>
            <w:shd w:val="clear" w:color="auto" w:fill="FFFFFF" w:themeFill="background1"/>
          </w:tcPr>
          <w:p w14:paraId="66A0739F" w14:textId="77777777" w:rsidR="00975C4D" w:rsidRPr="006F3533" w:rsidRDefault="00975C4D" w:rsidP="00077D42">
            <w:pPr>
              <w:pStyle w:val="ListParagraph"/>
              <w:ind w:left="0"/>
              <w:jc w:val="both"/>
              <w:rPr>
                <w:rFonts w:cs="Times New Roman"/>
                <w:color w:val="0070C0"/>
                <w:szCs w:val="24"/>
                <w:lang w:val="bg-BG"/>
              </w:rPr>
            </w:pPr>
            <w:r w:rsidRPr="006F3533">
              <w:rPr>
                <w:rFonts w:cs="Times New Roman"/>
                <w:color w:val="0070C0"/>
                <w:szCs w:val="24"/>
                <w:lang w:val="bg-BG"/>
              </w:rPr>
              <w:t>0</w:t>
            </w:r>
          </w:p>
        </w:tc>
        <w:tc>
          <w:tcPr>
            <w:tcW w:w="1095" w:type="pct"/>
          </w:tcPr>
          <w:p w14:paraId="3480811D" w14:textId="77777777" w:rsidR="00975C4D" w:rsidRPr="006F3533" w:rsidRDefault="00975C4D" w:rsidP="00077D42">
            <w:pPr>
              <w:pStyle w:val="ListParagraph"/>
              <w:ind w:left="0"/>
              <w:jc w:val="both"/>
              <w:rPr>
                <w:rFonts w:cs="Times New Roman"/>
                <w:color w:val="0070C0"/>
                <w:szCs w:val="24"/>
                <w:lang w:val="bg-BG"/>
              </w:rPr>
            </w:pPr>
            <w:r w:rsidRPr="006F3533">
              <w:rPr>
                <w:rFonts w:cs="Times New Roman"/>
                <w:color w:val="0070C0"/>
                <w:szCs w:val="24"/>
                <w:lang w:val="bg-BG"/>
              </w:rPr>
              <w:t>0</w:t>
            </w:r>
          </w:p>
        </w:tc>
        <w:tc>
          <w:tcPr>
            <w:tcW w:w="1094" w:type="pct"/>
          </w:tcPr>
          <w:p w14:paraId="40E61405" w14:textId="77777777" w:rsidR="00975C4D" w:rsidRPr="006F3533" w:rsidRDefault="00975C4D" w:rsidP="00077D42">
            <w:pPr>
              <w:pStyle w:val="ListParagraph"/>
              <w:ind w:left="0"/>
              <w:jc w:val="both"/>
              <w:rPr>
                <w:rFonts w:cs="Times New Roman"/>
                <w:color w:val="0070C0"/>
                <w:szCs w:val="24"/>
                <w:lang w:val="bg-BG"/>
              </w:rPr>
            </w:pPr>
          </w:p>
        </w:tc>
      </w:tr>
      <w:tr w:rsidR="008F70E5" w:rsidRPr="006F3533" w14:paraId="6959F183" w14:textId="77777777" w:rsidTr="008F70E5">
        <w:tc>
          <w:tcPr>
            <w:tcW w:w="622" w:type="pct"/>
          </w:tcPr>
          <w:p w14:paraId="317E2479" w14:textId="77777777" w:rsidR="008F70E5" w:rsidRPr="006F3533" w:rsidRDefault="008F70E5" w:rsidP="008F70E5">
            <w:pPr>
              <w:pStyle w:val="ListParagraph"/>
              <w:ind w:left="0"/>
              <w:jc w:val="both"/>
              <w:rPr>
                <w:rFonts w:cs="Times New Roman"/>
                <w:szCs w:val="24"/>
                <w:lang w:val="bg-BG"/>
              </w:rPr>
            </w:pPr>
            <w:r w:rsidRPr="006F3533">
              <w:rPr>
                <w:rFonts w:cs="Times New Roman"/>
                <w:szCs w:val="24"/>
                <w:lang w:val="bg-BG"/>
              </w:rPr>
              <w:lastRenderedPageBreak/>
              <w:t>A</w:t>
            </w:r>
          </w:p>
        </w:tc>
        <w:tc>
          <w:tcPr>
            <w:tcW w:w="1094" w:type="pct"/>
          </w:tcPr>
          <w:p w14:paraId="4F49F50C"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634AA4F3"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41A6E514" w14:textId="659B965C" w:rsidR="008F70E5" w:rsidRPr="006F3533" w:rsidRDefault="008F70E5" w:rsidP="008F70E5">
            <w:pPr>
              <w:pStyle w:val="ListParagraph"/>
              <w:ind w:left="0"/>
              <w:jc w:val="both"/>
              <w:rPr>
                <w:rFonts w:cs="Times New Roman"/>
                <w:color w:val="0070C0"/>
                <w:szCs w:val="24"/>
                <w:lang w:val="bg-BG"/>
              </w:rPr>
            </w:pPr>
            <w:r w:rsidRPr="006F3533">
              <w:rPr>
                <w:lang w:val="bg-BG"/>
              </w:rPr>
              <w:t>515</w:t>
            </w:r>
          </w:p>
        </w:tc>
        <w:tc>
          <w:tcPr>
            <w:tcW w:w="1094" w:type="pct"/>
          </w:tcPr>
          <w:p w14:paraId="3AAF1233" w14:textId="7A102B27" w:rsidR="008F70E5" w:rsidRPr="006F3533" w:rsidRDefault="008F70E5" w:rsidP="008F70E5">
            <w:pPr>
              <w:pStyle w:val="ListParagraph"/>
              <w:ind w:left="0"/>
              <w:jc w:val="both"/>
              <w:rPr>
                <w:rFonts w:cs="Times New Roman"/>
                <w:color w:val="0070C0"/>
                <w:szCs w:val="24"/>
                <w:lang w:val="bg-BG"/>
              </w:rPr>
            </w:pPr>
            <w:r w:rsidRPr="006F3533">
              <w:rPr>
                <w:lang w:val="bg-BG"/>
              </w:rPr>
              <w:t>1 135 749</w:t>
            </w:r>
          </w:p>
        </w:tc>
      </w:tr>
      <w:tr w:rsidR="008F70E5" w:rsidRPr="006F3533" w14:paraId="39874A51" w14:textId="77777777" w:rsidTr="008F70E5">
        <w:tc>
          <w:tcPr>
            <w:tcW w:w="622" w:type="pct"/>
          </w:tcPr>
          <w:p w14:paraId="3A931744" w14:textId="77777777" w:rsidR="008F70E5" w:rsidRPr="006F3533" w:rsidRDefault="008F70E5" w:rsidP="008F70E5">
            <w:pPr>
              <w:pStyle w:val="ListParagraph"/>
              <w:ind w:left="0"/>
              <w:jc w:val="both"/>
              <w:rPr>
                <w:rFonts w:cs="Times New Roman"/>
                <w:szCs w:val="24"/>
                <w:lang w:val="bg-BG"/>
              </w:rPr>
            </w:pPr>
            <w:r w:rsidRPr="006F3533">
              <w:rPr>
                <w:rFonts w:cs="Times New Roman"/>
                <w:szCs w:val="24"/>
                <w:lang w:val="bg-BG"/>
              </w:rPr>
              <w:t>B</w:t>
            </w:r>
          </w:p>
        </w:tc>
        <w:tc>
          <w:tcPr>
            <w:tcW w:w="1094" w:type="pct"/>
          </w:tcPr>
          <w:p w14:paraId="37F05C07"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1B074798"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01525DE7" w14:textId="193D8035" w:rsidR="008F70E5" w:rsidRPr="006F3533" w:rsidRDefault="008F70E5" w:rsidP="008F70E5">
            <w:pPr>
              <w:pStyle w:val="ListParagraph"/>
              <w:ind w:left="0"/>
              <w:jc w:val="both"/>
              <w:rPr>
                <w:rFonts w:cs="Times New Roman"/>
                <w:color w:val="0070C0"/>
                <w:szCs w:val="24"/>
                <w:lang w:val="bg-BG"/>
              </w:rPr>
            </w:pPr>
            <w:r w:rsidRPr="006F3533">
              <w:rPr>
                <w:lang w:val="bg-BG"/>
              </w:rPr>
              <w:t>1 710</w:t>
            </w:r>
          </w:p>
        </w:tc>
        <w:tc>
          <w:tcPr>
            <w:tcW w:w="1094" w:type="pct"/>
          </w:tcPr>
          <w:p w14:paraId="4FE90590" w14:textId="3E87208A" w:rsidR="008F70E5" w:rsidRPr="006F3533" w:rsidRDefault="008F70E5" w:rsidP="008F70E5">
            <w:pPr>
              <w:pStyle w:val="ListParagraph"/>
              <w:ind w:left="0"/>
              <w:jc w:val="both"/>
              <w:rPr>
                <w:rFonts w:cs="Times New Roman"/>
                <w:color w:val="0070C0"/>
                <w:szCs w:val="24"/>
                <w:lang w:val="bg-BG"/>
              </w:rPr>
            </w:pPr>
            <w:r w:rsidRPr="006F3533">
              <w:rPr>
                <w:lang w:val="bg-BG"/>
              </w:rPr>
              <w:t>4 875 769</w:t>
            </w:r>
          </w:p>
        </w:tc>
      </w:tr>
      <w:tr w:rsidR="008F70E5" w:rsidRPr="006F3533" w14:paraId="55598AAF" w14:textId="77777777" w:rsidTr="008F70E5">
        <w:tc>
          <w:tcPr>
            <w:tcW w:w="622" w:type="pct"/>
          </w:tcPr>
          <w:p w14:paraId="163AE50A" w14:textId="77777777" w:rsidR="008F70E5" w:rsidRPr="006F3533" w:rsidRDefault="008F70E5" w:rsidP="008F70E5">
            <w:pPr>
              <w:pStyle w:val="ListParagraph"/>
              <w:ind w:left="0"/>
              <w:jc w:val="both"/>
              <w:rPr>
                <w:rFonts w:cs="Times New Roman"/>
                <w:szCs w:val="24"/>
                <w:lang w:val="bg-BG"/>
              </w:rPr>
            </w:pPr>
            <w:r w:rsidRPr="006F3533">
              <w:rPr>
                <w:rFonts w:cs="Times New Roman"/>
                <w:szCs w:val="24"/>
                <w:lang w:val="bg-BG"/>
              </w:rPr>
              <w:t>C</w:t>
            </w:r>
          </w:p>
        </w:tc>
        <w:tc>
          <w:tcPr>
            <w:tcW w:w="1094" w:type="pct"/>
          </w:tcPr>
          <w:p w14:paraId="6C715B6A"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53CCE6D8"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76C0D7B0" w14:textId="2C615EC6" w:rsidR="008F70E5" w:rsidRPr="006F3533" w:rsidRDefault="008F70E5" w:rsidP="008F70E5">
            <w:pPr>
              <w:pStyle w:val="ListParagraph"/>
              <w:ind w:left="0"/>
              <w:jc w:val="both"/>
              <w:rPr>
                <w:rFonts w:cs="Times New Roman"/>
                <w:color w:val="0070C0"/>
                <w:szCs w:val="24"/>
                <w:lang w:val="bg-BG"/>
              </w:rPr>
            </w:pPr>
            <w:r w:rsidRPr="006F3533">
              <w:rPr>
                <w:lang w:val="bg-BG"/>
              </w:rPr>
              <w:t>560</w:t>
            </w:r>
          </w:p>
        </w:tc>
        <w:tc>
          <w:tcPr>
            <w:tcW w:w="1094" w:type="pct"/>
          </w:tcPr>
          <w:p w14:paraId="5F1F785E" w14:textId="269251F9" w:rsidR="008F70E5" w:rsidRPr="006F3533" w:rsidRDefault="008F70E5" w:rsidP="008F70E5">
            <w:pPr>
              <w:pStyle w:val="ListParagraph"/>
              <w:ind w:left="0"/>
              <w:jc w:val="both"/>
              <w:rPr>
                <w:rFonts w:cs="Times New Roman"/>
                <w:color w:val="0070C0"/>
                <w:szCs w:val="24"/>
                <w:lang w:val="bg-BG"/>
              </w:rPr>
            </w:pPr>
            <w:r w:rsidRPr="006F3533">
              <w:rPr>
                <w:lang w:val="bg-BG"/>
              </w:rPr>
              <w:t>1 736 449</w:t>
            </w:r>
          </w:p>
        </w:tc>
      </w:tr>
      <w:tr w:rsidR="008F70E5" w:rsidRPr="006F3533" w14:paraId="516AE5AA" w14:textId="77777777" w:rsidTr="008F70E5">
        <w:tc>
          <w:tcPr>
            <w:tcW w:w="622" w:type="pct"/>
          </w:tcPr>
          <w:p w14:paraId="672A41ED" w14:textId="77777777" w:rsidR="008F70E5" w:rsidRPr="006F3533" w:rsidRDefault="008F70E5" w:rsidP="008F70E5">
            <w:pPr>
              <w:pStyle w:val="ListParagraph"/>
              <w:ind w:left="0"/>
              <w:jc w:val="both"/>
              <w:rPr>
                <w:rFonts w:cs="Times New Roman"/>
                <w:szCs w:val="24"/>
                <w:lang w:val="bg-BG"/>
              </w:rPr>
            </w:pPr>
            <w:r w:rsidRPr="006F3533">
              <w:rPr>
                <w:rFonts w:cs="Times New Roman"/>
                <w:szCs w:val="24"/>
                <w:lang w:val="bg-BG"/>
              </w:rPr>
              <w:t>D</w:t>
            </w:r>
          </w:p>
        </w:tc>
        <w:tc>
          <w:tcPr>
            <w:tcW w:w="1094" w:type="pct"/>
          </w:tcPr>
          <w:p w14:paraId="5B2FFF95"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5B6CD2D7"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78E16887" w14:textId="2908D524" w:rsidR="008F70E5" w:rsidRPr="006F3533" w:rsidRDefault="008F70E5" w:rsidP="008F70E5">
            <w:pPr>
              <w:pStyle w:val="ListParagraph"/>
              <w:ind w:left="0"/>
              <w:jc w:val="both"/>
              <w:rPr>
                <w:rFonts w:cs="Times New Roman"/>
                <w:color w:val="0070C0"/>
                <w:szCs w:val="24"/>
                <w:lang w:val="bg-BG"/>
              </w:rPr>
            </w:pPr>
            <w:r w:rsidRPr="006F3533">
              <w:rPr>
                <w:lang w:val="bg-BG"/>
              </w:rPr>
              <w:t>324</w:t>
            </w:r>
          </w:p>
        </w:tc>
        <w:tc>
          <w:tcPr>
            <w:tcW w:w="1094" w:type="pct"/>
          </w:tcPr>
          <w:p w14:paraId="7A740EDB" w14:textId="4BED464C" w:rsidR="008F70E5" w:rsidRPr="006F3533" w:rsidRDefault="008F70E5" w:rsidP="008F70E5">
            <w:pPr>
              <w:pStyle w:val="ListParagraph"/>
              <w:ind w:left="0"/>
              <w:jc w:val="both"/>
              <w:rPr>
                <w:rFonts w:cs="Times New Roman"/>
                <w:color w:val="0070C0"/>
                <w:szCs w:val="24"/>
                <w:lang w:val="bg-BG"/>
              </w:rPr>
            </w:pPr>
            <w:r w:rsidRPr="006F3533">
              <w:rPr>
                <w:lang w:val="bg-BG"/>
              </w:rPr>
              <w:t>860 851</w:t>
            </w:r>
          </w:p>
        </w:tc>
      </w:tr>
      <w:tr w:rsidR="008F70E5" w:rsidRPr="006F3533" w14:paraId="1A0258DF" w14:textId="77777777" w:rsidTr="008F70E5">
        <w:tc>
          <w:tcPr>
            <w:tcW w:w="622" w:type="pct"/>
          </w:tcPr>
          <w:p w14:paraId="0CF97936" w14:textId="77777777" w:rsidR="008F70E5" w:rsidRPr="006F3533" w:rsidRDefault="008F70E5" w:rsidP="008F70E5">
            <w:pPr>
              <w:pStyle w:val="ListParagraph"/>
              <w:ind w:left="0"/>
              <w:jc w:val="both"/>
              <w:rPr>
                <w:rFonts w:cs="Times New Roman"/>
                <w:szCs w:val="24"/>
                <w:lang w:val="bg-BG"/>
              </w:rPr>
            </w:pPr>
            <w:r w:rsidRPr="006F3533">
              <w:rPr>
                <w:rFonts w:cs="Times New Roman"/>
                <w:szCs w:val="24"/>
                <w:lang w:val="bg-BG"/>
              </w:rPr>
              <w:t>E</w:t>
            </w:r>
          </w:p>
        </w:tc>
        <w:tc>
          <w:tcPr>
            <w:tcW w:w="1094" w:type="pct"/>
          </w:tcPr>
          <w:p w14:paraId="59ABC6E9"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2DFABEA0"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076FBBC6" w14:textId="0EC65A08" w:rsidR="008F70E5" w:rsidRPr="006F3533" w:rsidRDefault="008F70E5" w:rsidP="008F70E5">
            <w:pPr>
              <w:pStyle w:val="ListParagraph"/>
              <w:ind w:left="0"/>
              <w:jc w:val="both"/>
              <w:rPr>
                <w:rFonts w:cs="Times New Roman"/>
                <w:color w:val="0070C0"/>
                <w:szCs w:val="24"/>
                <w:lang w:val="bg-BG"/>
              </w:rPr>
            </w:pPr>
            <w:r w:rsidRPr="006F3533">
              <w:rPr>
                <w:lang w:val="bg-BG"/>
              </w:rPr>
              <w:t>260</w:t>
            </w:r>
          </w:p>
        </w:tc>
        <w:tc>
          <w:tcPr>
            <w:tcW w:w="1094" w:type="pct"/>
          </w:tcPr>
          <w:p w14:paraId="64833E85" w14:textId="3104878F" w:rsidR="008F70E5" w:rsidRPr="006F3533" w:rsidRDefault="008F70E5" w:rsidP="008F70E5">
            <w:pPr>
              <w:pStyle w:val="ListParagraph"/>
              <w:ind w:left="0"/>
              <w:jc w:val="both"/>
              <w:rPr>
                <w:rFonts w:cs="Times New Roman"/>
                <w:color w:val="0070C0"/>
                <w:szCs w:val="24"/>
                <w:lang w:val="bg-BG"/>
              </w:rPr>
            </w:pPr>
            <w:r w:rsidRPr="006F3533">
              <w:rPr>
                <w:lang w:val="bg-BG"/>
              </w:rPr>
              <w:t>650 918</w:t>
            </w:r>
          </w:p>
        </w:tc>
      </w:tr>
      <w:tr w:rsidR="008F70E5" w:rsidRPr="006F3533" w14:paraId="50EC803D" w14:textId="77777777" w:rsidTr="008F70E5">
        <w:tc>
          <w:tcPr>
            <w:tcW w:w="622" w:type="pct"/>
          </w:tcPr>
          <w:p w14:paraId="671833B5" w14:textId="77777777" w:rsidR="008F70E5" w:rsidRPr="006F3533" w:rsidRDefault="008F70E5" w:rsidP="008F70E5">
            <w:pPr>
              <w:pStyle w:val="ListParagraph"/>
              <w:ind w:left="0"/>
              <w:jc w:val="both"/>
              <w:rPr>
                <w:rFonts w:cs="Times New Roman"/>
                <w:szCs w:val="24"/>
                <w:lang w:val="bg-BG"/>
              </w:rPr>
            </w:pPr>
            <w:r w:rsidRPr="006F3533">
              <w:rPr>
                <w:rFonts w:cs="Times New Roman"/>
                <w:szCs w:val="24"/>
                <w:lang w:val="bg-BG"/>
              </w:rPr>
              <w:t>F</w:t>
            </w:r>
          </w:p>
        </w:tc>
        <w:tc>
          <w:tcPr>
            <w:tcW w:w="1094" w:type="pct"/>
          </w:tcPr>
          <w:p w14:paraId="268498A6"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47E0CF60"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16808320" w14:textId="1631B14C" w:rsidR="008F70E5" w:rsidRPr="006F3533" w:rsidRDefault="008F70E5" w:rsidP="008F70E5">
            <w:pPr>
              <w:pStyle w:val="ListParagraph"/>
              <w:ind w:left="0"/>
              <w:jc w:val="both"/>
              <w:rPr>
                <w:rFonts w:cs="Times New Roman"/>
                <w:color w:val="0070C0"/>
                <w:szCs w:val="24"/>
                <w:lang w:val="bg-BG"/>
              </w:rPr>
            </w:pPr>
            <w:r w:rsidRPr="006F3533">
              <w:rPr>
                <w:lang w:val="bg-BG"/>
              </w:rPr>
              <w:t>158</w:t>
            </w:r>
          </w:p>
        </w:tc>
        <w:tc>
          <w:tcPr>
            <w:tcW w:w="1094" w:type="pct"/>
          </w:tcPr>
          <w:p w14:paraId="5B330FA8" w14:textId="323ECDEA" w:rsidR="008F70E5" w:rsidRPr="006F3533" w:rsidRDefault="008F70E5" w:rsidP="008F70E5">
            <w:pPr>
              <w:pStyle w:val="ListParagraph"/>
              <w:ind w:left="0"/>
              <w:jc w:val="both"/>
              <w:rPr>
                <w:rFonts w:cs="Times New Roman"/>
                <w:color w:val="0070C0"/>
                <w:szCs w:val="24"/>
                <w:lang w:val="bg-BG"/>
              </w:rPr>
            </w:pPr>
            <w:r w:rsidRPr="006F3533">
              <w:rPr>
                <w:lang w:val="bg-BG"/>
              </w:rPr>
              <w:t>346 747</w:t>
            </w:r>
          </w:p>
        </w:tc>
      </w:tr>
      <w:tr w:rsidR="008F70E5" w:rsidRPr="006F3533" w14:paraId="18AEEC28" w14:textId="77777777" w:rsidTr="008F70E5">
        <w:tc>
          <w:tcPr>
            <w:tcW w:w="622" w:type="pct"/>
          </w:tcPr>
          <w:p w14:paraId="1C0086B2" w14:textId="77777777" w:rsidR="008F70E5" w:rsidRPr="006F3533" w:rsidRDefault="008F70E5" w:rsidP="008F70E5">
            <w:pPr>
              <w:pStyle w:val="ListParagraph"/>
              <w:ind w:left="0"/>
              <w:jc w:val="both"/>
              <w:rPr>
                <w:rFonts w:cs="Times New Roman"/>
                <w:szCs w:val="24"/>
                <w:lang w:val="bg-BG"/>
              </w:rPr>
            </w:pPr>
            <w:r w:rsidRPr="006F3533">
              <w:rPr>
                <w:rFonts w:cs="Times New Roman"/>
                <w:szCs w:val="24"/>
                <w:lang w:val="bg-BG"/>
              </w:rPr>
              <w:t>G</w:t>
            </w:r>
          </w:p>
        </w:tc>
        <w:tc>
          <w:tcPr>
            <w:tcW w:w="1094" w:type="pct"/>
          </w:tcPr>
          <w:p w14:paraId="5B3C08AB"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29257631"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1D340920" w14:textId="5B3E75E9" w:rsidR="008F70E5" w:rsidRPr="006F3533" w:rsidRDefault="008F70E5" w:rsidP="008F70E5">
            <w:pPr>
              <w:pStyle w:val="ListParagraph"/>
              <w:ind w:left="0"/>
              <w:jc w:val="both"/>
              <w:rPr>
                <w:rFonts w:cs="Times New Roman"/>
                <w:color w:val="0070C0"/>
                <w:szCs w:val="24"/>
                <w:lang w:val="bg-BG"/>
              </w:rPr>
            </w:pPr>
            <w:r w:rsidRPr="006F3533">
              <w:rPr>
                <w:lang w:val="bg-BG"/>
              </w:rPr>
              <w:t>262</w:t>
            </w:r>
          </w:p>
        </w:tc>
        <w:tc>
          <w:tcPr>
            <w:tcW w:w="1094" w:type="pct"/>
          </w:tcPr>
          <w:p w14:paraId="704EC380" w14:textId="1DD159A9" w:rsidR="008F70E5" w:rsidRPr="006F3533" w:rsidRDefault="008F70E5" w:rsidP="008F70E5">
            <w:pPr>
              <w:pStyle w:val="ListParagraph"/>
              <w:ind w:left="0"/>
              <w:jc w:val="both"/>
              <w:rPr>
                <w:rFonts w:cs="Times New Roman"/>
                <w:color w:val="0070C0"/>
                <w:szCs w:val="24"/>
                <w:lang w:val="bg-BG"/>
              </w:rPr>
            </w:pPr>
            <w:r w:rsidRPr="006F3533">
              <w:rPr>
                <w:lang w:val="bg-BG"/>
              </w:rPr>
              <w:t>371 179</w:t>
            </w:r>
          </w:p>
        </w:tc>
      </w:tr>
      <w:tr w:rsidR="008F70E5" w:rsidRPr="006F3533" w14:paraId="4E3967F7" w14:textId="77777777" w:rsidTr="008F70E5">
        <w:tc>
          <w:tcPr>
            <w:tcW w:w="622" w:type="pct"/>
          </w:tcPr>
          <w:p w14:paraId="09A66851" w14:textId="77777777" w:rsidR="008F70E5" w:rsidRPr="006F3533" w:rsidRDefault="008F70E5" w:rsidP="008F70E5">
            <w:pPr>
              <w:pStyle w:val="ListParagraph"/>
              <w:ind w:left="0"/>
              <w:jc w:val="both"/>
              <w:rPr>
                <w:rFonts w:cs="Times New Roman"/>
                <w:szCs w:val="24"/>
                <w:lang w:val="bg-BG"/>
              </w:rPr>
            </w:pPr>
            <w:proofErr w:type="spellStart"/>
            <w:r w:rsidRPr="006F3533">
              <w:rPr>
                <w:rFonts w:cs="Times New Roman"/>
                <w:szCs w:val="24"/>
                <w:lang w:val="bg-BG"/>
              </w:rPr>
              <w:t>Without</w:t>
            </w:r>
            <w:proofErr w:type="spellEnd"/>
            <w:r w:rsidRPr="006F3533">
              <w:rPr>
                <w:rFonts w:cs="Times New Roman"/>
                <w:szCs w:val="24"/>
                <w:lang w:val="bg-BG"/>
              </w:rPr>
              <w:t xml:space="preserve"> </w:t>
            </w:r>
            <w:proofErr w:type="spellStart"/>
            <w:r w:rsidRPr="006F3533">
              <w:rPr>
                <w:rFonts w:cs="Times New Roman"/>
                <w:szCs w:val="24"/>
                <w:lang w:val="bg-BG"/>
              </w:rPr>
              <w:t>valid</w:t>
            </w:r>
            <w:proofErr w:type="spellEnd"/>
            <w:r w:rsidRPr="006F3533">
              <w:rPr>
                <w:rFonts w:cs="Times New Roman"/>
                <w:szCs w:val="24"/>
                <w:lang w:val="bg-BG"/>
              </w:rPr>
              <w:t xml:space="preserve"> EPC</w:t>
            </w:r>
          </w:p>
        </w:tc>
        <w:tc>
          <w:tcPr>
            <w:tcW w:w="1094" w:type="pct"/>
          </w:tcPr>
          <w:p w14:paraId="4FFC9E3A"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294EF6C1"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555D223A" w14:textId="7F68C3FA" w:rsidR="008F70E5" w:rsidRPr="006F3533" w:rsidRDefault="008F70E5" w:rsidP="008F70E5">
            <w:pPr>
              <w:pStyle w:val="ListParagraph"/>
              <w:ind w:left="0"/>
              <w:jc w:val="both"/>
              <w:rPr>
                <w:rFonts w:cs="Times New Roman"/>
                <w:color w:val="0070C0"/>
                <w:szCs w:val="24"/>
                <w:lang w:val="bg-BG"/>
              </w:rPr>
            </w:pPr>
            <w:r w:rsidRPr="006F3533">
              <w:rPr>
                <w:lang w:val="bg-BG"/>
              </w:rPr>
              <w:t>346 739</w:t>
            </w:r>
          </w:p>
        </w:tc>
        <w:tc>
          <w:tcPr>
            <w:tcW w:w="1094" w:type="pct"/>
          </w:tcPr>
          <w:p w14:paraId="70F6FC49" w14:textId="58536D34" w:rsidR="008F70E5" w:rsidRPr="006F3533" w:rsidRDefault="008F70E5" w:rsidP="008F70E5">
            <w:pPr>
              <w:pStyle w:val="ListParagraph"/>
              <w:ind w:left="0"/>
              <w:jc w:val="both"/>
              <w:rPr>
                <w:rFonts w:cs="Times New Roman"/>
                <w:color w:val="0070C0"/>
                <w:szCs w:val="24"/>
                <w:lang w:val="bg-BG"/>
              </w:rPr>
            </w:pPr>
            <w:r w:rsidRPr="006F3533">
              <w:rPr>
                <w:lang w:val="bg-BG"/>
              </w:rPr>
              <w:t>83 384 246</w:t>
            </w:r>
          </w:p>
        </w:tc>
      </w:tr>
      <w:tr w:rsidR="008F70E5" w:rsidRPr="006F3533" w14:paraId="203C2158" w14:textId="77777777" w:rsidTr="008F70E5">
        <w:tc>
          <w:tcPr>
            <w:tcW w:w="622" w:type="pct"/>
          </w:tcPr>
          <w:p w14:paraId="0B565ADB" w14:textId="77777777" w:rsidR="008F70E5" w:rsidRPr="006F3533" w:rsidRDefault="008F70E5" w:rsidP="008F70E5">
            <w:pPr>
              <w:pStyle w:val="ListParagraph"/>
              <w:ind w:left="0"/>
              <w:jc w:val="both"/>
              <w:rPr>
                <w:rFonts w:cs="Times New Roman"/>
                <w:szCs w:val="24"/>
                <w:lang w:val="bg-BG"/>
              </w:rPr>
            </w:pPr>
            <w:r w:rsidRPr="006F3533">
              <w:rPr>
                <w:rFonts w:cs="Times New Roman"/>
                <w:szCs w:val="24"/>
                <w:lang w:val="bg-BG"/>
              </w:rPr>
              <w:t xml:space="preserve">EPC </w:t>
            </w:r>
            <w:proofErr w:type="spellStart"/>
            <w:r w:rsidRPr="006F3533">
              <w:rPr>
                <w:rFonts w:cs="Times New Roman"/>
                <w:szCs w:val="24"/>
                <w:lang w:val="bg-BG"/>
              </w:rPr>
              <w:t>not</w:t>
            </w:r>
            <w:proofErr w:type="spellEnd"/>
            <w:r w:rsidRPr="006F3533">
              <w:rPr>
                <w:rFonts w:cs="Times New Roman"/>
                <w:szCs w:val="24"/>
                <w:lang w:val="bg-BG"/>
              </w:rPr>
              <w:t xml:space="preserve"> </w:t>
            </w:r>
            <w:proofErr w:type="spellStart"/>
            <w:r w:rsidRPr="006F3533">
              <w:rPr>
                <w:rFonts w:cs="Times New Roman"/>
                <w:szCs w:val="24"/>
                <w:lang w:val="bg-BG"/>
              </w:rPr>
              <w:t>required</w:t>
            </w:r>
            <w:proofErr w:type="spellEnd"/>
          </w:p>
        </w:tc>
        <w:tc>
          <w:tcPr>
            <w:tcW w:w="1094" w:type="pct"/>
          </w:tcPr>
          <w:p w14:paraId="0AE83B29"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0A323ED5" w14:textId="77777777" w:rsidR="008F70E5" w:rsidRPr="006F3533" w:rsidRDefault="008F70E5" w:rsidP="008F70E5">
            <w:pPr>
              <w:pStyle w:val="ListParagraph"/>
              <w:ind w:left="0"/>
              <w:jc w:val="both"/>
              <w:rPr>
                <w:rFonts w:cs="Times New Roman"/>
                <w:color w:val="0070C0"/>
                <w:szCs w:val="24"/>
                <w:lang w:val="bg-BG"/>
              </w:rPr>
            </w:pPr>
          </w:p>
        </w:tc>
        <w:tc>
          <w:tcPr>
            <w:tcW w:w="1095" w:type="pct"/>
          </w:tcPr>
          <w:p w14:paraId="44A127ED" w14:textId="4894E29A" w:rsidR="008F70E5" w:rsidRPr="006F3533" w:rsidRDefault="008F70E5" w:rsidP="008F70E5">
            <w:pPr>
              <w:pStyle w:val="ListParagraph"/>
              <w:ind w:left="0"/>
              <w:jc w:val="both"/>
              <w:rPr>
                <w:rFonts w:cs="Times New Roman"/>
                <w:color w:val="0070C0"/>
                <w:szCs w:val="24"/>
                <w:lang w:val="bg-BG"/>
              </w:rPr>
            </w:pPr>
            <w:r w:rsidRPr="006F3533">
              <w:rPr>
                <w:lang w:val="bg-BG"/>
              </w:rPr>
              <w:t>3 992</w:t>
            </w:r>
          </w:p>
        </w:tc>
        <w:tc>
          <w:tcPr>
            <w:tcW w:w="1094" w:type="pct"/>
          </w:tcPr>
          <w:p w14:paraId="758591ED" w14:textId="5287374B" w:rsidR="008F70E5" w:rsidRPr="006F3533" w:rsidRDefault="008F70E5" w:rsidP="008F70E5">
            <w:pPr>
              <w:pStyle w:val="ListParagraph"/>
              <w:ind w:left="0"/>
              <w:jc w:val="both"/>
              <w:rPr>
                <w:rFonts w:cs="Times New Roman"/>
                <w:color w:val="0070C0"/>
                <w:szCs w:val="24"/>
                <w:lang w:val="bg-BG"/>
              </w:rPr>
            </w:pPr>
            <w:r w:rsidRPr="006F3533">
              <w:rPr>
                <w:lang w:val="bg-BG"/>
              </w:rPr>
              <w:t>812 885</w:t>
            </w:r>
          </w:p>
        </w:tc>
      </w:tr>
      <w:tr w:rsidR="008F70E5" w:rsidRPr="006F3533" w14:paraId="5B4C0DAD" w14:textId="77777777" w:rsidTr="008F70E5">
        <w:tc>
          <w:tcPr>
            <w:tcW w:w="622" w:type="pct"/>
          </w:tcPr>
          <w:p w14:paraId="3DD7E457" w14:textId="77777777" w:rsidR="008F70E5" w:rsidRPr="006F3533" w:rsidRDefault="008F70E5" w:rsidP="008F70E5">
            <w:pPr>
              <w:pStyle w:val="ListParagraph"/>
              <w:ind w:left="0"/>
              <w:jc w:val="both"/>
              <w:rPr>
                <w:rFonts w:cs="Times New Roman"/>
                <w:b/>
                <w:bCs/>
                <w:szCs w:val="24"/>
                <w:lang w:val="bg-BG"/>
              </w:rPr>
            </w:pPr>
            <w:r w:rsidRPr="006F3533">
              <w:rPr>
                <w:rFonts w:cs="Times New Roman"/>
                <w:b/>
                <w:bCs/>
                <w:szCs w:val="24"/>
                <w:lang w:val="bg-BG"/>
              </w:rPr>
              <w:t>Total</w:t>
            </w:r>
          </w:p>
        </w:tc>
        <w:tc>
          <w:tcPr>
            <w:tcW w:w="1094" w:type="pct"/>
          </w:tcPr>
          <w:p w14:paraId="1E5FC05D" w14:textId="77777777" w:rsidR="008F70E5" w:rsidRPr="006F3533" w:rsidRDefault="008F70E5" w:rsidP="008F70E5">
            <w:pPr>
              <w:pStyle w:val="ListParagraph"/>
              <w:ind w:left="0"/>
              <w:jc w:val="both"/>
              <w:rPr>
                <w:rFonts w:cs="Times New Roman"/>
                <w:b/>
                <w:bCs/>
                <w:color w:val="0070C0"/>
                <w:szCs w:val="24"/>
                <w:lang w:val="bg-BG"/>
              </w:rPr>
            </w:pPr>
          </w:p>
        </w:tc>
        <w:tc>
          <w:tcPr>
            <w:tcW w:w="1095" w:type="pct"/>
          </w:tcPr>
          <w:p w14:paraId="5A6372B2" w14:textId="77777777" w:rsidR="008F70E5" w:rsidRPr="006F3533" w:rsidRDefault="008F70E5" w:rsidP="008F70E5">
            <w:pPr>
              <w:pStyle w:val="ListParagraph"/>
              <w:ind w:left="0"/>
              <w:jc w:val="both"/>
              <w:rPr>
                <w:rFonts w:cs="Times New Roman"/>
                <w:b/>
                <w:bCs/>
                <w:color w:val="0070C0"/>
                <w:szCs w:val="24"/>
                <w:lang w:val="bg-BG"/>
              </w:rPr>
            </w:pPr>
          </w:p>
        </w:tc>
        <w:tc>
          <w:tcPr>
            <w:tcW w:w="1095" w:type="pct"/>
          </w:tcPr>
          <w:p w14:paraId="3433F85F" w14:textId="30EE116C" w:rsidR="008F70E5" w:rsidRPr="006F3533" w:rsidRDefault="008F70E5" w:rsidP="008F70E5">
            <w:pPr>
              <w:pStyle w:val="ListParagraph"/>
              <w:ind w:left="0"/>
              <w:jc w:val="both"/>
              <w:rPr>
                <w:rFonts w:cs="Times New Roman"/>
                <w:b/>
                <w:bCs/>
                <w:color w:val="0070C0"/>
                <w:szCs w:val="24"/>
                <w:lang w:val="bg-BG"/>
              </w:rPr>
            </w:pPr>
            <w:r w:rsidRPr="006F3533">
              <w:rPr>
                <w:lang w:val="bg-BG"/>
              </w:rPr>
              <w:t>354 520</w:t>
            </w:r>
          </w:p>
        </w:tc>
        <w:tc>
          <w:tcPr>
            <w:tcW w:w="1094" w:type="pct"/>
          </w:tcPr>
          <w:p w14:paraId="48CC28F5" w14:textId="1D9BA8E8" w:rsidR="008F70E5" w:rsidRPr="006F3533" w:rsidRDefault="008F70E5" w:rsidP="008F70E5">
            <w:pPr>
              <w:pStyle w:val="ListParagraph"/>
              <w:ind w:left="0"/>
              <w:jc w:val="both"/>
              <w:rPr>
                <w:rFonts w:cs="Times New Roman"/>
                <w:b/>
                <w:bCs/>
                <w:color w:val="0070C0"/>
                <w:szCs w:val="24"/>
                <w:lang w:val="bg-BG"/>
              </w:rPr>
            </w:pPr>
            <w:r w:rsidRPr="006F3533">
              <w:rPr>
                <w:lang w:val="bg-BG"/>
              </w:rPr>
              <w:t>94 174 793</w:t>
            </w:r>
          </w:p>
        </w:tc>
      </w:tr>
    </w:tbl>
    <w:bookmarkEnd w:id="113"/>
    <w:p w14:paraId="3263000F" w14:textId="31BC5179" w:rsidR="00975C4D" w:rsidRPr="006F3533" w:rsidRDefault="00975C4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Сградите с високи енергийни характеристики (клас A) представляват ограничен дял както по брой, така и по обща площ, което отразява относително ниския темп на дълбоко енергийно обновяване на нежилищния сграден фонд към настоящия момент. В същото време наличието на значителен брой сгради в класове F и G потвърждава съществуването на ясно изразен сегмент от сгради с ниски енергийни характеристики, които са потенциална цел за прилагането на минимални стандарти за енергийни характеристики.</w:t>
      </w:r>
    </w:p>
    <w:p w14:paraId="1B0614CC" w14:textId="77777777" w:rsidR="00975C4D" w:rsidRPr="006F3533" w:rsidRDefault="00975C4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Съществен дял от общата разгъната застроена площ на сертифицираните нежилищни сгради е съсредоточен в сградите от класове B, C и D, което показва, че дори сравнително малък брой големи по размер сгради може да има значително влияние върху общото енергийно потребление на сектора.</w:t>
      </w:r>
    </w:p>
    <w:p w14:paraId="53588550" w14:textId="77777777" w:rsidR="00975C4D" w:rsidRPr="006F3533" w:rsidRDefault="00975C4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Следва да се подчертае, че представеното разпределение отразява само сертифицираната част от нежилищния сграден фонд с валидни сертификати и не може да се разглежда като пълно представяне на всички нежилищни сгради в страната. Поради това резултатите от тази таблица се използват в комбинация с данните от кадастъра и с информацията за всички сертифицирани сгради (включително с изтекли сертификати), представени и анализирани в следващите раздели на плана.</w:t>
      </w:r>
    </w:p>
    <w:p w14:paraId="51C298D7" w14:textId="4F597C59" w:rsidR="005A0478" w:rsidRPr="006F3533" w:rsidRDefault="005A0478" w:rsidP="00077D42">
      <w:pPr>
        <w:pStyle w:val="Heading2"/>
        <w:jc w:val="both"/>
        <w:rPr>
          <w:lang w:val="bg-BG"/>
        </w:rPr>
      </w:pPr>
      <w:bookmarkStart w:id="114" w:name="_Toc217888777"/>
      <w:bookmarkStart w:id="115" w:name="_Hlk213846482"/>
      <w:r w:rsidRPr="006F3533">
        <w:rPr>
          <w:lang w:val="bg-BG"/>
        </w:rPr>
        <w:t>Сгради с близко до нулево потребление на енергия (СБНПЕ)</w:t>
      </w:r>
      <w:bookmarkEnd w:id="114"/>
    </w:p>
    <w:p w14:paraId="6F5F775A" w14:textId="5EC24E47" w:rsidR="005A0478" w:rsidRPr="006F3533" w:rsidRDefault="005A0478"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Информацията за сградите с близко до нулево потребление на енергия (СБНПЕ / NZEB) е извлечена от националната база данни за енергийните характеристики на сградите, поддържана от Агенцията за устойчиво енергийно развитие (АУЕР). </w:t>
      </w:r>
    </w:p>
    <w:p w14:paraId="3C729D26" w14:textId="5F41F20D" w:rsidR="005A0478" w:rsidRPr="006F3533" w:rsidRDefault="005A0478"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Данните, представени в таблицата, са актуални към ноември 2025 г. и обхващат всички сгради, за които в базата данни на АУЕР е налична информация, че отговарят на националната дефиниция за СБНПЕ.</w:t>
      </w:r>
    </w:p>
    <w:p w14:paraId="6819D33B" w14:textId="77777777" w:rsidR="005A0478" w:rsidRPr="006F3533" w:rsidRDefault="005A0478"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Националната дефиниция за сграда с близко до нулево потребление на енергия (СБНПЕ) е въведена в българското законодателство и е задължителна за всички нови сгради съгласно действащите нормативни изисквания. От началото на 2024 г. всички нови </w:t>
      </w:r>
      <w:r w:rsidRPr="006F3533">
        <w:rPr>
          <w:rFonts w:eastAsia="Times New Roman" w:cs="Times New Roman"/>
          <w:szCs w:val="24"/>
          <w:lang w:val="bg-BG"/>
        </w:rPr>
        <w:lastRenderedPageBreak/>
        <w:t>сгради, за които се издава разрешение за строеж, следва да отговарят на изискванията за СБНПЕ.</w:t>
      </w:r>
    </w:p>
    <w:p w14:paraId="41C97E7C" w14:textId="77777777" w:rsidR="005A0478" w:rsidRPr="006F3533" w:rsidRDefault="005A0478"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Представените в таблицата данни отразяват само сградите, за които е издаден сертификат за енергийни характеристики, удостоверяващ съответствие с изискванията за СБНПЕ. Към настоящия момент не са налични консолидирани статистически данни, които да позволяват надеждна оценка на общия брой и общата площ на всички новопостроени нежилищни сгради от началото на 2024 г. насам, независимо дали за тях вече е издаден сертификат за енергийни характеристики.</w:t>
      </w:r>
    </w:p>
    <w:p w14:paraId="6A064525" w14:textId="77777777" w:rsidR="005A0478" w:rsidRPr="006F3533" w:rsidRDefault="005A0478"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Поради това данните в таблицата следва да се разглеждат като минимално потвърден обем на сградите, които отговарят на изискванията за СБНПЕ, а не като пълно представяне на всички нови сгради, построени след въвеждането на задължителното изискване.</w:t>
      </w:r>
    </w:p>
    <w:p w14:paraId="07CC6C62" w14:textId="3BEDD6B9" w:rsidR="005A0478" w:rsidRPr="006F3533" w:rsidRDefault="005A0478"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Данните от таблицата показват, че към ноември 2025 г. в националната база данни на АУЕР са регистрирани ограничен брой нежилищни сгради, за които изрично е удостоверено съответствие с националната дефиниция за СБНПЕ. Те включват съществуващи сгради, които са постигнали изискванията за СБНПЕ в резултат на дълбоко енергийно обновяване.</w:t>
      </w:r>
    </w:p>
    <w:p w14:paraId="6EE44814" w14:textId="5303EC7E" w:rsidR="00B262CD" w:rsidRPr="006F3533" w:rsidRDefault="00B262CD" w:rsidP="00077D42">
      <w:pPr>
        <w:pStyle w:val="ListParagraph"/>
        <w:spacing w:line="240" w:lineRule="auto"/>
        <w:ind w:left="0"/>
        <w:jc w:val="both"/>
        <w:rPr>
          <w:rFonts w:cs="Times New Roman"/>
          <w:i/>
          <w:iCs/>
          <w:color w:val="0070C0"/>
          <w:szCs w:val="24"/>
          <w:lang w:val="bg-BG"/>
        </w:rPr>
      </w:pPr>
      <w:r w:rsidRPr="006F3533">
        <w:rPr>
          <w:rFonts w:cs="Times New Roman"/>
          <w:i/>
          <w:iCs/>
          <w:color w:val="0070C0"/>
          <w:szCs w:val="24"/>
          <w:lang w:val="bg-BG"/>
        </w:rPr>
        <w:t>Таблица 3. Брой и площ на сградите съответстващи на националната дефиниция за СБНПЕ</w:t>
      </w:r>
    </w:p>
    <w:tbl>
      <w:tblPr>
        <w:tblStyle w:val="TableGrid"/>
        <w:tblW w:w="5000" w:type="pct"/>
        <w:tblLook w:val="04A0" w:firstRow="1" w:lastRow="0" w:firstColumn="1" w:lastColumn="0" w:noHBand="0" w:noVBand="1"/>
      </w:tblPr>
      <w:tblGrid>
        <w:gridCol w:w="1444"/>
        <w:gridCol w:w="1550"/>
        <w:gridCol w:w="1720"/>
        <w:gridCol w:w="2242"/>
        <w:gridCol w:w="2106"/>
      </w:tblGrid>
      <w:tr w:rsidR="005A0478" w:rsidRPr="006F3533" w14:paraId="33BDACB2" w14:textId="77777777" w:rsidTr="00500C52">
        <w:trPr>
          <w:trHeight w:val="300"/>
        </w:trPr>
        <w:tc>
          <w:tcPr>
            <w:tcW w:w="796" w:type="pct"/>
            <w:shd w:val="clear" w:color="auto" w:fill="D0CECE" w:themeFill="background2" w:themeFillShade="E6"/>
          </w:tcPr>
          <w:p w14:paraId="3DE8D3D0" w14:textId="77777777" w:rsidR="005A0478" w:rsidRPr="006F3533" w:rsidRDefault="005A0478" w:rsidP="00077D42">
            <w:pPr>
              <w:pStyle w:val="ListParagraph"/>
              <w:ind w:left="0"/>
              <w:jc w:val="both"/>
              <w:rPr>
                <w:rFonts w:cs="Times New Roman"/>
                <w:szCs w:val="24"/>
                <w:lang w:val="bg-BG"/>
              </w:rPr>
            </w:pPr>
            <w:bookmarkStart w:id="116" w:name="_Hlk213846513"/>
            <w:r w:rsidRPr="006F3533">
              <w:rPr>
                <w:rFonts w:cs="Times New Roman"/>
                <w:szCs w:val="24"/>
                <w:lang w:val="bg-BG"/>
              </w:rPr>
              <w:t xml:space="preserve">New </w:t>
            </w:r>
            <w:proofErr w:type="spellStart"/>
            <w:r w:rsidRPr="006F3533">
              <w:rPr>
                <w:rFonts w:cs="Times New Roman"/>
                <w:szCs w:val="24"/>
                <w:lang w:val="bg-BG"/>
              </w:rPr>
              <w:t>or</w:t>
            </w:r>
            <w:proofErr w:type="spellEnd"/>
            <w:r w:rsidRPr="006F3533">
              <w:rPr>
                <w:rFonts w:cs="Times New Roman"/>
                <w:szCs w:val="24"/>
                <w:lang w:val="bg-BG"/>
              </w:rPr>
              <w:t xml:space="preserve"> </w:t>
            </w:r>
            <w:proofErr w:type="spellStart"/>
            <w:r w:rsidRPr="006F3533">
              <w:rPr>
                <w:rFonts w:cs="Times New Roman"/>
                <w:szCs w:val="24"/>
                <w:lang w:val="bg-BG"/>
              </w:rPr>
              <w:t>renovated</w:t>
            </w:r>
            <w:proofErr w:type="spellEnd"/>
          </w:p>
          <w:p w14:paraId="2812B372" w14:textId="77777777" w:rsidR="005A0478" w:rsidRPr="006F3533" w:rsidRDefault="005A0478" w:rsidP="00077D42">
            <w:pPr>
              <w:pStyle w:val="ListParagraph"/>
              <w:ind w:left="0"/>
              <w:jc w:val="both"/>
              <w:rPr>
                <w:rFonts w:cs="Times New Roman"/>
                <w:szCs w:val="24"/>
                <w:lang w:val="bg-BG"/>
              </w:rPr>
            </w:pPr>
          </w:p>
        </w:tc>
        <w:tc>
          <w:tcPr>
            <w:tcW w:w="855" w:type="pct"/>
            <w:shd w:val="clear" w:color="auto" w:fill="D0CECE" w:themeFill="background2" w:themeFillShade="E6"/>
          </w:tcPr>
          <w:p w14:paraId="707AF0EE" w14:textId="77777777" w:rsidR="005A0478" w:rsidRPr="006F3533" w:rsidRDefault="005A0478" w:rsidP="00077D42">
            <w:pPr>
              <w:pStyle w:val="ListParagraph"/>
              <w:ind w:left="0"/>
              <w:jc w:val="both"/>
              <w:rPr>
                <w:rFonts w:cs="Times New Roman"/>
                <w:szCs w:val="24"/>
                <w:lang w:val="bg-BG"/>
              </w:rPr>
            </w:pPr>
            <w:proofErr w:type="spellStart"/>
            <w:r w:rsidRPr="006F3533">
              <w:rPr>
                <w:rFonts w:cs="Times New Roman"/>
                <w:szCs w:val="24"/>
                <w:lang w:val="bg-BG"/>
              </w:rPr>
              <w:t>Cumulative</w:t>
            </w:r>
            <w:proofErr w:type="spellEnd"/>
            <w:r w:rsidRPr="006F3533">
              <w:rPr>
                <w:rFonts w:cs="Times New Roman"/>
                <w:szCs w:val="24"/>
                <w:lang w:val="bg-BG"/>
              </w:rPr>
              <w:t xml:space="preserve"> </w:t>
            </w:r>
            <w:proofErr w:type="spellStart"/>
            <w:r w:rsidRPr="006F3533">
              <w:rPr>
                <w:rFonts w:cs="Times New Roman"/>
                <w:szCs w:val="24"/>
                <w:lang w:val="bg-BG"/>
              </w:rPr>
              <w:t>number</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NZEB </w:t>
            </w:r>
            <w:proofErr w:type="spellStart"/>
            <w:r w:rsidRPr="006F3533">
              <w:rPr>
                <w:rFonts w:cs="Times New Roman"/>
                <w:szCs w:val="24"/>
                <w:lang w:val="bg-BG"/>
              </w:rPr>
              <w:t>in</w:t>
            </w:r>
            <w:proofErr w:type="spellEnd"/>
          </w:p>
          <w:p w14:paraId="3779D678" w14:textId="77777777" w:rsidR="005A0478" w:rsidRPr="006F3533" w:rsidRDefault="005A0478" w:rsidP="00077D42">
            <w:pPr>
              <w:pStyle w:val="ListParagraph"/>
              <w:ind w:left="0"/>
              <w:jc w:val="both"/>
              <w:rPr>
                <w:rFonts w:cs="Times New Roman"/>
                <w:szCs w:val="24"/>
                <w:lang w:val="bg-BG"/>
              </w:rPr>
            </w:pPr>
            <w:proofErr w:type="spellStart"/>
            <w:r w:rsidRPr="006F3533">
              <w:rPr>
                <w:rFonts w:cs="Times New Roman"/>
                <w:szCs w:val="24"/>
                <w:lang w:val="bg-BG"/>
              </w:rPr>
              <w:t>Year</w:t>
            </w:r>
            <w:proofErr w:type="spellEnd"/>
            <w:r w:rsidRPr="006F3533">
              <w:rPr>
                <w:rFonts w:cs="Times New Roman"/>
                <w:szCs w:val="24"/>
                <w:lang w:val="bg-BG"/>
              </w:rPr>
              <w:t xml:space="preserve"> 2025</w:t>
            </w:r>
          </w:p>
        </w:tc>
        <w:tc>
          <w:tcPr>
            <w:tcW w:w="949" w:type="pct"/>
            <w:shd w:val="clear" w:color="auto" w:fill="D0CECE" w:themeFill="background2" w:themeFillShade="E6"/>
          </w:tcPr>
          <w:p w14:paraId="582584BF" w14:textId="77777777" w:rsidR="005A0478" w:rsidRPr="006F3533" w:rsidRDefault="005A0478" w:rsidP="00077D42">
            <w:pPr>
              <w:pStyle w:val="ListParagraph"/>
              <w:ind w:left="0"/>
              <w:jc w:val="both"/>
              <w:rPr>
                <w:rFonts w:cs="Times New Roman"/>
                <w:szCs w:val="24"/>
                <w:lang w:val="bg-BG"/>
              </w:rPr>
            </w:pPr>
            <w:proofErr w:type="spellStart"/>
            <w:r w:rsidRPr="006F3533">
              <w:rPr>
                <w:rFonts w:cs="Times New Roman"/>
                <w:szCs w:val="24"/>
                <w:lang w:val="bg-BG"/>
              </w:rPr>
              <w:t>Cumulative</w:t>
            </w:r>
            <w:proofErr w:type="spellEnd"/>
            <w:r w:rsidRPr="006F3533">
              <w:rPr>
                <w:rFonts w:cs="Times New Roman"/>
                <w:szCs w:val="24"/>
                <w:lang w:val="bg-BG"/>
              </w:rPr>
              <w:t xml:space="preserve"> </w:t>
            </w:r>
            <w:proofErr w:type="spellStart"/>
            <w:r w:rsidRPr="006F3533">
              <w:rPr>
                <w:rFonts w:cs="Times New Roman"/>
                <w:szCs w:val="24"/>
                <w:lang w:val="bg-BG"/>
              </w:rPr>
              <w:t>floor</w:t>
            </w:r>
            <w:proofErr w:type="spellEnd"/>
            <w:r w:rsidRPr="006F3533">
              <w:rPr>
                <w:rFonts w:cs="Times New Roman"/>
                <w:szCs w:val="24"/>
                <w:lang w:val="bg-BG"/>
              </w:rPr>
              <w:t xml:space="preserve"> </w:t>
            </w:r>
            <w:proofErr w:type="spellStart"/>
            <w:r w:rsidRPr="006F3533">
              <w:rPr>
                <w:rFonts w:cs="Times New Roman"/>
                <w:szCs w:val="24"/>
                <w:lang w:val="bg-BG"/>
              </w:rPr>
              <w:t>area</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NZEB </w:t>
            </w:r>
            <w:proofErr w:type="spellStart"/>
            <w:r w:rsidRPr="006F3533">
              <w:rPr>
                <w:rFonts w:cs="Times New Roman"/>
                <w:szCs w:val="24"/>
                <w:lang w:val="bg-BG"/>
              </w:rPr>
              <w:t>in</w:t>
            </w:r>
            <w:proofErr w:type="spellEnd"/>
            <w:r w:rsidRPr="006F3533">
              <w:rPr>
                <w:rFonts w:cs="Times New Roman"/>
                <w:szCs w:val="24"/>
                <w:lang w:val="bg-BG"/>
              </w:rPr>
              <w:t xml:space="preserve"> </w:t>
            </w:r>
          </w:p>
          <w:p w14:paraId="32627458" w14:textId="77777777" w:rsidR="005A0478" w:rsidRPr="006F3533" w:rsidRDefault="005A0478" w:rsidP="00077D42">
            <w:pPr>
              <w:pStyle w:val="ListParagraph"/>
              <w:ind w:left="0"/>
              <w:jc w:val="both"/>
              <w:rPr>
                <w:rFonts w:cs="Times New Roman"/>
                <w:szCs w:val="24"/>
                <w:lang w:val="bg-BG"/>
              </w:rPr>
            </w:pPr>
            <w:proofErr w:type="spellStart"/>
            <w:r w:rsidRPr="006F3533">
              <w:rPr>
                <w:rFonts w:cs="Times New Roman"/>
                <w:szCs w:val="24"/>
                <w:lang w:val="bg-BG"/>
              </w:rPr>
              <w:t>Year</w:t>
            </w:r>
            <w:proofErr w:type="spellEnd"/>
            <w:r w:rsidRPr="006F3533">
              <w:rPr>
                <w:rFonts w:cs="Times New Roman"/>
                <w:szCs w:val="24"/>
                <w:lang w:val="bg-BG"/>
              </w:rPr>
              <w:t xml:space="preserve"> 2025</w:t>
            </w:r>
          </w:p>
          <w:p w14:paraId="06162F76"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(m²)</w:t>
            </w:r>
          </w:p>
        </w:tc>
        <w:tc>
          <w:tcPr>
            <w:tcW w:w="1237" w:type="pct"/>
            <w:shd w:val="clear" w:color="auto" w:fill="D0CECE" w:themeFill="background2" w:themeFillShade="E6"/>
          </w:tcPr>
          <w:p w14:paraId="1C276D07" w14:textId="77777777" w:rsidR="005A0478" w:rsidRPr="006F3533" w:rsidRDefault="005A0478" w:rsidP="00077D42">
            <w:pPr>
              <w:jc w:val="both"/>
              <w:rPr>
                <w:rFonts w:cs="Times New Roman"/>
                <w:szCs w:val="24"/>
                <w:lang w:val="bg-BG"/>
              </w:rPr>
            </w:pPr>
            <w:proofErr w:type="spellStart"/>
            <w:r w:rsidRPr="006F3533">
              <w:rPr>
                <w:rFonts w:cs="Times New Roman"/>
                <w:szCs w:val="24"/>
                <w:lang w:val="bg-BG"/>
              </w:rPr>
              <w:t>Cumulative</w:t>
            </w:r>
            <w:proofErr w:type="spellEnd"/>
            <w:r w:rsidRPr="006F3533">
              <w:rPr>
                <w:rFonts w:cs="Times New Roman"/>
                <w:szCs w:val="24"/>
                <w:lang w:val="bg-BG"/>
              </w:rPr>
              <w:t xml:space="preserve"> </w:t>
            </w:r>
            <w:proofErr w:type="spellStart"/>
            <w:r w:rsidRPr="006F3533">
              <w:rPr>
                <w:rFonts w:cs="Times New Roman"/>
                <w:szCs w:val="24"/>
                <w:lang w:val="bg-BG"/>
              </w:rPr>
              <w:t>number</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ZEB </w:t>
            </w:r>
            <w:proofErr w:type="spellStart"/>
            <w:r w:rsidRPr="006F3533">
              <w:rPr>
                <w:rFonts w:cs="Times New Roman"/>
                <w:szCs w:val="24"/>
                <w:lang w:val="bg-BG"/>
              </w:rPr>
              <w:t>in</w:t>
            </w:r>
            <w:proofErr w:type="spellEnd"/>
          </w:p>
          <w:p w14:paraId="2F8E70FF" w14:textId="77777777" w:rsidR="005A0478" w:rsidRPr="006F3533" w:rsidRDefault="005A0478" w:rsidP="00077D42">
            <w:pPr>
              <w:jc w:val="both"/>
              <w:rPr>
                <w:rFonts w:cs="Times New Roman"/>
                <w:szCs w:val="24"/>
                <w:lang w:val="bg-BG"/>
              </w:rPr>
            </w:pPr>
            <w:proofErr w:type="spellStart"/>
            <w:r w:rsidRPr="006F3533">
              <w:rPr>
                <w:rFonts w:cs="Times New Roman"/>
                <w:szCs w:val="24"/>
                <w:lang w:val="bg-BG"/>
              </w:rPr>
              <w:t>Year</w:t>
            </w:r>
            <w:proofErr w:type="spellEnd"/>
            <w:r w:rsidRPr="006F3533">
              <w:rPr>
                <w:rFonts w:cs="Times New Roman"/>
                <w:szCs w:val="24"/>
                <w:lang w:val="bg-BG"/>
              </w:rPr>
              <w:t xml:space="preserve"> 2025</w:t>
            </w:r>
          </w:p>
          <w:p w14:paraId="0691BD1C"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applicable</w:t>
            </w:r>
            <w:proofErr w:type="spellEnd"/>
            <w:r w:rsidRPr="006F3533">
              <w:rPr>
                <w:rFonts w:cs="Times New Roman"/>
                <w:szCs w:val="24"/>
                <w:lang w:val="bg-BG"/>
              </w:rPr>
              <w:t xml:space="preserve"> </w:t>
            </w:r>
            <w:proofErr w:type="spellStart"/>
            <w:r w:rsidRPr="006F3533">
              <w:rPr>
                <w:rFonts w:cs="Times New Roman"/>
                <w:szCs w:val="24"/>
                <w:lang w:val="bg-BG"/>
              </w:rPr>
              <w:t>from</w:t>
            </w:r>
            <w:proofErr w:type="spellEnd"/>
            <w:r w:rsidRPr="006F3533">
              <w:rPr>
                <w:rFonts w:cs="Times New Roman"/>
                <w:szCs w:val="24"/>
                <w:lang w:val="bg-BG"/>
              </w:rPr>
              <w:t xml:space="preserve"> 2030 </w:t>
            </w:r>
            <w:proofErr w:type="spellStart"/>
            <w:r w:rsidRPr="006F3533">
              <w:rPr>
                <w:rFonts w:cs="Times New Roman"/>
                <w:szCs w:val="24"/>
                <w:lang w:val="bg-BG"/>
              </w:rPr>
              <w:t>onwards</w:t>
            </w:r>
            <w:proofErr w:type="spellEnd"/>
            <w:r w:rsidRPr="006F3533">
              <w:rPr>
                <w:rFonts w:cs="Times New Roman"/>
                <w:szCs w:val="24"/>
                <w:lang w:val="bg-BG"/>
              </w:rPr>
              <w:t>)</w:t>
            </w:r>
          </w:p>
        </w:tc>
        <w:tc>
          <w:tcPr>
            <w:tcW w:w="1162" w:type="pct"/>
            <w:shd w:val="clear" w:color="auto" w:fill="D0CECE" w:themeFill="background2" w:themeFillShade="E6"/>
          </w:tcPr>
          <w:p w14:paraId="20107FD0" w14:textId="77777777" w:rsidR="005A0478" w:rsidRPr="006F3533" w:rsidRDefault="005A0478" w:rsidP="00077D42">
            <w:pPr>
              <w:jc w:val="both"/>
              <w:rPr>
                <w:rFonts w:cs="Times New Roman"/>
                <w:szCs w:val="24"/>
                <w:lang w:val="bg-BG"/>
              </w:rPr>
            </w:pPr>
            <w:proofErr w:type="spellStart"/>
            <w:r w:rsidRPr="006F3533">
              <w:rPr>
                <w:rFonts w:cs="Times New Roman"/>
                <w:szCs w:val="24"/>
                <w:lang w:val="bg-BG"/>
              </w:rPr>
              <w:t>Cumulative</w:t>
            </w:r>
            <w:proofErr w:type="spellEnd"/>
            <w:r w:rsidRPr="006F3533">
              <w:rPr>
                <w:rFonts w:cs="Times New Roman"/>
                <w:szCs w:val="24"/>
                <w:lang w:val="bg-BG"/>
              </w:rPr>
              <w:t xml:space="preserve"> </w:t>
            </w:r>
            <w:proofErr w:type="spellStart"/>
            <w:r w:rsidRPr="006F3533">
              <w:rPr>
                <w:rFonts w:cs="Times New Roman"/>
                <w:szCs w:val="24"/>
                <w:lang w:val="bg-BG"/>
              </w:rPr>
              <w:t>floor</w:t>
            </w:r>
            <w:proofErr w:type="spellEnd"/>
            <w:r w:rsidRPr="006F3533">
              <w:rPr>
                <w:rFonts w:cs="Times New Roman"/>
                <w:szCs w:val="24"/>
                <w:lang w:val="bg-BG"/>
              </w:rPr>
              <w:t xml:space="preserve"> </w:t>
            </w:r>
            <w:proofErr w:type="spellStart"/>
            <w:r w:rsidRPr="006F3533">
              <w:rPr>
                <w:rFonts w:cs="Times New Roman"/>
                <w:szCs w:val="24"/>
                <w:lang w:val="bg-BG"/>
              </w:rPr>
              <w:t>area</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ZEB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 </w:t>
            </w:r>
          </w:p>
          <w:p w14:paraId="34042196" w14:textId="77777777" w:rsidR="005A0478" w:rsidRPr="006F3533" w:rsidRDefault="005A0478" w:rsidP="00077D42">
            <w:pPr>
              <w:jc w:val="both"/>
              <w:rPr>
                <w:rFonts w:cs="Times New Roman"/>
                <w:szCs w:val="24"/>
                <w:lang w:val="bg-BG"/>
              </w:rPr>
            </w:pPr>
            <w:r w:rsidRPr="006F3533">
              <w:rPr>
                <w:rFonts w:cs="Times New Roman"/>
                <w:szCs w:val="24"/>
                <w:lang w:val="bg-BG"/>
              </w:rPr>
              <w:t>(m²)</w:t>
            </w:r>
          </w:p>
          <w:p w14:paraId="1D8934DC"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applicable</w:t>
            </w:r>
            <w:proofErr w:type="spellEnd"/>
            <w:r w:rsidRPr="006F3533">
              <w:rPr>
                <w:rFonts w:cs="Times New Roman"/>
                <w:szCs w:val="24"/>
                <w:lang w:val="bg-BG"/>
              </w:rPr>
              <w:t xml:space="preserve"> </w:t>
            </w:r>
            <w:proofErr w:type="spellStart"/>
            <w:r w:rsidRPr="006F3533">
              <w:rPr>
                <w:rFonts w:cs="Times New Roman"/>
                <w:szCs w:val="24"/>
                <w:lang w:val="bg-BG"/>
              </w:rPr>
              <w:t>from</w:t>
            </w:r>
            <w:proofErr w:type="spellEnd"/>
            <w:r w:rsidRPr="006F3533">
              <w:rPr>
                <w:rFonts w:cs="Times New Roman"/>
                <w:szCs w:val="24"/>
                <w:lang w:val="bg-BG"/>
              </w:rPr>
              <w:t xml:space="preserve"> 2030 </w:t>
            </w:r>
            <w:proofErr w:type="spellStart"/>
            <w:r w:rsidRPr="006F3533">
              <w:rPr>
                <w:rFonts w:cs="Times New Roman"/>
                <w:szCs w:val="24"/>
                <w:lang w:val="bg-BG"/>
              </w:rPr>
              <w:t>onwards</w:t>
            </w:r>
            <w:proofErr w:type="spellEnd"/>
            <w:r w:rsidRPr="006F3533">
              <w:rPr>
                <w:rFonts w:cs="Times New Roman"/>
                <w:szCs w:val="24"/>
                <w:lang w:val="bg-BG"/>
              </w:rPr>
              <w:t>)</w:t>
            </w:r>
          </w:p>
        </w:tc>
      </w:tr>
      <w:tr w:rsidR="005A0478" w:rsidRPr="006F3533" w14:paraId="028E256B" w14:textId="77777777" w:rsidTr="00500C52">
        <w:trPr>
          <w:trHeight w:val="300"/>
        </w:trPr>
        <w:tc>
          <w:tcPr>
            <w:tcW w:w="796" w:type="pct"/>
          </w:tcPr>
          <w:p w14:paraId="0E96FB2A"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New</w:t>
            </w:r>
          </w:p>
        </w:tc>
        <w:tc>
          <w:tcPr>
            <w:tcW w:w="855" w:type="pct"/>
          </w:tcPr>
          <w:p w14:paraId="512E2D35" w14:textId="635058D9" w:rsidR="005A0478" w:rsidRPr="006F3533" w:rsidRDefault="00666D10" w:rsidP="00077D42">
            <w:pPr>
              <w:pStyle w:val="ListParagraph"/>
              <w:ind w:left="0"/>
              <w:jc w:val="both"/>
              <w:rPr>
                <w:rFonts w:cs="Times New Roman"/>
                <w:szCs w:val="24"/>
                <w:lang w:val="bg-BG"/>
              </w:rPr>
            </w:pPr>
            <w:proofErr w:type="spellStart"/>
            <w:r w:rsidRPr="006F3533">
              <w:rPr>
                <w:rFonts w:cs="Times New Roman"/>
                <w:szCs w:val="24"/>
                <w:lang w:val="bg-BG"/>
              </w:rPr>
              <w:t>n.a</w:t>
            </w:r>
            <w:proofErr w:type="spellEnd"/>
          </w:p>
        </w:tc>
        <w:tc>
          <w:tcPr>
            <w:tcW w:w="949" w:type="pct"/>
          </w:tcPr>
          <w:p w14:paraId="738937DF" w14:textId="4D67FB3F" w:rsidR="005A0478" w:rsidRPr="006F3533" w:rsidRDefault="00666D10" w:rsidP="00077D42">
            <w:pPr>
              <w:pStyle w:val="ListParagraph"/>
              <w:ind w:left="0"/>
              <w:jc w:val="both"/>
              <w:rPr>
                <w:rFonts w:cs="Times New Roman"/>
                <w:szCs w:val="24"/>
                <w:lang w:val="bg-BG"/>
              </w:rPr>
            </w:pPr>
            <w:proofErr w:type="spellStart"/>
            <w:r w:rsidRPr="006F3533">
              <w:rPr>
                <w:rFonts w:cs="Times New Roman"/>
                <w:szCs w:val="24"/>
                <w:lang w:val="bg-BG"/>
              </w:rPr>
              <w:t>n.a</w:t>
            </w:r>
            <w:proofErr w:type="spellEnd"/>
          </w:p>
        </w:tc>
        <w:tc>
          <w:tcPr>
            <w:tcW w:w="1237" w:type="pct"/>
          </w:tcPr>
          <w:p w14:paraId="72315C3F"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0</w:t>
            </w:r>
          </w:p>
        </w:tc>
        <w:tc>
          <w:tcPr>
            <w:tcW w:w="1162" w:type="pct"/>
          </w:tcPr>
          <w:p w14:paraId="6AACCF00"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0</w:t>
            </w:r>
          </w:p>
        </w:tc>
      </w:tr>
      <w:tr w:rsidR="005A0478" w:rsidRPr="006F3533" w14:paraId="5F05691A" w14:textId="77777777" w:rsidTr="00500C52">
        <w:trPr>
          <w:trHeight w:val="300"/>
        </w:trPr>
        <w:tc>
          <w:tcPr>
            <w:tcW w:w="796" w:type="pct"/>
          </w:tcPr>
          <w:p w14:paraId="223E3B5C" w14:textId="77777777" w:rsidR="005A0478" w:rsidRPr="006F3533" w:rsidRDefault="005A0478" w:rsidP="00077D42">
            <w:pPr>
              <w:pStyle w:val="ListParagraph"/>
              <w:ind w:left="0"/>
              <w:jc w:val="both"/>
              <w:rPr>
                <w:rFonts w:cs="Times New Roman"/>
                <w:szCs w:val="24"/>
                <w:lang w:val="bg-BG"/>
              </w:rPr>
            </w:pPr>
            <w:proofErr w:type="spellStart"/>
            <w:r w:rsidRPr="006F3533">
              <w:rPr>
                <w:rFonts w:cs="Times New Roman"/>
                <w:szCs w:val="24"/>
                <w:lang w:val="bg-BG"/>
              </w:rPr>
              <w:t>Renovated</w:t>
            </w:r>
            <w:proofErr w:type="spellEnd"/>
            <w:r w:rsidRPr="006F3533">
              <w:rPr>
                <w:rFonts w:cs="Times New Roman"/>
                <w:szCs w:val="24"/>
                <w:lang w:val="bg-BG"/>
              </w:rPr>
              <w:t xml:space="preserve"> </w:t>
            </w:r>
          </w:p>
          <w:p w14:paraId="487808D2"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if</w:t>
            </w:r>
            <w:proofErr w:type="spellEnd"/>
            <w:r w:rsidRPr="006F3533">
              <w:rPr>
                <w:rFonts w:cs="Times New Roman"/>
                <w:szCs w:val="24"/>
                <w:lang w:val="bg-BG"/>
              </w:rPr>
              <w:t xml:space="preserve"> </w:t>
            </w:r>
            <w:proofErr w:type="spellStart"/>
            <w:r w:rsidRPr="006F3533">
              <w:rPr>
                <w:rFonts w:cs="Times New Roman"/>
                <w:szCs w:val="24"/>
                <w:lang w:val="bg-BG"/>
              </w:rPr>
              <w:t>any</w:t>
            </w:r>
            <w:proofErr w:type="spellEnd"/>
            <w:r w:rsidRPr="006F3533">
              <w:rPr>
                <w:rFonts w:cs="Times New Roman"/>
                <w:szCs w:val="24"/>
                <w:lang w:val="bg-BG"/>
              </w:rPr>
              <w:t>)</w:t>
            </w:r>
          </w:p>
        </w:tc>
        <w:tc>
          <w:tcPr>
            <w:tcW w:w="855" w:type="pct"/>
          </w:tcPr>
          <w:p w14:paraId="3FF74D4F"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44</w:t>
            </w:r>
          </w:p>
        </w:tc>
        <w:tc>
          <w:tcPr>
            <w:tcW w:w="949" w:type="pct"/>
          </w:tcPr>
          <w:p w14:paraId="0D5DB48E"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86 674</w:t>
            </w:r>
          </w:p>
        </w:tc>
        <w:tc>
          <w:tcPr>
            <w:tcW w:w="1237" w:type="pct"/>
          </w:tcPr>
          <w:p w14:paraId="5EE471CB"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0</w:t>
            </w:r>
          </w:p>
        </w:tc>
        <w:tc>
          <w:tcPr>
            <w:tcW w:w="1162" w:type="pct"/>
          </w:tcPr>
          <w:p w14:paraId="7CEE5A26"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0</w:t>
            </w:r>
          </w:p>
        </w:tc>
      </w:tr>
      <w:tr w:rsidR="005A0478" w:rsidRPr="006F3533" w14:paraId="62275A41" w14:textId="77777777" w:rsidTr="00500C52">
        <w:trPr>
          <w:trHeight w:val="300"/>
        </w:trPr>
        <w:tc>
          <w:tcPr>
            <w:tcW w:w="796" w:type="pct"/>
          </w:tcPr>
          <w:p w14:paraId="6D9DE9AD" w14:textId="77777777" w:rsidR="005A0478" w:rsidRPr="006F3533" w:rsidRDefault="005A0478" w:rsidP="00077D42">
            <w:pPr>
              <w:pStyle w:val="ListParagraph"/>
              <w:ind w:left="0"/>
              <w:jc w:val="both"/>
              <w:rPr>
                <w:rFonts w:cs="Times New Roman"/>
                <w:szCs w:val="24"/>
                <w:lang w:val="bg-BG"/>
              </w:rPr>
            </w:pPr>
            <w:r w:rsidRPr="006F3533">
              <w:rPr>
                <w:rFonts w:cs="Times New Roman"/>
                <w:szCs w:val="24"/>
                <w:lang w:val="bg-BG"/>
              </w:rPr>
              <w:t>Total</w:t>
            </w:r>
          </w:p>
        </w:tc>
        <w:tc>
          <w:tcPr>
            <w:tcW w:w="855" w:type="pct"/>
          </w:tcPr>
          <w:p w14:paraId="5E1A8CE1" w14:textId="77777777" w:rsidR="005A0478" w:rsidRPr="006F3533" w:rsidRDefault="005A0478" w:rsidP="00077D42">
            <w:pPr>
              <w:pStyle w:val="ListParagraph"/>
              <w:ind w:left="0"/>
              <w:jc w:val="both"/>
              <w:rPr>
                <w:rFonts w:cs="Times New Roman"/>
                <w:color w:val="0070C0"/>
                <w:szCs w:val="24"/>
                <w:lang w:val="bg-BG"/>
              </w:rPr>
            </w:pPr>
            <w:r w:rsidRPr="006F3533">
              <w:rPr>
                <w:rFonts w:cs="Times New Roman"/>
                <w:color w:val="0070C0"/>
                <w:szCs w:val="24"/>
                <w:lang w:val="bg-BG"/>
              </w:rPr>
              <w:t>44</w:t>
            </w:r>
          </w:p>
        </w:tc>
        <w:tc>
          <w:tcPr>
            <w:tcW w:w="949" w:type="pct"/>
          </w:tcPr>
          <w:p w14:paraId="3B9B7778" w14:textId="77777777" w:rsidR="005A0478" w:rsidRPr="006F3533" w:rsidRDefault="005A0478" w:rsidP="00077D42">
            <w:pPr>
              <w:pStyle w:val="ListParagraph"/>
              <w:ind w:left="0"/>
              <w:jc w:val="both"/>
              <w:rPr>
                <w:rFonts w:cs="Times New Roman"/>
                <w:color w:val="0070C0"/>
                <w:szCs w:val="24"/>
                <w:lang w:val="bg-BG"/>
              </w:rPr>
            </w:pPr>
            <w:r w:rsidRPr="006F3533">
              <w:rPr>
                <w:rFonts w:cs="Times New Roman"/>
                <w:color w:val="0070C0"/>
                <w:szCs w:val="24"/>
                <w:lang w:val="bg-BG"/>
              </w:rPr>
              <w:t>86 674</w:t>
            </w:r>
          </w:p>
        </w:tc>
        <w:tc>
          <w:tcPr>
            <w:tcW w:w="1237" w:type="pct"/>
          </w:tcPr>
          <w:p w14:paraId="5643075E" w14:textId="77777777" w:rsidR="005A0478" w:rsidRPr="006F3533" w:rsidRDefault="005A0478" w:rsidP="00077D42">
            <w:pPr>
              <w:pStyle w:val="ListParagraph"/>
              <w:ind w:left="0"/>
              <w:jc w:val="both"/>
              <w:rPr>
                <w:rFonts w:cs="Times New Roman"/>
                <w:color w:val="0070C0"/>
                <w:szCs w:val="24"/>
                <w:lang w:val="bg-BG"/>
              </w:rPr>
            </w:pPr>
            <w:r w:rsidRPr="006F3533">
              <w:rPr>
                <w:rFonts w:cs="Times New Roman"/>
                <w:color w:val="0070C0"/>
                <w:szCs w:val="24"/>
                <w:lang w:val="bg-BG"/>
              </w:rPr>
              <w:t>0</w:t>
            </w:r>
          </w:p>
        </w:tc>
        <w:tc>
          <w:tcPr>
            <w:tcW w:w="1162" w:type="pct"/>
          </w:tcPr>
          <w:p w14:paraId="647E73A5" w14:textId="77777777" w:rsidR="005A0478" w:rsidRPr="006F3533" w:rsidRDefault="005A0478" w:rsidP="00077D42">
            <w:pPr>
              <w:pStyle w:val="ListParagraph"/>
              <w:ind w:left="0"/>
              <w:jc w:val="both"/>
              <w:rPr>
                <w:rFonts w:cs="Times New Roman"/>
                <w:color w:val="0070C0"/>
                <w:szCs w:val="24"/>
                <w:lang w:val="bg-BG"/>
              </w:rPr>
            </w:pPr>
            <w:r w:rsidRPr="006F3533">
              <w:rPr>
                <w:rFonts w:cs="Times New Roman"/>
                <w:color w:val="0070C0"/>
                <w:szCs w:val="24"/>
                <w:lang w:val="bg-BG"/>
              </w:rPr>
              <w:t>0</w:t>
            </w:r>
          </w:p>
        </w:tc>
      </w:tr>
    </w:tbl>
    <w:bookmarkEnd w:id="116"/>
    <w:p w14:paraId="48669809" w14:textId="7FEFCB03" w:rsidR="005A0478" w:rsidRPr="006F3533" w:rsidRDefault="005A0478"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Относително малкият брой и обща площ на отчетените СБНПЕ отражение на ограничения обхват на наличните сертификационни данни и на факта, че процесът на въвеждане на новите изисквания за СБНПЕ за нови сгради е сравнително скорошен.</w:t>
      </w:r>
    </w:p>
    <w:p w14:paraId="22E36019" w14:textId="77777777" w:rsidR="005A0478" w:rsidRPr="006F3533" w:rsidRDefault="005A0478"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Очаква се в следващите години, с натрупването на данни за новопостроени сгради и с актуализирането на сертификатите за енергийни характеристики, делът на сградите с близко до нулево потребление на енергия да нараства значително, което ще позволи по-пълна и надеждна оценка на този сегмент от нежилищния сграден фонд в бъдещите актуализации на плана.</w:t>
      </w:r>
    </w:p>
    <w:p w14:paraId="5A1D9B3E" w14:textId="53826287" w:rsidR="005F6B50" w:rsidRPr="006F3533" w:rsidRDefault="005F6B50" w:rsidP="00077D42">
      <w:pPr>
        <w:pStyle w:val="Heading2"/>
        <w:jc w:val="both"/>
        <w:rPr>
          <w:lang w:val="bg-BG"/>
        </w:rPr>
      </w:pPr>
      <w:bookmarkStart w:id="117" w:name="_Toc217888778"/>
      <w:bookmarkEnd w:id="115"/>
      <w:r w:rsidRPr="006F3533">
        <w:rPr>
          <w:lang w:val="bg-BG"/>
        </w:rPr>
        <w:t>Сгради с най-лоши енергийни характеристики (включително дефиниция)</w:t>
      </w:r>
      <w:bookmarkEnd w:id="117"/>
    </w:p>
    <w:p w14:paraId="00506440" w14:textId="4C0AB7DF" w:rsidR="005F6B50" w:rsidRPr="006F3533" w:rsidRDefault="005F6B50"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lastRenderedPageBreak/>
        <w:t xml:space="preserve">За целите на настоящия план „сгради с най-лоши енергийни характеристики“ се определят като онзи </w:t>
      </w:r>
      <w:r w:rsidRPr="006F3533">
        <w:rPr>
          <w:rFonts w:eastAsia="Times New Roman" w:cs="Times New Roman"/>
          <w:b/>
          <w:bCs/>
          <w:szCs w:val="24"/>
          <w:lang w:val="bg-BG"/>
        </w:rPr>
        <w:t>сегмент от нежилищния сграден фонд, който попада в най-ниските нива на енергийни характеристики, определени въз основа на приетия национален подход за минимални стандарти за енергийни характеристики (МСЕХ) съгласно член 9 от Директива (ЕС) 2024/1275</w:t>
      </w:r>
      <w:r w:rsidRPr="006F3533">
        <w:rPr>
          <w:rFonts w:eastAsia="Times New Roman" w:cs="Times New Roman"/>
          <w:szCs w:val="24"/>
          <w:lang w:val="bg-BG"/>
        </w:rPr>
        <w:t>.</w:t>
      </w:r>
    </w:p>
    <w:p w14:paraId="27229B48" w14:textId="3D77DBB7" w:rsidR="005F6B50" w:rsidRPr="006F3533" w:rsidRDefault="005F6B50"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Тази дефиниция се използва единствено за идентифициране и количествено позициониране на най-неефективната част от нежилищния сграден фонд в рамките на настоящия план. Подробното описание на използвания индикатор, методологията за класиране на сградите и определянето на праговете за МСЕХ е представено в Раздел </w:t>
      </w:r>
      <w:r w:rsidR="00DF0BE9" w:rsidRPr="006F3533">
        <w:rPr>
          <w:rFonts w:eastAsia="Times New Roman" w:cs="Times New Roman"/>
          <w:szCs w:val="24"/>
          <w:lang w:val="bg-BG"/>
        </w:rPr>
        <w:t>„</w:t>
      </w:r>
      <w:r w:rsidRPr="006F3533">
        <w:rPr>
          <w:rFonts w:eastAsia="Times New Roman" w:cs="Times New Roman"/>
          <w:szCs w:val="24"/>
          <w:lang w:val="bg-BG"/>
        </w:rPr>
        <w:t>Минимални стандарти за енергийни характеристики за нежилищни сгради</w:t>
      </w:r>
      <w:r w:rsidR="00DF0BE9" w:rsidRPr="006F3533">
        <w:rPr>
          <w:rFonts w:eastAsia="Times New Roman" w:cs="Times New Roman"/>
          <w:szCs w:val="24"/>
          <w:lang w:val="bg-BG"/>
        </w:rPr>
        <w:t>“.</w:t>
      </w:r>
    </w:p>
    <w:p w14:paraId="5D518654" w14:textId="4BD95AE7" w:rsidR="005F6B50" w:rsidRPr="006F3533" w:rsidRDefault="005F6B50"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В съответствие с изискванията на </w:t>
      </w:r>
      <w:r w:rsidR="000F16D5" w:rsidRPr="006F3533">
        <w:rPr>
          <w:rFonts w:eastAsia="Times New Roman" w:cs="Times New Roman"/>
          <w:szCs w:val="24"/>
          <w:lang w:val="bg-BG"/>
        </w:rPr>
        <w:t>образеца</w:t>
      </w:r>
      <w:r w:rsidRPr="006F3533">
        <w:rPr>
          <w:rFonts w:eastAsia="Times New Roman" w:cs="Times New Roman"/>
          <w:szCs w:val="24"/>
          <w:lang w:val="bg-BG"/>
        </w:rPr>
        <w:t>, таблицата в настоящата подточка представя количествена оценка на сградите с най-лоши енергийни характеристики като дял от общия нежилищен сграден фонд в България.</w:t>
      </w:r>
    </w:p>
    <w:p w14:paraId="1B9B2327" w14:textId="77777777" w:rsidR="005F6B50" w:rsidRPr="006F3533" w:rsidRDefault="005F6B50"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Оценката е извършена спрямо общия брой и общата разгъната застроена площ на нежилищните сгради, представени в обобщената таблица за сградния фонд, като са използвани:</w:t>
      </w:r>
    </w:p>
    <w:p w14:paraId="29A05275" w14:textId="77777777" w:rsidR="005F6B50" w:rsidRPr="006F3533" w:rsidRDefault="005F6B50">
      <w:pPr>
        <w:numPr>
          <w:ilvl w:val="0"/>
          <w:numId w:val="7"/>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базовата година 2020, представена чрез данни, актуални към края на 2019 г.; и</w:t>
      </w:r>
    </w:p>
    <w:p w14:paraId="06880A54" w14:textId="77777777" w:rsidR="005F6B50" w:rsidRPr="006F3533" w:rsidRDefault="005F6B50">
      <w:pPr>
        <w:numPr>
          <w:ilvl w:val="0"/>
          <w:numId w:val="7"/>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референтната година X-2, за която са използвани данни, актуални към ноември 2025 г.</w:t>
      </w:r>
    </w:p>
    <w:p w14:paraId="3139F35A" w14:textId="0AE4AAB7" w:rsidR="000244E9" w:rsidRPr="006F3533" w:rsidRDefault="005F6B50"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Количествата сградите с най-лоши енергийни характеристики са определени като пропорционален дял от общия сграден фонд, в съответствие с приложимите разпоредби на член 9 от Директивата, с цел осигуряване на съпоставимост и </w:t>
      </w:r>
      <w:proofErr w:type="spellStart"/>
      <w:r w:rsidRPr="006F3533">
        <w:rPr>
          <w:rFonts w:eastAsia="Times New Roman" w:cs="Times New Roman"/>
          <w:szCs w:val="24"/>
          <w:lang w:val="bg-BG"/>
        </w:rPr>
        <w:t>консистентност</w:t>
      </w:r>
      <w:proofErr w:type="spellEnd"/>
      <w:r w:rsidRPr="006F3533">
        <w:rPr>
          <w:rFonts w:eastAsia="Times New Roman" w:cs="Times New Roman"/>
          <w:szCs w:val="24"/>
          <w:lang w:val="bg-BG"/>
        </w:rPr>
        <w:t xml:space="preserve"> на анализа на национално ниво.</w:t>
      </w:r>
      <w:r w:rsidR="000244E9" w:rsidRPr="006F3533">
        <w:rPr>
          <w:rFonts w:eastAsia="Times New Roman" w:cs="Times New Roman"/>
          <w:szCs w:val="24"/>
          <w:lang w:val="bg-BG"/>
        </w:rPr>
        <w:t xml:space="preserve"> Тъй като изискването на чл. 9 на изменената ДЕХС е минималните стандарти за енергийните характеристики да псе прилагат към всички нежилищни сгради без тези, за които се прави изключение, както е описано по-горе, броят на </w:t>
      </w:r>
      <w:r w:rsidR="000244E9" w:rsidRPr="006F3533">
        <w:rPr>
          <w:rFonts w:eastAsia="Times New Roman" w:cs="Times New Roman"/>
          <w:b/>
          <w:bCs/>
          <w:szCs w:val="24"/>
          <w:lang w:val="bg-BG"/>
        </w:rPr>
        <w:t>16-те процента нежилищни сгради с най-лоши характеристики</w:t>
      </w:r>
      <w:r w:rsidR="000244E9" w:rsidRPr="006F3533">
        <w:rPr>
          <w:rFonts w:eastAsia="Times New Roman" w:cs="Times New Roman"/>
          <w:szCs w:val="24"/>
          <w:lang w:val="bg-BG"/>
        </w:rPr>
        <w:t xml:space="preserve"> е определен съгласно пълната информация за нежилищния сграден фонд, описана в първата таблица на плана. Броят и площта на сградите са обобщени в долната таблица:</w:t>
      </w:r>
    </w:p>
    <w:p w14:paraId="74491EC5" w14:textId="15537D92" w:rsidR="0051647C" w:rsidRPr="006F3533" w:rsidRDefault="0051647C" w:rsidP="00077D42">
      <w:pPr>
        <w:spacing w:line="240" w:lineRule="auto"/>
        <w:jc w:val="both"/>
        <w:rPr>
          <w:rFonts w:cs="Times New Roman"/>
          <w:i/>
          <w:iCs/>
          <w:color w:val="0070C0"/>
          <w:szCs w:val="24"/>
          <w:lang w:val="bg-BG"/>
        </w:rPr>
      </w:pPr>
      <w:r w:rsidRPr="006F3533">
        <w:rPr>
          <w:rFonts w:cs="Times New Roman"/>
          <w:i/>
          <w:iCs/>
          <w:color w:val="0070C0"/>
          <w:szCs w:val="24"/>
          <w:lang w:val="bg-BG"/>
        </w:rPr>
        <w:t>Таблица 4. Брой и площ на сградите с най-лоши енергийни характеристики</w:t>
      </w:r>
    </w:p>
    <w:tbl>
      <w:tblPr>
        <w:tblStyle w:val="TableGrid"/>
        <w:tblW w:w="5000" w:type="pct"/>
        <w:tblLook w:val="04A0" w:firstRow="1" w:lastRow="0" w:firstColumn="1" w:lastColumn="0" w:noHBand="0" w:noVBand="1"/>
      </w:tblPr>
      <w:tblGrid>
        <w:gridCol w:w="3020"/>
        <w:gridCol w:w="1432"/>
        <w:gridCol w:w="1432"/>
        <w:gridCol w:w="1589"/>
        <w:gridCol w:w="1589"/>
      </w:tblGrid>
      <w:tr w:rsidR="000244E9" w:rsidRPr="006F3533" w14:paraId="5AAEBFD0" w14:textId="77777777" w:rsidTr="000F16D5">
        <w:tc>
          <w:tcPr>
            <w:tcW w:w="1666" w:type="pct"/>
            <w:vMerge w:val="restart"/>
            <w:shd w:val="clear" w:color="auto" w:fill="D0CECE" w:themeFill="background2" w:themeFillShade="E6"/>
          </w:tcPr>
          <w:p w14:paraId="19127A4C" w14:textId="77777777" w:rsidR="000244E9" w:rsidRPr="006F3533" w:rsidRDefault="000244E9" w:rsidP="00077D42">
            <w:pPr>
              <w:pStyle w:val="ListParagraph"/>
              <w:ind w:left="0"/>
              <w:jc w:val="both"/>
              <w:rPr>
                <w:rFonts w:cs="Times New Roman"/>
                <w:szCs w:val="24"/>
                <w:lang w:val="bg-BG"/>
              </w:rPr>
            </w:pPr>
            <w:proofErr w:type="spellStart"/>
            <w:r w:rsidRPr="006F3533">
              <w:rPr>
                <w:rFonts w:cs="Times New Roman"/>
                <w:szCs w:val="24"/>
                <w:lang w:val="bg-BG"/>
              </w:rPr>
              <w:t>Worst</w:t>
            </w:r>
            <w:proofErr w:type="spellEnd"/>
            <w:r w:rsidRPr="006F3533">
              <w:rPr>
                <w:rFonts w:cs="Times New Roman"/>
                <w:szCs w:val="24"/>
                <w:lang w:val="bg-BG"/>
              </w:rPr>
              <w:t xml:space="preserve"> </w:t>
            </w:r>
            <w:proofErr w:type="spellStart"/>
            <w:r w:rsidRPr="006F3533">
              <w:rPr>
                <w:rFonts w:cs="Times New Roman"/>
                <w:szCs w:val="24"/>
                <w:lang w:val="bg-BG"/>
              </w:rPr>
              <w:t>performing</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tc>
        <w:tc>
          <w:tcPr>
            <w:tcW w:w="1580" w:type="pct"/>
            <w:gridSpan w:val="2"/>
            <w:shd w:val="clear" w:color="auto" w:fill="D0CECE" w:themeFill="background2" w:themeFillShade="E6"/>
          </w:tcPr>
          <w:p w14:paraId="74EA718D" w14:textId="77777777" w:rsidR="000244E9" w:rsidRPr="006F3533" w:rsidRDefault="000244E9" w:rsidP="00077D42">
            <w:pPr>
              <w:pStyle w:val="ListParagraph"/>
              <w:ind w:left="0"/>
              <w:jc w:val="both"/>
              <w:rPr>
                <w:rFonts w:cs="Times New Roman"/>
                <w:szCs w:val="24"/>
                <w:lang w:val="bg-BG"/>
              </w:rPr>
            </w:pPr>
            <w:proofErr w:type="spellStart"/>
            <w:r w:rsidRPr="006F3533">
              <w:rPr>
                <w:rFonts w:cs="Times New Roman"/>
                <w:szCs w:val="24"/>
                <w:lang w:val="bg-BG"/>
              </w:rPr>
              <w:t>Number</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r w:rsidRPr="006F3533">
              <w:rPr>
                <w:rFonts w:cs="Times New Roman"/>
                <w:szCs w:val="24"/>
                <w:lang w:val="bg-BG"/>
              </w:rPr>
              <w:t xml:space="preserve"> </w:t>
            </w:r>
          </w:p>
        </w:tc>
        <w:tc>
          <w:tcPr>
            <w:tcW w:w="1753" w:type="pct"/>
            <w:gridSpan w:val="2"/>
            <w:shd w:val="clear" w:color="auto" w:fill="D0CECE" w:themeFill="background2" w:themeFillShade="E6"/>
          </w:tcPr>
          <w:p w14:paraId="6113140C" w14:textId="77777777" w:rsidR="000244E9" w:rsidRPr="006F3533" w:rsidRDefault="000244E9" w:rsidP="00077D42">
            <w:pPr>
              <w:pStyle w:val="ListParagraph"/>
              <w:ind w:left="0"/>
              <w:jc w:val="both"/>
              <w:rPr>
                <w:rFonts w:cs="Times New Roman"/>
                <w:szCs w:val="24"/>
                <w:lang w:val="bg-BG"/>
              </w:rPr>
            </w:pPr>
            <w:proofErr w:type="spellStart"/>
            <w:r w:rsidRPr="006F3533">
              <w:rPr>
                <w:rFonts w:cs="Times New Roman"/>
                <w:szCs w:val="24"/>
                <w:lang w:val="bg-BG"/>
              </w:rPr>
              <w:t>Floor</w:t>
            </w:r>
            <w:proofErr w:type="spellEnd"/>
            <w:r w:rsidRPr="006F3533">
              <w:rPr>
                <w:rFonts w:cs="Times New Roman"/>
                <w:szCs w:val="24"/>
                <w:lang w:val="bg-BG"/>
              </w:rPr>
              <w:t xml:space="preserve"> </w:t>
            </w:r>
            <w:proofErr w:type="spellStart"/>
            <w:r w:rsidRPr="006F3533">
              <w:rPr>
                <w:rFonts w:cs="Times New Roman"/>
                <w:szCs w:val="24"/>
                <w:lang w:val="bg-BG"/>
              </w:rPr>
              <w:t>area</w:t>
            </w:r>
            <w:proofErr w:type="spellEnd"/>
            <w:r w:rsidRPr="006F3533">
              <w:rPr>
                <w:rFonts w:cs="Times New Roman"/>
                <w:szCs w:val="24"/>
                <w:lang w:val="bg-BG"/>
              </w:rPr>
              <w:t xml:space="preserve"> </w:t>
            </w:r>
          </w:p>
          <w:p w14:paraId="33F50ADE" w14:textId="77777777" w:rsidR="000244E9" w:rsidRPr="006F3533" w:rsidRDefault="000244E9" w:rsidP="00077D42">
            <w:pPr>
              <w:pStyle w:val="ListParagraph"/>
              <w:ind w:left="0"/>
              <w:jc w:val="both"/>
              <w:rPr>
                <w:rFonts w:cs="Times New Roman"/>
                <w:szCs w:val="24"/>
                <w:lang w:val="bg-BG"/>
              </w:rPr>
            </w:pPr>
            <w:r w:rsidRPr="006F3533">
              <w:rPr>
                <w:rFonts w:cs="Times New Roman"/>
                <w:szCs w:val="24"/>
                <w:lang w:val="bg-BG"/>
              </w:rPr>
              <w:t>(m²)</w:t>
            </w:r>
          </w:p>
        </w:tc>
      </w:tr>
      <w:tr w:rsidR="000244E9" w:rsidRPr="006F3533" w14:paraId="3370C40D" w14:textId="77777777" w:rsidTr="00500C52">
        <w:tc>
          <w:tcPr>
            <w:tcW w:w="1666" w:type="pct"/>
            <w:vMerge/>
            <w:shd w:val="clear" w:color="auto" w:fill="D0CECE" w:themeFill="background2" w:themeFillShade="E6"/>
          </w:tcPr>
          <w:p w14:paraId="7D016E3E" w14:textId="77777777" w:rsidR="000244E9" w:rsidRPr="006F3533" w:rsidRDefault="000244E9" w:rsidP="00077D42">
            <w:pPr>
              <w:pStyle w:val="ListParagraph"/>
              <w:ind w:left="0"/>
              <w:jc w:val="both"/>
              <w:rPr>
                <w:rFonts w:cs="Times New Roman"/>
                <w:szCs w:val="24"/>
                <w:lang w:val="bg-BG"/>
              </w:rPr>
            </w:pPr>
          </w:p>
        </w:tc>
        <w:tc>
          <w:tcPr>
            <w:tcW w:w="790" w:type="pct"/>
            <w:shd w:val="clear" w:color="auto" w:fill="D0CECE" w:themeFill="background2" w:themeFillShade="E6"/>
          </w:tcPr>
          <w:p w14:paraId="3AEF3F01" w14:textId="5A57D8F7" w:rsidR="000244E9" w:rsidRPr="006F3533" w:rsidRDefault="000244E9" w:rsidP="00077D42">
            <w:pPr>
              <w:pStyle w:val="ListParagraph"/>
              <w:ind w:left="0"/>
              <w:jc w:val="both"/>
              <w:rPr>
                <w:rFonts w:cs="Times New Roman"/>
                <w:szCs w:val="24"/>
                <w:lang w:val="bg-BG"/>
              </w:rPr>
            </w:pPr>
            <w:proofErr w:type="spellStart"/>
            <w:r w:rsidRPr="006F3533">
              <w:rPr>
                <w:rFonts w:cs="Times New Roman"/>
                <w:szCs w:val="24"/>
                <w:lang w:val="bg-BG"/>
              </w:rPr>
              <w:t>Year</w:t>
            </w:r>
            <w:proofErr w:type="spellEnd"/>
            <w:r w:rsidRPr="006F3533">
              <w:rPr>
                <w:rFonts w:cs="Times New Roman"/>
                <w:szCs w:val="24"/>
                <w:lang w:val="bg-BG"/>
              </w:rPr>
              <w:t xml:space="preserve"> </w:t>
            </w:r>
          </w:p>
          <w:p w14:paraId="0750D438" w14:textId="77777777" w:rsidR="000244E9" w:rsidRPr="006F3533" w:rsidRDefault="000244E9" w:rsidP="00077D42">
            <w:pPr>
              <w:pStyle w:val="ListParagraph"/>
              <w:ind w:left="0"/>
              <w:jc w:val="both"/>
              <w:rPr>
                <w:rFonts w:cs="Times New Roman"/>
                <w:szCs w:val="24"/>
                <w:lang w:val="bg-BG"/>
              </w:rPr>
            </w:pPr>
            <w:r w:rsidRPr="006F3533">
              <w:rPr>
                <w:rFonts w:cs="Times New Roman"/>
                <w:szCs w:val="24"/>
                <w:lang w:val="bg-BG"/>
              </w:rPr>
              <w:t>2025</w:t>
            </w:r>
          </w:p>
        </w:tc>
        <w:tc>
          <w:tcPr>
            <w:tcW w:w="790" w:type="pct"/>
            <w:shd w:val="clear" w:color="auto" w:fill="D0CECE" w:themeFill="background2" w:themeFillShade="E6"/>
          </w:tcPr>
          <w:p w14:paraId="2CDD9A92" w14:textId="77777777" w:rsidR="000244E9" w:rsidRPr="006F3533" w:rsidRDefault="000244E9" w:rsidP="00077D42">
            <w:pPr>
              <w:pStyle w:val="ListParagraph"/>
              <w:ind w:left="0"/>
              <w:jc w:val="both"/>
              <w:rPr>
                <w:rFonts w:cs="Times New Roman"/>
                <w:szCs w:val="24"/>
                <w:lang w:val="bg-BG"/>
              </w:rPr>
            </w:pPr>
            <w:r w:rsidRPr="006F3533">
              <w:rPr>
                <w:rFonts w:cs="Times New Roman"/>
                <w:szCs w:val="24"/>
                <w:lang w:val="bg-BG"/>
              </w:rPr>
              <w:t>2019</w:t>
            </w:r>
          </w:p>
        </w:tc>
        <w:tc>
          <w:tcPr>
            <w:tcW w:w="877" w:type="pct"/>
            <w:shd w:val="clear" w:color="auto" w:fill="D0CECE" w:themeFill="background2" w:themeFillShade="E6"/>
          </w:tcPr>
          <w:p w14:paraId="4C7FA310" w14:textId="772B5A49" w:rsidR="000244E9" w:rsidRPr="006F3533" w:rsidRDefault="000244E9" w:rsidP="00077D42">
            <w:pPr>
              <w:pStyle w:val="ListParagraph"/>
              <w:ind w:left="0"/>
              <w:jc w:val="both"/>
              <w:rPr>
                <w:rFonts w:cs="Times New Roman"/>
                <w:szCs w:val="24"/>
                <w:lang w:val="bg-BG"/>
              </w:rPr>
            </w:pPr>
            <w:proofErr w:type="spellStart"/>
            <w:r w:rsidRPr="006F3533">
              <w:rPr>
                <w:rFonts w:cs="Times New Roman"/>
                <w:szCs w:val="24"/>
                <w:lang w:val="bg-BG"/>
              </w:rPr>
              <w:t>Year</w:t>
            </w:r>
            <w:proofErr w:type="spellEnd"/>
            <w:r w:rsidRPr="006F3533">
              <w:rPr>
                <w:rFonts w:cs="Times New Roman"/>
                <w:szCs w:val="24"/>
                <w:lang w:val="bg-BG"/>
              </w:rPr>
              <w:t xml:space="preserve"> </w:t>
            </w:r>
          </w:p>
          <w:p w14:paraId="579F765A" w14:textId="77777777" w:rsidR="000244E9" w:rsidRPr="006F3533" w:rsidRDefault="000244E9" w:rsidP="00077D42">
            <w:pPr>
              <w:pStyle w:val="ListParagraph"/>
              <w:ind w:left="0"/>
              <w:jc w:val="both"/>
              <w:rPr>
                <w:rFonts w:cs="Times New Roman"/>
                <w:szCs w:val="24"/>
                <w:lang w:val="bg-BG"/>
              </w:rPr>
            </w:pPr>
            <w:r w:rsidRPr="006F3533">
              <w:rPr>
                <w:rFonts w:cs="Times New Roman"/>
                <w:szCs w:val="24"/>
                <w:lang w:val="bg-BG"/>
              </w:rPr>
              <w:t>2025</w:t>
            </w:r>
          </w:p>
        </w:tc>
        <w:tc>
          <w:tcPr>
            <w:tcW w:w="877" w:type="pct"/>
            <w:shd w:val="clear" w:color="auto" w:fill="D0CECE" w:themeFill="background2" w:themeFillShade="E6"/>
          </w:tcPr>
          <w:p w14:paraId="6D21596E" w14:textId="77777777" w:rsidR="000244E9" w:rsidRPr="006F3533" w:rsidRDefault="000244E9" w:rsidP="00077D42">
            <w:pPr>
              <w:pStyle w:val="ListParagraph"/>
              <w:ind w:left="0"/>
              <w:jc w:val="both"/>
              <w:rPr>
                <w:rFonts w:cs="Times New Roman"/>
                <w:szCs w:val="24"/>
                <w:lang w:val="bg-BG"/>
              </w:rPr>
            </w:pPr>
            <w:r w:rsidRPr="006F3533">
              <w:rPr>
                <w:rFonts w:cs="Times New Roman"/>
                <w:szCs w:val="24"/>
                <w:lang w:val="bg-BG"/>
              </w:rPr>
              <w:t>2019</w:t>
            </w:r>
          </w:p>
        </w:tc>
      </w:tr>
      <w:tr w:rsidR="000244E9" w:rsidRPr="006F3533" w14:paraId="5EDEB29D" w14:textId="77777777" w:rsidTr="00500C52">
        <w:tc>
          <w:tcPr>
            <w:tcW w:w="1666" w:type="pct"/>
          </w:tcPr>
          <w:p w14:paraId="081E0091" w14:textId="77777777" w:rsidR="000244E9" w:rsidRPr="006F3533" w:rsidRDefault="000244E9" w:rsidP="00077D42">
            <w:pPr>
              <w:pStyle w:val="ListParagraph"/>
              <w:ind w:left="0"/>
              <w:jc w:val="both"/>
              <w:rPr>
                <w:rFonts w:cs="Times New Roman"/>
                <w:szCs w:val="24"/>
                <w:lang w:val="bg-BG"/>
              </w:rPr>
            </w:pPr>
            <w:proofErr w:type="spellStart"/>
            <w:r w:rsidRPr="006F3533">
              <w:rPr>
                <w:rFonts w:cs="Times New Roman"/>
                <w:szCs w:val="24"/>
                <w:lang w:val="bg-BG"/>
              </w:rPr>
              <w:t>Residential</w:t>
            </w:r>
            <w:proofErr w:type="spellEnd"/>
          </w:p>
        </w:tc>
        <w:tc>
          <w:tcPr>
            <w:tcW w:w="790" w:type="pct"/>
          </w:tcPr>
          <w:p w14:paraId="020865FD" w14:textId="77777777" w:rsidR="000244E9" w:rsidRPr="006F3533" w:rsidRDefault="000244E9" w:rsidP="00077D42">
            <w:pPr>
              <w:pStyle w:val="ListParagraph"/>
              <w:ind w:left="0"/>
              <w:jc w:val="both"/>
              <w:rPr>
                <w:rFonts w:cs="Times New Roman"/>
                <w:szCs w:val="24"/>
                <w:lang w:val="bg-BG"/>
              </w:rPr>
            </w:pPr>
          </w:p>
        </w:tc>
        <w:tc>
          <w:tcPr>
            <w:tcW w:w="790" w:type="pct"/>
          </w:tcPr>
          <w:p w14:paraId="173D4DF0" w14:textId="77777777" w:rsidR="000244E9" w:rsidRPr="006F3533" w:rsidRDefault="000244E9" w:rsidP="00077D42">
            <w:pPr>
              <w:pStyle w:val="ListParagraph"/>
              <w:ind w:left="0"/>
              <w:jc w:val="both"/>
              <w:rPr>
                <w:rFonts w:cs="Times New Roman"/>
                <w:szCs w:val="24"/>
                <w:lang w:val="bg-BG"/>
              </w:rPr>
            </w:pPr>
          </w:p>
        </w:tc>
        <w:tc>
          <w:tcPr>
            <w:tcW w:w="877" w:type="pct"/>
          </w:tcPr>
          <w:p w14:paraId="25E3BE6B" w14:textId="77777777" w:rsidR="000244E9" w:rsidRPr="006F3533" w:rsidRDefault="000244E9" w:rsidP="00077D42">
            <w:pPr>
              <w:pStyle w:val="ListParagraph"/>
              <w:ind w:left="0"/>
              <w:jc w:val="both"/>
              <w:rPr>
                <w:rFonts w:cs="Times New Roman"/>
                <w:szCs w:val="24"/>
                <w:lang w:val="bg-BG"/>
              </w:rPr>
            </w:pPr>
          </w:p>
        </w:tc>
        <w:tc>
          <w:tcPr>
            <w:tcW w:w="877" w:type="pct"/>
          </w:tcPr>
          <w:p w14:paraId="2D0CCB44" w14:textId="77777777" w:rsidR="000244E9" w:rsidRPr="006F3533" w:rsidRDefault="000244E9" w:rsidP="00077D42">
            <w:pPr>
              <w:pStyle w:val="ListParagraph"/>
              <w:ind w:left="0"/>
              <w:jc w:val="both"/>
              <w:rPr>
                <w:rFonts w:cs="Times New Roman"/>
                <w:szCs w:val="24"/>
                <w:lang w:val="bg-BG"/>
              </w:rPr>
            </w:pPr>
          </w:p>
        </w:tc>
      </w:tr>
      <w:tr w:rsidR="000F16D5" w:rsidRPr="006F3533" w14:paraId="4DC1D76D" w14:textId="77777777" w:rsidTr="00500C52">
        <w:tc>
          <w:tcPr>
            <w:tcW w:w="1666" w:type="pct"/>
          </w:tcPr>
          <w:p w14:paraId="207712BE"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Non-Residential</w:t>
            </w:r>
            <w:proofErr w:type="spellEnd"/>
          </w:p>
        </w:tc>
        <w:tc>
          <w:tcPr>
            <w:tcW w:w="790" w:type="pct"/>
          </w:tcPr>
          <w:p w14:paraId="1316D778" w14:textId="07340EAC" w:rsidR="000F16D5" w:rsidRPr="006F3533" w:rsidRDefault="000F16D5" w:rsidP="000F16D5">
            <w:pPr>
              <w:pStyle w:val="ListParagraph"/>
              <w:ind w:left="0"/>
              <w:jc w:val="both"/>
              <w:rPr>
                <w:rFonts w:cs="Times New Roman"/>
                <w:szCs w:val="24"/>
                <w:lang w:val="bg-BG"/>
              </w:rPr>
            </w:pPr>
            <w:r w:rsidRPr="006F3533">
              <w:rPr>
                <w:lang w:val="bg-BG"/>
              </w:rPr>
              <w:t>56 084</w:t>
            </w:r>
          </w:p>
        </w:tc>
        <w:tc>
          <w:tcPr>
            <w:tcW w:w="790" w:type="pct"/>
          </w:tcPr>
          <w:p w14:paraId="6E54E544" w14:textId="361D24A0" w:rsidR="000F16D5" w:rsidRPr="006F3533" w:rsidRDefault="000F16D5" w:rsidP="000F16D5">
            <w:pPr>
              <w:pStyle w:val="ListParagraph"/>
              <w:ind w:left="0"/>
              <w:jc w:val="both"/>
              <w:rPr>
                <w:rFonts w:cs="Times New Roman"/>
                <w:szCs w:val="24"/>
                <w:lang w:val="bg-BG"/>
              </w:rPr>
            </w:pPr>
            <w:r w:rsidRPr="006F3533">
              <w:rPr>
                <w:lang w:val="bg-BG"/>
              </w:rPr>
              <w:t>42 576</w:t>
            </w:r>
          </w:p>
        </w:tc>
        <w:tc>
          <w:tcPr>
            <w:tcW w:w="877" w:type="pct"/>
          </w:tcPr>
          <w:p w14:paraId="49EC5744" w14:textId="4C28B717" w:rsidR="000F16D5" w:rsidRPr="006F3533" w:rsidRDefault="000F16D5" w:rsidP="000F16D5">
            <w:pPr>
              <w:pStyle w:val="ListParagraph"/>
              <w:ind w:left="0"/>
              <w:jc w:val="both"/>
              <w:rPr>
                <w:rFonts w:cs="Times New Roman"/>
                <w:szCs w:val="24"/>
                <w:lang w:val="bg-BG"/>
              </w:rPr>
            </w:pPr>
            <w:r w:rsidRPr="006F3533">
              <w:rPr>
                <w:lang w:val="bg-BG"/>
              </w:rPr>
              <w:t>14 937 905</w:t>
            </w:r>
          </w:p>
        </w:tc>
        <w:tc>
          <w:tcPr>
            <w:tcW w:w="877" w:type="pct"/>
          </w:tcPr>
          <w:p w14:paraId="0ADCA565" w14:textId="40D04A06" w:rsidR="000F16D5" w:rsidRPr="006F3533" w:rsidRDefault="000F16D5" w:rsidP="000F16D5">
            <w:pPr>
              <w:pStyle w:val="ListParagraph"/>
              <w:ind w:left="0"/>
              <w:jc w:val="both"/>
              <w:rPr>
                <w:rFonts w:cs="Times New Roman"/>
                <w:szCs w:val="24"/>
                <w:lang w:val="bg-BG"/>
              </w:rPr>
            </w:pPr>
            <w:r w:rsidRPr="006F3533">
              <w:rPr>
                <w:lang w:val="bg-BG"/>
              </w:rPr>
              <w:t>12 062 405</w:t>
            </w:r>
          </w:p>
        </w:tc>
      </w:tr>
      <w:tr w:rsidR="000244E9" w:rsidRPr="006F3533" w14:paraId="47804CF6" w14:textId="77777777" w:rsidTr="00500C52">
        <w:tc>
          <w:tcPr>
            <w:tcW w:w="1666" w:type="pct"/>
          </w:tcPr>
          <w:p w14:paraId="2072523B" w14:textId="77777777" w:rsidR="000244E9" w:rsidRPr="006F3533" w:rsidRDefault="000244E9" w:rsidP="00077D42">
            <w:pPr>
              <w:pStyle w:val="ListParagraph"/>
              <w:ind w:left="0"/>
              <w:jc w:val="both"/>
              <w:rPr>
                <w:rFonts w:cs="Times New Roman"/>
                <w:szCs w:val="24"/>
                <w:lang w:val="bg-BG"/>
              </w:rPr>
            </w:pPr>
            <w:r w:rsidRPr="006F3533">
              <w:rPr>
                <w:rFonts w:cs="Times New Roman"/>
                <w:szCs w:val="24"/>
                <w:lang w:val="bg-BG"/>
              </w:rPr>
              <w:t>Total</w:t>
            </w:r>
          </w:p>
        </w:tc>
        <w:tc>
          <w:tcPr>
            <w:tcW w:w="790" w:type="pct"/>
          </w:tcPr>
          <w:p w14:paraId="5CC96EE8" w14:textId="77777777" w:rsidR="000244E9" w:rsidRPr="006F3533" w:rsidRDefault="000244E9" w:rsidP="00077D42">
            <w:pPr>
              <w:pStyle w:val="ListParagraph"/>
              <w:ind w:left="0"/>
              <w:jc w:val="both"/>
              <w:rPr>
                <w:rFonts w:cs="Times New Roman"/>
                <w:color w:val="0070C0"/>
                <w:szCs w:val="24"/>
                <w:lang w:val="bg-BG"/>
              </w:rPr>
            </w:pPr>
          </w:p>
        </w:tc>
        <w:tc>
          <w:tcPr>
            <w:tcW w:w="790" w:type="pct"/>
          </w:tcPr>
          <w:p w14:paraId="36B0B371" w14:textId="77777777" w:rsidR="000244E9" w:rsidRPr="006F3533" w:rsidRDefault="000244E9" w:rsidP="00077D42">
            <w:pPr>
              <w:pStyle w:val="ListParagraph"/>
              <w:ind w:left="0"/>
              <w:jc w:val="both"/>
              <w:rPr>
                <w:rFonts w:cs="Times New Roman"/>
                <w:color w:val="0070C0"/>
                <w:szCs w:val="24"/>
                <w:lang w:val="bg-BG"/>
              </w:rPr>
            </w:pPr>
          </w:p>
        </w:tc>
        <w:tc>
          <w:tcPr>
            <w:tcW w:w="877" w:type="pct"/>
          </w:tcPr>
          <w:p w14:paraId="33E0C4E0" w14:textId="77777777" w:rsidR="000244E9" w:rsidRPr="006F3533" w:rsidRDefault="000244E9" w:rsidP="00077D42">
            <w:pPr>
              <w:pStyle w:val="ListParagraph"/>
              <w:ind w:left="0"/>
              <w:jc w:val="both"/>
              <w:rPr>
                <w:rFonts w:cs="Times New Roman"/>
                <w:color w:val="0070C0"/>
                <w:szCs w:val="24"/>
                <w:lang w:val="bg-BG"/>
              </w:rPr>
            </w:pPr>
          </w:p>
        </w:tc>
        <w:tc>
          <w:tcPr>
            <w:tcW w:w="877" w:type="pct"/>
          </w:tcPr>
          <w:p w14:paraId="50EDA283" w14:textId="77777777" w:rsidR="000244E9" w:rsidRPr="006F3533" w:rsidRDefault="000244E9" w:rsidP="00077D42">
            <w:pPr>
              <w:pStyle w:val="ListParagraph"/>
              <w:ind w:left="0"/>
              <w:jc w:val="both"/>
              <w:rPr>
                <w:rFonts w:cs="Times New Roman"/>
                <w:color w:val="0070C0"/>
                <w:szCs w:val="24"/>
                <w:lang w:val="bg-BG"/>
              </w:rPr>
            </w:pPr>
          </w:p>
        </w:tc>
      </w:tr>
    </w:tbl>
    <w:p w14:paraId="2CAC9D44" w14:textId="77777777" w:rsidR="005F6B50" w:rsidRPr="006F3533" w:rsidRDefault="005F6B50"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Представените в таблицата стойности имат за цел да осигурят обща картина за мащаба на сегмента на най-неефективните нежилищни сгради, който ще бъде адресиран чрез въвеждането на минимални стандарти за енергийни характеристики. Те не представляват индивидуална идентификация на конкретни сгради, а служат като </w:t>
      </w:r>
      <w:r w:rsidRPr="006F3533">
        <w:rPr>
          <w:rFonts w:eastAsia="Times New Roman" w:cs="Times New Roman"/>
          <w:szCs w:val="24"/>
          <w:lang w:val="bg-BG"/>
        </w:rPr>
        <w:lastRenderedPageBreak/>
        <w:t>стратегическа основа за планиране на обхвата, етапите и очакваното въздействие на бъдещите политики и мерки.</w:t>
      </w:r>
    </w:p>
    <w:p w14:paraId="02EC3A55" w14:textId="0A624844" w:rsidR="005F6B50" w:rsidRPr="006F3533" w:rsidRDefault="005F6B50"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Подробният анализ на подхода за определяне на МСЕХ, включително използваните индикатори, прагове, график за прилагане и връзката с енергийните сертификати, е разгледан в </w:t>
      </w:r>
      <w:r w:rsidR="00DF0BE9" w:rsidRPr="006F3533">
        <w:rPr>
          <w:rFonts w:eastAsia="Times New Roman" w:cs="Times New Roman"/>
          <w:szCs w:val="24"/>
          <w:lang w:val="bg-BG"/>
        </w:rPr>
        <w:t>раздел „Минимални стандарти за енергийни характеристики за нежилищни сгради“</w:t>
      </w:r>
      <w:r w:rsidRPr="006F3533">
        <w:rPr>
          <w:rFonts w:eastAsia="Times New Roman" w:cs="Times New Roman"/>
          <w:szCs w:val="24"/>
          <w:lang w:val="bg-BG"/>
        </w:rPr>
        <w:t>.</w:t>
      </w:r>
    </w:p>
    <w:p w14:paraId="3BBB1933" w14:textId="702A5330" w:rsidR="000244E9" w:rsidRPr="006F3533" w:rsidRDefault="000244E9" w:rsidP="00077D42">
      <w:pPr>
        <w:pStyle w:val="Heading2"/>
        <w:jc w:val="both"/>
        <w:rPr>
          <w:lang w:val="bg-BG"/>
        </w:rPr>
      </w:pPr>
      <w:bookmarkStart w:id="118" w:name="_Toc217888779"/>
      <w:r w:rsidRPr="006F3533">
        <w:rPr>
          <w:lang w:val="bg-BG"/>
        </w:rPr>
        <w:t>Оценка на дела на изключените сгради съгласно чл. 9(6), буква (а) от преработената ДЕХС</w:t>
      </w:r>
      <w:bookmarkEnd w:id="118"/>
    </w:p>
    <w:p w14:paraId="1677569D" w14:textId="097ED717" w:rsidR="00EE2C36" w:rsidRPr="006F3533" w:rsidRDefault="00EE2C36"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В съответствие с чл. 9, параграф 6, буква (а) от Директива (ЕС) 2024/1275, Република България ще счита за изключени от обхвата на минималните изисквания за енергийни характеристики </w:t>
      </w:r>
      <w:r w:rsidR="00DF0BE9" w:rsidRPr="006F3533">
        <w:rPr>
          <w:rFonts w:eastAsia="Times New Roman" w:cs="Times New Roman"/>
          <w:szCs w:val="24"/>
          <w:lang w:val="bg-BG"/>
        </w:rPr>
        <w:t>МСЕХ</w:t>
      </w:r>
      <w:r w:rsidRPr="006F3533">
        <w:rPr>
          <w:rFonts w:eastAsia="Times New Roman" w:cs="Times New Roman"/>
          <w:szCs w:val="24"/>
          <w:lang w:val="bg-BG"/>
        </w:rPr>
        <w:t>) онези сгради, за които не се изисква издаване на сертификат за енергийни характеристики съгласно чл. 32, ал. 5 от Закона за енергийната ефективност (ЗЕЕ), а именно:</w:t>
      </w:r>
    </w:p>
    <w:p w14:paraId="7B428B77" w14:textId="77777777" w:rsidR="00EE2C36" w:rsidRPr="006F3533" w:rsidRDefault="00EE2C36">
      <w:pPr>
        <w:numPr>
          <w:ilvl w:val="0"/>
          <w:numId w:val="2"/>
        </w:numPr>
        <w:spacing w:before="100" w:beforeAutospacing="1" w:after="100" w:afterAutospacing="1" w:line="240" w:lineRule="auto"/>
        <w:ind w:left="1134"/>
        <w:jc w:val="both"/>
        <w:rPr>
          <w:rFonts w:eastAsia="Times New Roman" w:cs="Times New Roman"/>
          <w:szCs w:val="24"/>
          <w:lang w:val="bg-BG"/>
        </w:rPr>
      </w:pPr>
      <w:r w:rsidRPr="006F3533">
        <w:rPr>
          <w:rFonts w:eastAsia="Times New Roman" w:cs="Times New Roman"/>
          <w:szCs w:val="24"/>
          <w:lang w:val="bg-BG"/>
        </w:rPr>
        <w:t>сгради със статут на недвижими културни ценности, когато изпълнението на изискванията би променило недопустимо техния облик или характер;</w:t>
      </w:r>
    </w:p>
    <w:p w14:paraId="42ED4A8B" w14:textId="77777777" w:rsidR="00EE2C36" w:rsidRPr="006F3533" w:rsidRDefault="00EE2C36">
      <w:pPr>
        <w:numPr>
          <w:ilvl w:val="0"/>
          <w:numId w:val="2"/>
        </w:numPr>
        <w:spacing w:before="100" w:beforeAutospacing="1" w:after="100" w:afterAutospacing="1" w:line="240" w:lineRule="auto"/>
        <w:ind w:left="1134"/>
        <w:jc w:val="both"/>
        <w:rPr>
          <w:rFonts w:eastAsia="Times New Roman" w:cs="Times New Roman"/>
          <w:szCs w:val="24"/>
          <w:lang w:val="bg-BG"/>
        </w:rPr>
      </w:pPr>
      <w:r w:rsidRPr="006F3533">
        <w:rPr>
          <w:rFonts w:eastAsia="Times New Roman" w:cs="Times New Roman"/>
          <w:szCs w:val="24"/>
          <w:lang w:val="bg-BG"/>
        </w:rPr>
        <w:t>временни сгради със срок на използване до две години;</w:t>
      </w:r>
    </w:p>
    <w:p w14:paraId="24518925" w14:textId="77777777" w:rsidR="00EE2C36" w:rsidRPr="006F3533" w:rsidRDefault="00EE2C36">
      <w:pPr>
        <w:numPr>
          <w:ilvl w:val="0"/>
          <w:numId w:val="2"/>
        </w:numPr>
        <w:spacing w:before="100" w:beforeAutospacing="1" w:after="100" w:afterAutospacing="1" w:line="240" w:lineRule="auto"/>
        <w:ind w:left="1134"/>
        <w:jc w:val="both"/>
        <w:rPr>
          <w:rFonts w:eastAsia="Times New Roman" w:cs="Times New Roman"/>
          <w:szCs w:val="24"/>
          <w:lang w:val="bg-BG"/>
        </w:rPr>
      </w:pPr>
      <w:r w:rsidRPr="006F3533">
        <w:rPr>
          <w:rFonts w:eastAsia="Times New Roman" w:cs="Times New Roman"/>
          <w:szCs w:val="24"/>
          <w:lang w:val="bg-BG"/>
        </w:rPr>
        <w:t>промишлени, складови и селскостопански сгради с ниска потребност от енергия и незначителна нужда от отопление, охлаждане, вентилация и БГВ;</w:t>
      </w:r>
    </w:p>
    <w:p w14:paraId="67071154" w14:textId="77777777" w:rsidR="00EE2C36" w:rsidRPr="006F3533" w:rsidRDefault="00EE2C36">
      <w:pPr>
        <w:numPr>
          <w:ilvl w:val="0"/>
          <w:numId w:val="2"/>
        </w:numPr>
        <w:spacing w:before="100" w:beforeAutospacing="1" w:after="100" w:afterAutospacing="1" w:line="240" w:lineRule="auto"/>
        <w:ind w:left="1134"/>
        <w:jc w:val="both"/>
        <w:rPr>
          <w:rFonts w:eastAsia="Times New Roman" w:cs="Times New Roman"/>
          <w:szCs w:val="24"/>
          <w:lang w:val="bg-BG"/>
        </w:rPr>
      </w:pPr>
      <w:r w:rsidRPr="006F3533">
        <w:rPr>
          <w:rFonts w:eastAsia="Times New Roman" w:cs="Times New Roman"/>
          <w:szCs w:val="24"/>
          <w:lang w:val="bg-BG"/>
        </w:rPr>
        <w:t>сгради за поклонение и религиозна дейност;</w:t>
      </w:r>
    </w:p>
    <w:p w14:paraId="1530A8E6" w14:textId="77777777" w:rsidR="00EE2C36" w:rsidRPr="006F3533" w:rsidRDefault="00EE2C36">
      <w:pPr>
        <w:numPr>
          <w:ilvl w:val="0"/>
          <w:numId w:val="2"/>
        </w:numPr>
        <w:spacing w:before="100" w:beforeAutospacing="1" w:after="100" w:afterAutospacing="1" w:line="240" w:lineRule="auto"/>
        <w:ind w:left="1134"/>
        <w:jc w:val="both"/>
        <w:rPr>
          <w:rFonts w:eastAsia="Times New Roman" w:cs="Times New Roman"/>
          <w:szCs w:val="24"/>
          <w:lang w:val="bg-BG"/>
        </w:rPr>
      </w:pPr>
      <w:proofErr w:type="spellStart"/>
      <w:r w:rsidRPr="006F3533">
        <w:rPr>
          <w:rFonts w:eastAsia="Times New Roman" w:cs="Times New Roman"/>
          <w:szCs w:val="24"/>
          <w:lang w:val="bg-BG"/>
        </w:rPr>
        <w:t>свободностоящи</w:t>
      </w:r>
      <w:proofErr w:type="spellEnd"/>
      <w:r w:rsidRPr="006F3533">
        <w:rPr>
          <w:rFonts w:eastAsia="Times New Roman" w:cs="Times New Roman"/>
          <w:szCs w:val="24"/>
          <w:lang w:val="bg-BG"/>
        </w:rPr>
        <w:t xml:space="preserve"> сгради с разгъната застроена площ под 50 кв. м;</w:t>
      </w:r>
    </w:p>
    <w:p w14:paraId="06CC29D1" w14:textId="77777777" w:rsidR="00EE2C36" w:rsidRPr="006F3533" w:rsidRDefault="00EE2C36">
      <w:pPr>
        <w:numPr>
          <w:ilvl w:val="0"/>
          <w:numId w:val="2"/>
        </w:numPr>
        <w:spacing w:before="100" w:beforeAutospacing="1" w:after="100" w:afterAutospacing="1" w:line="240" w:lineRule="auto"/>
        <w:ind w:left="1134"/>
        <w:jc w:val="both"/>
        <w:rPr>
          <w:rFonts w:eastAsia="Times New Roman" w:cs="Times New Roman"/>
          <w:szCs w:val="24"/>
          <w:lang w:val="bg-BG"/>
        </w:rPr>
      </w:pPr>
      <w:r w:rsidRPr="006F3533">
        <w:rPr>
          <w:rFonts w:eastAsia="Times New Roman" w:cs="Times New Roman"/>
          <w:szCs w:val="24"/>
          <w:lang w:val="bg-BG"/>
        </w:rPr>
        <w:t xml:space="preserve">жилищни сгради, предназначени за ползване по-малко от четири месеца годишно, или с </w:t>
      </w:r>
      <w:proofErr w:type="spellStart"/>
      <w:r w:rsidRPr="006F3533">
        <w:rPr>
          <w:rFonts w:eastAsia="Times New Roman" w:cs="Times New Roman"/>
          <w:szCs w:val="24"/>
          <w:lang w:val="bg-BG"/>
        </w:rPr>
        <w:t>прогнозируемо</w:t>
      </w:r>
      <w:proofErr w:type="spellEnd"/>
      <w:r w:rsidRPr="006F3533">
        <w:rPr>
          <w:rFonts w:eastAsia="Times New Roman" w:cs="Times New Roman"/>
          <w:szCs w:val="24"/>
          <w:lang w:val="bg-BG"/>
        </w:rPr>
        <w:t xml:space="preserve"> потребление на енергия под 25% от потенциалното при целогодишно ползване.</w:t>
      </w:r>
    </w:p>
    <w:p w14:paraId="616CFB7C" w14:textId="77777777" w:rsidR="00EE2C36" w:rsidRPr="006F3533" w:rsidRDefault="00EE2C36"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Изброените категории ще се считат за изключени от обхвата на минималните изисквания за енергийни характеристики, предвид невъзможността или нецелесъобразността за прилагане на такива стандарти спрямо техния характер, предназначение или режим на ползване.</w:t>
      </w:r>
    </w:p>
    <w:p w14:paraId="09C2F51D" w14:textId="547EEEDA" w:rsidR="00EE2C36" w:rsidRPr="006F3533" w:rsidRDefault="000244E9" w:rsidP="00077D42">
      <w:pPr>
        <w:spacing w:before="100" w:beforeAutospacing="1" w:after="100" w:afterAutospacing="1" w:line="240" w:lineRule="auto"/>
        <w:jc w:val="both"/>
        <w:rPr>
          <w:rFonts w:cs="Times New Roman"/>
          <w:szCs w:val="24"/>
          <w:lang w:val="bg-BG"/>
        </w:rPr>
      </w:pPr>
      <w:r w:rsidRPr="006F3533">
        <w:rPr>
          <w:rFonts w:eastAsia="Times New Roman" w:cs="Times New Roman"/>
          <w:szCs w:val="24"/>
          <w:lang w:val="bg-BG"/>
        </w:rPr>
        <w:t>Техният дял е определен още в Таблица 1 на плана. Към настоящия момент</w:t>
      </w:r>
      <w:r w:rsidR="006F2FA9" w:rsidRPr="006F3533">
        <w:rPr>
          <w:rFonts w:eastAsia="Times New Roman" w:cs="Times New Roman"/>
          <w:szCs w:val="24"/>
          <w:lang w:val="bg-BG"/>
        </w:rPr>
        <w:t xml:space="preserve"> общо 5503 нежилищни сгради с обща площ 1 120 707 попадат в категорията на изключените съгласно чл. 9(6), буква (а) от преработената ДЕХС. Като дял от всички нежилищни сгради те представляват около 1,13% спрямо общия брой и под 0,86% спрямо общата площ. </w:t>
      </w:r>
    </w:p>
    <w:p w14:paraId="2A0D2766" w14:textId="77777777" w:rsidR="00AE07D7" w:rsidRPr="006F3533" w:rsidRDefault="00AE07D7"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Към настоящия етап България не предвижда прилагането на допълнителни разбивки на показателя „най-слабо представящи се сгради“ по възраст, размер, климатична зона или данни за съборени сгради. Това решение се основава на следните съображения:</w:t>
      </w:r>
    </w:p>
    <w:p w14:paraId="55AD389D" w14:textId="5ACDFB09" w:rsidR="00AE07D7" w:rsidRPr="006F3533" w:rsidRDefault="00AE07D7" w:rsidP="00077D42">
      <w:pPr>
        <w:spacing w:before="100" w:beforeAutospacing="1" w:after="100" w:afterAutospacing="1" w:line="240" w:lineRule="auto"/>
        <w:jc w:val="both"/>
        <w:outlineLvl w:val="3"/>
        <w:rPr>
          <w:rFonts w:eastAsia="Times New Roman" w:cs="Times New Roman"/>
          <w:szCs w:val="24"/>
          <w:lang w:val="bg-BG"/>
        </w:rPr>
      </w:pPr>
      <w:r w:rsidRPr="006F3533">
        <w:rPr>
          <w:rFonts w:eastAsia="Times New Roman" w:cs="Times New Roman"/>
          <w:szCs w:val="24"/>
          <w:lang w:val="bg-BG"/>
        </w:rPr>
        <w:t xml:space="preserve">a) </w:t>
      </w:r>
      <w:r w:rsidR="00DF0BE9" w:rsidRPr="006F3533">
        <w:rPr>
          <w:rFonts w:eastAsia="Times New Roman" w:cs="Times New Roman"/>
          <w:szCs w:val="24"/>
          <w:lang w:val="bg-BG"/>
        </w:rPr>
        <w:t>п</w:t>
      </w:r>
      <w:r w:rsidRPr="006F3533">
        <w:rPr>
          <w:rFonts w:eastAsia="Times New Roman" w:cs="Times New Roman"/>
          <w:szCs w:val="24"/>
          <w:lang w:val="bg-BG"/>
        </w:rPr>
        <w:t>о възраст / период на построяване на сградите</w:t>
      </w:r>
    </w:p>
    <w:p w14:paraId="7161C097" w14:textId="77777777" w:rsidR="00AE07D7" w:rsidRPr="006F3533" w:rsidRDefault="00AE07D7"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Понастоящем липсва национална база данни, която да позволява надеждно групиране на съществуващия сграден фонд по година или период на построяване. Макар че такава информация може да е налична в отделни кадастрални или общински регистри, тя не е </w:t>
      </w:r>
      <w:r w:rsidRPr="006F3533">
        <w:rPr>
          <w:rFonts w:eastAsia="Times New Roman" w:cs="Times New Roman"/>
          <w:szCs w:val="24"/>
          <w:lang w:val="bg-BG"/>
        </w:rPr>
        <w:lastRenderedPageBreak/>
        <w:t xml:space="preserve">хармонизирана, дигитализирана или </w:t>
      </w:r>
      <w:proofErr w:type="spellStart"/>
      <w:r w:rsidRPr="006F3533">
        <w:rPr>
          <w:rFonts w:eastAsia="Times New Roman" w:cs="Times New Roman"/>
          <w:szCs w:val="24"/>
          <w:lang w:val="bg-BG"/>
        </w:rPr>
        <w:t>агрегирана</w:t>
      </w:r>
      <w:proofErr w:type="spellEnd"/>
      <w:r w:rsidRPr="006F3533">
        <w:rPr>
          <w:rFonts w:eastAsia="Times New Roman" w:cs="Times New Roman"/>
          <w:szCs w:val="24"/>
          <w:lang w:val="bg-BG"/>
        </w:rPr>
        <w:t xml:space="preserve"> на национално ниво, поради което не може да бъде използвана за статистически и индикаторни цели в рамките на настоящия план.</w:t>
      </w:r>
    </w:p>
    <w:p w14:paraId="4E264DBA" w14:textId="32104D17" w:rsidR="00AE07D7" w:rsidRPr="006F3533" w:rsidRDefault="00AE07D7" w:rsidP="00077D42">
      <w:pPr>
        <w:spacing w:before="100" w:beforeAutospacing="1" w:after="100" w:afterAutospacing="1" w:line="240" w:lineRule="auto"/>
        <w:jc w:val="both"/>
        <w:outlineLvl w:val="3"/>
        <w:rPr>
          <w:rFonts w:eastAsia="Times New Roman" w:cs="Times New Roman"/>
          <w:szCs w:val="24"/>
          <w:lang w:val="bg-BG"/>
        </w:rPr>
      </w:pPr>
      <w:r w:rsidRPr="006F3533">
        <w:rPr>
          <w:rFonts w:eastAsia="Times New Roman" w:cs="Times New Roman"/>
          <w:szCs w:val="24"/>
          <w:lang w:val="bg-BG"/>
        </w:rPr>
        <w:t xml:space="preserve">b) </w:t>
      </w:r>
      <w:r w:rsidR="00DF0BE9" w:rsidRPr="006F3533">
        <w:rPr>
          <w:rFonts w:eastAsia="Times New Roman" w:cs="Times New Roman"/>
          <w:szCs w:val="24"/>
          <w:lang w:val="bg-BG"/>
        </w:rPr>
        <w:t>п</w:t>
      </w:r>
      <w:r w:rsidRPr="006F3533">
        <w:rPr>
          <w:rFonts w:eastAsia="Times New Roman" w:cs="Times New Roman"/>
          <w:szCs w:val="24"/>
          <w:lang w:val="bg-BG"/>
        </w:rPr>
        <w:t>о размер (обща разгъната застроена площ)</w:t>
      </w:r>
    </w:p>
    <w:p w14:paraId="2E80AF90" w14:textId="77777777" w:rsidR="00AE07D7" w:rsidRPr="006F3533" w:rsidRDefault="00AE07D7"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Въпреки че данни за площта се съдържат в индивидуалните енергийни сертификати, броят на сертифицираните сгради към момента е все още недостатъчен, за да бъде изградена представителна и пълна картина на сградния фонд по </w:t>
      </w:r>
      <w:proofErr w:type="spellStart"/>
      <w:r w:rsidRPr="006F3533">
        <w:rPr>
          <w:rFonts w:eastAsia="Times New Roman" w:cs="Times New Roman"/>
          <w:szCs w:val="24"/>
          <w:lang w:val="bg-BG"/>
        </w:rPr>
        <w:t>размерови</w:t>
      </w:r>
      <w:proofErr w:type="spellEnd"/>
      <w:r w:rsidRPr="006F3533">
        <w:rPr>
          <w:rFonts w:eastAsia="Times New Roman" w:cs="Times New Roman"/>
          <w:szCs w:val="24"/>
          <w:lang w:val="bg-BG"/>
        </w:rPr>
        <w:t xml:space="preserve"> категории. Освен това липсва национално систематизирана статистика, която да позволява надеждно групиране на сградите по площ и съответно изчисляване на относителен дял на най-слабо представящите се сгради по този признак. Поради това към момента не се предвижда прилагане на разбивка по размер.</w:t>
      </w:r>
    </w:p>
    <w:p w14:paraId="19DBFCBC" w14:textId="22FF2298" w:rsidR="00AE07D7" w:rsidRPr="006F3533" w:rsidRDefault="00AE07D7" w:rsidP="00077D42">
      <w:pPr>
        <w:spacing w:before="100" w:beforeAutospacing="1" w:after="100" w:afterAutospacing="1" w:line="240" w:lineRule="auto"/>
        <w:jc w:val="both"/>
        <w:outlineLvl w:val="3"/>
        <w:rPr>
          <w:rFonts w:eastAsia="Times New Roman" w:cs="Times New Roman"/>
          <w:szCs w:val="24"/>
          <w:lang w:val="bg-BG"/>
        </w:rPr>
      </w:pPr>
      <w:r w:rsidRPr="006F3533">
        <w:rPr>
          <w:rFonts w:eastAsia="Times New Roman" w:cs="Times New Roman"/>
          <w:szCs w:val="24"/>
          <w:lang w:val="bg-BG"/>
        </w:rPr>
        <w:t xml:space="preserve">c) </w:t>
      </w:r>
      <w:r w:rsidR="00DF0BE9" w:rsidRPr="006F3533">
        <w:rPr>
          <w:rFonts w:eastAsia="Times New Roman" w:cs="Times New Roman"/>
          <w:szCs w:val="24"/>
          <w:lang w:val="bg-BG"/>
        </w:rPr>
        <w:t>п</w:t>
      </w:r>
      <w:r w:rsidRPr="006F3533">
        <w:rPr>
          <w:rFonts w:eastAsia="Times New Roman" w:cs="Times New Roman"/>
          <w:szCs w:val="24"/>
          <w:lang w:val="bg-BG"/>
        </w:rPr>
        <w:t>о климатична зона</w:t>
      </w:r>
    </w:p>
    <w:p w14:paraId="277B6E79" w14:textId="364DA49A" w:rsidR="00AE07D7" w:rsidRPr="006F3533" w:rsidRDefault="00AE07D7"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В България съществува официално климатично </w:t>
      </w:r>
      <w:proofErr w:type="spellStart"/>
      <w:r w:rsidRPr="006F3533">
        <w:rPr>
          <w:rFonts w:eastAsia="Times New Roman" w:cs="Times New Roman"/>
          <w:szCs w:val="24"/>
          <w:lang w:val="bg-BG"/>
        </w:rPr>
        <w:t>зониране</w:t>
      </w:r>
      <w:proofErr w:type="spellEnd"/>
      <w:r w:rsidRPr="006F3533">
        <w:rPr>
          <w:rFonts w:eastAsia="Times New Roman" w:cs="Times New Roman"/>
          <w:szCs w:val="24"/>
          <w:lang w:val="bg-BG"/>
        </w:rPr>
        <w:t xml:space="preserve">, определено в действащата Наредба № РД-02-20-3 от 9.12.2021 г. за енергийните характеристики на сгради, като </w:t>
      </w:r>
      <w:proofErr w:type="spellStart"/>
      <w:r w:rsidRPr="006F3533">
        <w:rPr>
          <w:rFonts w:eastAsia="Times New Roman" w:cs="Times New Roman"/>
          <w:szCs w:val="24"/>
          <w:lang w:val="bg-BG"/>
        </w:rPr>
        <w:t>зонирането</w:t>
      </w:r>
      <w:proofErr w:type="spellEnd"/>
      <w:r w:rsidRPr="006F3533">
        <w:rPr>
          <w:rFonts w:eastAsia="Times New Roman" w:cs="Times New Roman"/>
          <w:szCs w:val="24"/>
          <w:lang w:val="bg-BG"/>
        </w:rPr>
        <w:t xml:space="preserve"> се използва при изчисленията на енергийните показатели. Въпреки това, не съществуват систематизирани данни, които да позволяват разпределяне на съществуващите сгради по климатични зони или изчисляване на индикатори по този признак. Поради това, на този етап не се предвижда прилагане на климатична разбивка в рамките на настоящия план.</w:t>
      </w:r>
    </w:p>
    <w:p w14:paraId="4549D7F2" w14:textId="6FB7E0A7" w:rsidR="00AE07D7" w:rsidRPr="006F3533" w:rsidRDefault="00AE07D7" w:rsidP="00077D42">
      <w:pPr>
        <w:spacing w:before="100" w:beforeAutospacing="1" w:after="100" w:afterAutospacing="1" w:line="240" w:lineRule="auto"/>
        <w:jc w:val="both"/>
        <w:outlineLvl w:val="3"/>
        <w:rPr>
          <w:rFonts w:eastAsia="Times New Roman" w:cs="Times New Roman"/>
          <w:szCs w:val="24"/>
          <w:lang w:val="bg-BG"/>
        </w:rPr>
      </w:pPr>
      <w:r w:rsidRPr="006F3533">
        <w:rPr>
          <w:rFonts w:eastAsia="Times New Roman" w:cs="Times New Roman"/>
          <w:szCs w:val="24"/>
          <w:lang w:val="bg-BG"/>
        </w:rPr>
        <w:t xml:space="preserve">d) </w:t>
      </w:r>
      <w:r w:rsidR="00DF0BE9" w:rsidRPr="006F3533">
        <w:rPr>
          <w:rFonts w:eastAsia="Times New Roman" w:cs="Times New Roman"/>
          <w:szCs w:val="24"/>
          <w:lang w:val="bg-BG"/>
        </w:rPr>
        <w:t>п</w:t>
      </w:r>
      <w:r w:rsidRPr="006F3533">
        <w:rPr>
          <w:rFonts w:eastAsia="Times New Roman" w:cs="Times New Roman"/>
          <w:szCs w:val="24"/>
          <w:lang w:val="bg-BG"/>
        </w:rPr>
        <w:t>о съборени сгради (брой и обща площ)</w:t>
      </w:r>
    </w:p>
    <w:p w14:paraId="3CEE3D66" w14:textId="77777777" w:rsidR="00AE07D7" w:rsidRPr="006F3533" w:rsidRDefault="00AE07D7"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Към момента не се събират и публикуват национални статистически данни относно броя или общата площ на съборените сгради. Възможно е частична информация да се съдържа в общинските системи за строителен контрол, но тя не е обединена, съпоставима и достъпна за целите на докладване. Поради това България не предвижда да отчита този индикатор на настоящия етап.</w:t>
      </w:r>
    </w:p>
    <w:p w14:paraId="21CF1C2D" w14:textId="47D62DFE" w:rsidR="00D00D9D" w:rsidRPr="006F3533" w:rsidRDefault="0051647C" w:rsidP="00077D42">
      <w:pPr>
        <w:pStyle w:val="Heading2"/>
        <w:jc w:val="both"/>
        <w:rPr>
          <w:lang w:val="bg-BG"/>
        </w:rPr>
      </w:pPr>
      <w:bookmarkStart w:id="119" w:name="_Toc217888780"/>
      <w:r w:rsidRPr="006F3533">
        <w:rPr>
          <w:lang w:val="bg-BG"/>
        </w:rPr>
        <w:t>Брой на сертификатите за енергийните характеристики на сгради</w:t>
      </w:r>
      <w:r w:rsidR="00801670" w:rsidRPr="006F3533">
        <w:rPr>
          <w:lang w:val="bg-BG"/>
        </w:rPr>
        <w:t xml:space="preserve"> по типове сгради</w:t>
      </w:r>
      <w:bookmarkEnd w:id="119"/>
    </w:p>
    <w:p w14:paraId="30927C8B" w14:textId="77777777" w:rsidR="00D00D9D" w:rsidRPr="006F3533" w:rsidRDefault="00D00D9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Информацията за броя на сертификатите за енергийни характеристики на нежилищните сгради е извлечена от националната база данни за енергийните характеристики на сградите, поддържана от Агенцията за устойчиво енергийно развитие (АУЕР). Базата данни се попълва въз основа на извършени енергийни обследвания и издадени сертификати за енергийни характеристики съгласно изискванията на националното законодателство.</w:t>
      </w:r>
    </w:p>
    <w:p w14:paraId="7EC0A726" w14:textId="77777777" w:rsidR="00D00D9D" w:rsidRPr="006F3533" w:rsidRDefault="00D00D9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В представената таблица е включена информация само за валидните сертификати за енергийни характеристики, регистрирани в базата данни към референтната година X-2 (данни, актуални към ноември 2025 г.). Сертификатите с изтекъл срок на валидност не са включени в таблицата, тъй като не отразяват актуалното енергийно състояние на сградите към момента на отчитане.</w:t>
      </w:r>
    </w:p>
    <w:p w14:paraId="1278748A" w14:textId="77777777" w:rsidR="00D00D9D" w:rsidRPr="006F3533" w:rsidRDefault="00D00D9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lastRenderedPageBreak/>
        <w:t>Данните са представени с разбивка по типове нежилищни сгради, в съответствие с категориите, използвани при сертифицирането на енергийните характеристики съгласно Закона за енергийната ефективност. Това позволява да се оцени степента на покритие на сертификацията в отделните сегменти на нежилищния сграден фонд и да се идентифицират категории с по-висока или по-ниска степен на обхващане.</w:t>
      </w:r>
    </w:p>
    <w:p w14:paraId="321B9B1D" w14:textId="77777777" w:rsidR="00D00D9D" w:rsidRPr="006F3533" w:rsidRDefault="00D00D9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Следва да се има предвид, че броят на валидните сертификати не е еквивалентен на общия брой нежилищни сгради, а отразява само онази част от сградния фонд, за която към момента е изпълнено изискването за сертифициране или за която сертификатът е подновен в рамките на срока на валидност.</w:t>
      </w:r>
    </w:p>
    <w:p w14:paraId="5B6956FA" w14:textId="0F5080E7" w:rsidR="00D00D9D" w:rsidRPr="006F3533" w:rsidRDefault="00D00D9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Данните в таблицата показват, че разпределението на валидните сертификати за енергийни характеристики е неравномерно между отделните типове нежилищни сгради. По-висок брой валидни сертификати се наблюдава при категории, за които изискването за сертифициране се прилага по-често в практиката, като административни сгради</w:t>
      </w:r>
      <w:r w:rsidR="00B262CD" w:rsidRPr="006F3533">
        <w:rPr>
          <w:rFonts w:eastAsia="Times New Roman" w:cs="Times New Roman"/>
          <w:szCs w:val="24"/>
          <w:lang w:val="bg-BG"/>
        </w:rPr>
        <w:t xml:space="preserve"> и</w:t>
      </w:r>
      <w:r w:rsidRPr="006F3533">
        <w:rPr>
          <w:rFonts w:eastAsia="Times New Roman" w:cs="Times New Roman"/>
          <w:szCs w:val="24"/>
          <w:lang w:val="bg-BG"/>
        </w:rPr>
        <w:t xml:space="preserve"> образователни сгради</w:t>
      </w:r>
      <w:r w:rsidR="00B262CD" w:rsidRPr="006F3533">
        <w:rPr>
          <w:rFonts w:eastAsia="Times New Roman" w:cs="Times New Roman"/>
          <w:szCs w:val="24"/>
          <w:lang w:val="bg-BG"/>
        </w:rPr>
        <w:t xml:space="preserve">. </w:t>
      </w:r>
    </w:p>
    <w:p w14:paraId="7CA70CC7" w14:textId="24C0A30A" w:rsidR="0051647C" w:rsidRPr="006F3533" w:rsidRDefault="0051647C" w:rsidP="00077D42">
      <w:pPr>
        <w:pStyle w:val="ListParagraph"/>
        <w:spacing w:line="240" w:lineRule="auto"/>
        <w:ind w:left="0"/>
        <w:jc w:val="both"/>
        <w:rPr>
          <w:rFonts w:cs="Times New Roman"/>
          <w:i/>
          <w:iCs/>
          <w:color w:val="0070C0"/>
          <w:szCs w:val="24"/>
          <w:lang w:val="bg-BG"/>
        </w:rPr>
      </w:pPr>
      <w:bookmarkStart w:id="120" w:name="_Hlk216445473"/>
      <w:r w:rsidRPr="006F3533">
        <w:rPr>
          <w:rFonts w:cs="Times New Roman"/>
          <w:i/>
          <w:iCs/>
          <w:color w:val="0070C0"/>
          <w:szCs w:val="24"/>
          <w:lang w:val="bg-BG"/>
        </w:rPr>
        <w:t xml:space="preserve">Таблица 5. </w:t>
      </w:r>
      <w:r w:rsidR="007E1DCA" w:rsidRPr="006F3533">
        <w:rPr>
          <w:rFonts w:cs="Times New Roman"/>
          <w:i/>
          <w:iCs/>
          <w:color w:val="0070C0"/>
          <w:szCs w:val="24"/>
          <w:lang w:val="bg-BG"/>
        </w:rPr>
        <w:t>Брой на валидните сертификати за енергийните характеристики на сгради по типове сгради</w:t>
      </w:r>
    </w:p>
    <w:tbl>
      <w:tblPr>
        <w:tblStyle w:val="TableGrid"/>
        <w:tblW w:w="5000" w:type="pct"/>
        <w:tblLook w:val="04A0" w:firstRow="1" w:lastRow="0" w:firstColumn="1" w:lastColumn="0" w:noHBand="0" w:noVBand="1"/>
      </w:tblPr>
      <w:tblGrid>
        <w:gridCol w:w="1007"/>
        <w:gridCol w:w="4027"/>
        <w:gridCol w:w="1173"/>
        <w:gridCol w:w="2855"/>
      </w:tblGrid>
      <w:tr w:rsidR="00B262CD" w:rsidRPr="006F3533" w14:paraId="55F2DEAB" w14:textId="77777777" w:rsidTr="00500C52">
        <w:trPr>
          <w:trHeight w:val="300"/>
        </w:trPr>
        <w:tc>
          <w:tcPr>
            <w:tcW w:w="556" w:type="pct"/>
            <w:shd w:val="clear" w:color="auto" w:fill="D0CECE" w:themeFill="background2" w:themeFillShade="E6"/>
          </w:tcPr>
          <w:p w14:paraId="445C2EB1" w14:textId="77777777" w:rsidR="00B262CD" w:rsidRPr="006F3533" w:rsidRDefault="00B262CD" w:rsidP="00077D42">
            <w:pPr>
              <w:pStyle w:val="ListParagraph"/>
              <w:ind w:left="0"/>
              <w:jc w:val="both"/>
              <w:rPr>
                <w:rFonts w:cs="Times New Roman"/>
                <w:szCs w:val="24"/>
                <w:lang w:val="bg-BG"/>
              </w:rPr>
            </w:pPr>
            <w:bookmarkStart w:id="121" w:name="_Hlk213847312"/>
            <w:bookmarkEnd w:id="120"/>
            <w:proofErr w:type="spellStart"/>
            <w:r w:rsidRPr="006F3533">
              <w:rPr>
                <w:rFonts w:cs="Times New Roman"/>
                <w:szCs w:val="24"/>
                <w:lang w:val="bg-BG"/>
              </w:rPr>
              <w:t>Code</w:t>
            </w:r>
            <w:proofErr w:type="spellEnd"/>
          </w:p>
        </w:tc>
        <w:tc>
          <w:tcPr>
            <w:tcW w:w="2222" w:type="pct"/>
            <w:shd w:val="clear" w:color="auto" w:fill="D0CECE" w:themeFill="background2" w:themeFillShade="E6"/>
          </w:tcPr>
          <w:p w14:paraId="1F781CA9" w14:textId="77777777" w:rsidR="00B262CD" w:rsidRPr="006F3533" w:rsidRDefault="00B262CD" w:rsidP="00077D42">
            <w:pPr>
              <w:pStyle w:val="ListParagraph"/>
              <w:ind w:left="0"/>
              <w:jc w:val="both"/>
              <w:rPr>
                <w:rFonts w:cs="Times New Roman"/>
                <w:szCs w:val="24"/>
                <w:lang w:val="bg-BG"/>
              </w:rPr>
            </w:pPr>
            <w:r w:rsidRPr="006F3533">
              <w:rPr>
                <w:rFonts w:cs="Times New Roman"/>
                <w:szCs w:val="24"/>
                <w:lang w:val="bg-BG"/>
              </w:rPr>
              <w:t>Building</w:t>
            </w:r>
          </w:p>
          <w:p w14:paraId="5DF0497F"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Type</w:t>
            </w:r>
            <w:proofErr w:type="spellEnd"/>
          </w:p>
        </w:tc>
        <w:tc>
          <w:tcPr>
            <w:tcW w:w="647" w:type="pct"/>
            <w:shd w:val="clear" w:color="auto" w:fill="D0CECE" w:themeFill="background2" w:themeFillShade="E6"/>
          </w:tcPr>
          <w:p w14:paraId="66407FA0" w14:textId="77777777" w:rsidR="00B262CD" w:rsidRPr="006F3533" w:rsidRDefault="00B262CD" w:rsidP="00077D42">
            <w:pPr>
              <w:pStyle w:val="ListParagraph"/>
              <w:ind w:left="0"/>
              <w:jc w:val="both"/>
              <w:rPr>
                <w:rFonts w:cs="Times New Roman"/>
                <w:szCs w:val="24"/>
                <w:lang w:val="bg-BG"/>
              </w:rPr>
            </w:pPr>
            <w:r w:rsidRPr="006F3533">
              <w:rPr>
                <w:rFonts w:cs="Times New Roman"/>
                <w:szCs w:val="24"/>
                <w:lang w:val="bg-BG"/>
              </w:rPr>
              <w:t>M/</w:t>
            </w:r>
          </w:p>
          <w:p w14:paraId="536D0BF1"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shd w:val="clear" w:color="auto" w:fill="D0CECE" w:themeFill="background2" w:themeFillShade="E6"/>
          </w:tcPr>
          <w:p w14:paraId="19700F32"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No</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valid</w:t>
            </w:r>
            <w:proofErr w:type="spellEnd"/>
            <w:r w:rsidRPr="006F3533">
              <w:rPr>
                <w:rFonts w:cs="Times New Roman"/>
                <w:szCs w:val="24"/>
                <w:lang w:val="bg-BG"/>
              </w:rPr>
              <w:t xml:space="preserve"> EPC </w:t>
            </w:r>
          </w:p>
          <w:p w14:paraId="7B03A131"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p w14:paraId="554BBF33" w14:textId="77777777" w:rsidR="00B262CD" w:rsidRPr="006F3533" w:rsidRDefault="00B262CD" w:rsidP="00077D42">
            <w:pPr>
              <w:pStyle w:val="ListParagraph"/>
              <w:ind w:left="0"/>
              <w:jc w:val="both"/>
              <w:rPr>
                <w:rFonts w:cs="Times New Roman"/>
                <w:szCs w:val="24"/>
                <w:lang w:val="bg-BG"/>
              </w:rPr>
            </w:pPr>
          </w:p>
        </w:tc>
      </w:tr>
      <w:tr w:rsidR="00B262CD" w:rsidRPr="006F3533" w14:paraId="484CEF40" w14:textId="77777777" w:rsidTr="00500C52">
        <w:trPr>
          <w:trHeight w:val="300"/>
        </w:trPr>
        <w:tc>
          <w:tcPr>
            <w:tcW w:w="556" w:type="pct"/>
          </w:tcPr>
          <w:p w14:paraId="61552979" w14:textId="77777777" w:rsidR="00B262CD" w:rsidRPr="006F3533" w:rsidRDefault="00B262CD" w:rsidP="00077D42">
            <w:pPr>
              <w:pStyle w:val="ListParagraph"/>
              <w:ind w:left="0"/>
              <w:jc w:val="both"/>
              <w:rPr>
                <w:rFonts w:cs="Times New Roman"/>
                <w:szCs w:val="24"/>
                <w:lang w:val="bg-BG"/>
              </w:rPr>
            </w:pPr>
            <w:r w:rsidRPr="006F3533">
              <w:rPr>
                <w:rFonts w:cs="Times New Roman"/>
                <w:szCs w:val="24"/>
                <w:lang w:val="bg-BG"/>
              </w:rPr>
              <w:t xml:space="preserve">R </w:t>
            </w:r>
          </w:p>
        </w:tc>
        <w:tc>
          <w:tcPr>
            <w:tcW w:w="2222" w:type="pct"/>
          </w:tcPr>
          <w:p w14:paraId="1B25019E" w14:textId="77777777" w:rsidR="00B262CD" w:rsidRPr="006F3533" w:rsidRDefault="00B262CD" w:rsidP="00077D42">
            <w:pPr>
              <w:jc w:val="both"/>
              <w:rPr>
                <w:rFonts w:cs="Times New Roman"/>
                <w:szCs w:val="24"/>
                <w:lang w:val="bg-BG"/>
              </w:rPr>
            </w:pPr>
            <w:proofErr w:type="spellStart"/>
            <w:r w:rsidRPr="006F3533">
              <w:rPr>
                <w:rFonts w:cs="Times New Roman"/>
                <w:szCs w:val="24"/>
                <w:lang w:val="bg-BG"/>
              </w:rPr>
              <w:t>Residential</w:t>
            </w:r>
            <w:proofErr w:type="spellEnd"/>
            <w:r w:rsidRPr="006F3533">
              <w:rPr>
                <w:rFonts w:cs="Times New Roman"/>
                <w:szCs w:val="24"/>
                <w:lang w:val="bg-BG"/>
              </w:rPr>
              <w:t xml:space="preserve"> </w:t>
            </w:r>
          </w:p>
          <w:p w14:paraId="75BBCB22" w14:textId="77777777" w:rsidR="00B262CD" w:rsidRPr="006F3533" w:rsidRDefault="00B262CD" w:rsidP="00077D42">
            <w:pPr>
              <w:jc w:val="both"/>
              <w:rPr>
                <w:rFonts w:cs="Times New Roman"/>
                <w:szCs w:val="24"/>
                <w:lang w:val="bg-BG"/>
              </w:rPr>
            </w:pPr>
          </w:p>
          <w:p w14:paraId="406CD528" w14:textId="77777777" w:rsidR="00B262CD" w:rsidRPr="006F3533" w:rsidRDefault="00B262CD" w:rsidP="00077D42">
            <w:pPr>
              <w:jc w:val="both"/>
              <w:rPr>
                <w:rFonts w:cs="Times New Roman"/>
                <w:i/>
                <w:iCs/>
                <w:szCs w:val="24"/>
                <w:lang w:val="bg-BG"/>
              </w:rPr>
            </w:pPr>
          </w:p>
          <w:p w14:paraId="2A3A3879" w14:textId="77777777" w:rsidR="00B262CD" w:rsidRPr="006F3533" w:rsidRDefault="00B262CD" w:rsidP="00077D42">
            <w:pPr>
              <w:jc w:val="both"/>
              <w:rPr>
                <w:rFonts w:cs="Times New Roman"/>
                <w:i/>
                <w:iCs/>
                <w:szCs w:val="24"/>
                <w:lang w:val="bg-BG"/>
              </w:rPr>
            </w:pPr>
          </w:p>
          <w:p w14:paraId="169544BD" w14:textId="77777777" w:rsidR="00B262CD" w:rsidRPr="006F3533" w:rsidRDefault="00B262CD" w:rsidP="00077D42">
            <w:pPr>
              <w:jc w:val="both"/>
              <w:rPr>
                <w:rFonts w:cs="Times New Roman"/>
                <w:szCs w:val="24"/>
                <w:lang w:val="bg-BG"/>
              </w:rPr>
            </w:pP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p>
        </w:tc>
        <w:tc>
          <w:tcPr>
            <w:tcW w:w="647" w:type="pct"/>
          </w:tcPr>
          <w:p w14:paraId="777AC4C6" w14:textId="77777777" w:rsidR="00B262CD" w:rsidRPr="006F3533" w:rsidRDefault="00B262CD" w:rsidP="00077D42">
            <w:pPr>
              <w:pStyle w:val="ListParagraph"/>
              <w:ind w:left="0"/>
              <w:jc w:val="both"/>
              <w:rPr>
                <w:rFonts w:cs="Times New Roman"/>
                <w:szCs w:val="24"/>
                <w:lang w:val="bg-BG"/>
              </w:rPr>
            </w:pPr>
            <w:r w:rsidRPr="006F3533">
              <w:rPr>
                <w:rFonts w:cs="Times New Roman"/>
                <w:szCs w:val="24"/>
                <w:lang w:val="bg-BG"/>
              </w:rPr>
              <w:t>M</w:t>
            </w:r>
          </w:p>
        </w:tc>
        <w:tc>
          <w:tcPr>
            <w:tcW w:w="1575" w:type="pct"/>
          </w:tcPr>
          <w:p w14:paraId="3BDBD006" w14:textId="77777777" w:rsidR="00B262CD" w:rsidRPr="006F3533" w:rsidRDefault="00B262CD" w:rsidP="00077D42">
            <w:pPr>
              <w:jc w:val="both"/>
              <w:rPr>
                <w:rFonts w:cs="Times New Roman"/>
                <w:color w:val="0070C0"/>
                <w:szCs w:val="24"/>
                <w:lang w:val="bg-BG"/>
              </w:rPr>
            </w:pPr>
            <w:r w:rsidRPr="006F3533">
              <w:rPr>
                <w:rFonts w:cs="Times New Roman"/>
                <w:color w:val="0070C0"/>
                <w:szCs w:val="24"/>
                <w:lang w:val="bg-BG"/>
              </w:rPr>
              <w:t>R= (a) + (b1)</w:t>
            </w:r>
          </w:p>
          <w:p w14:paraId="7AC845D3" w14:textId="77777777" w:rsidR="00B262CD" w:rsidRPr="006F3533" w:rsidRDefault="00B262CD" w:rsidP="00077D42">
            <w:pPr>
              <w:jc w:val="both"/>
              <w:rPr>
                <w:rFonts w:cs="Times New Roman"/>
                <w:color w:val="0070C0"/>
                <w:szCs w:val="24"/>
                <w:lang w:val="bg-BG"/>
              </w:rPr>
            </w:pPr>
            <w:r w:rsidRPr="006F3533">
              <w:rPr>
                <w:rFonts w:cs="Times New Roman"/>
                <w:color w:val="0070C0"/>
                <w:szCs w:val="24"/>
                <w:lang w:val="bg-BG"/>
              </w:rPr>
              <w:t>(</w:t>
            </w:r>
            <w:proofErr w:type="spellStart"/>
            <w:r w:rsidRPr="006F3533">
              <w:rPr>
                <w:rFonts w:cs="Times New Roman"/>
                <w:color w:val="0070C0"/>
                <w:szCs w:val="24"/>
                <w:lang w:val="bg-BG"/>
              </w:rPr>
              <w:t>No</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of</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buildings</w:t>
            </w:r>
            <w:proofErr w:type="spellEnd"/>
            <w:r w:rsidRPr="006F3533">
              <w:rPr>
                <w:rFonts w:cs="Times New Roman"/>
                <w:color w:val="0070C0"/>
                <w:szCs w:val="24"/>
                <w:lang w:val="bg-BG"/>
              </w:rPr>
              <w:t>)</w:t>
            </w:r>
          </w:p>
          <w:p w14:paraId="702BB313" w14:textId="77777777" w:rsidR="00B262CD" w:rsidRPr="006F3533" w:rsidRDefault="00B262CD" w:rsidP="00077D42">
            <w:pPr>
              <w:jc w:val="both"/>
              <w:rPr>
                <w:rFonts w:cs="Times New Roman"/>
                <w:color w:val="0070C0"/>
                <w:szCs w:val="24"/>
                <w:lang w:val="bg-BG"/>
              </w:rPr>
            </w:pPr>
            <w:r w:rsidRPr="006F3533">
              <w:rPr>
                <w:rFonts w:cs="Times New Roman"/>
                <w:color w:val="0070C0"/>
                <w:szCs w:val="24"/>
                <w:lang w:val="bg-BG"/>
              </w:rPr>
              <w:t>OR</w:t>
            </w:r>
          </w:p>
          <w:p w14:paraId="5781D0D1" w14:textId="77777777" w:rsidR="00B262CD" w:rsidRPr="006F3533" w:rsidRDefault="00B262CD" w:rsidP="00077D42">
            <w:pPr>
              <w:jc w:val="both"/>
              <w:rPr>
                <w:rFonts w:cs="Times New Roman"/>
                <w:color w:val="0070C0"/>
                <w:szCs w:val="24"/>
                <w:lang w:val="bg-BG"/>
              </w:rPr>
            </w:pPr>
            <w:r w:rsidRPr="006F3533">
              <w:rPr>
                <w:rFonts w:cs="Times New Roman"/>
                <w:color w:val="0070C0"/>
                <w:szCs w:val="24"/>
                <w:lang w:val="bg-BG"/>
              </w:rPr>
              <w:t>R= (a) + (b2)</w:t>
            </w:r>
          </w:p>
          <w:p w14:paraId="2A34D7F1" w14:textId="77777777" w:rsidR="00B262CD" w:rsidRPr="006F3533" w:rsidRDefault="00B262CD" w:rsidP="00077D42">
            <w:pPr>
              <w:jc w:val="both"/>
              <w:rPr>
                <w:rFonts w:cs="Times New Roman"/>
                <w:color w:val="0070C0"/>
                <w:szCs w:val="24"/>
                <w:lang w:val="bg-BG"/>
              </w:rPr>
            </w:pPr>
            <w:r w:rsidRPr="006F3533">
              <w:rPr>
                <w:rFonts w:cs="Times New Roman"/>
                <w:color w:val="0070C0"/>
                <w:szCs w:val="24"/>
                <w:lang w:val="bg-BG"/>
              </w:rPr>
              <w:t>(</w:t>
            </w:r>
            <w:proofErr w:type="spellStart"/>
            <w:r w:rsidRPr="006F3533">
              <w:rPr>
                <w:rFonts w:cs="Times New Roman"/>
                <w:color w:val="0070C0"/>
                <w:szCs w:val="24"/>
                <w:lang w:val="bg-BG"/>
              </w:rPr>
              <w:t>No</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of</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build</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units</w:t>
            </w:r>
            <w:proofErr w:type="spellEnd"/>
            <w:r w:rsidRPr="006F3533">
              <w:rPr>
                <w:rFonts w:cs="Times New Roman"/>
                <w:color w:val="0070C0"/>
                <w:szCs w:val="24"/>
                <w:lang w:val="bg-BG"/>
              </w:rPr>
              <w:t>)</w:t>
            </w:r>
          </w:p>
        </w:tc>
      </w:tr>
      <w:tr w:rsidR="00B262CD" w:rsidRPr="006F3533" w14:paraId="1B3B0B93" w14:textId="77777777" w:rsidTr="00500C52">
        <w:trPr>
          <w:trHeight w:val="300"/>
        </w:trPr>
        <w:tc>
          <w:tcPr>
            <w:tcW w:w="556" w:type="pct"/>
          </w:tcPr>
          <w:p w14:paraId="4A8334A7" w14:textId="77777777" w:rsidR="00B262CD" w:rsidRPr="006F3533" w:rsidRDefault="00B262CD" w:rsidP="00077D42">
            <w:pPr>
              <w:jc w:val="both"/>
              <w:rPr>
                <w:rFonts w:cs="Times New Roman"/>
                <w:i/>
                <w:iCs/>
                <w:szCs w:val="24"/>
                <w:lang w:val="bg-BG"/>
              </w:rPr>
            </w:pPr>
            <w:r w:rsidRPr="006F3533">
              <w:rPr>
                <w:rFonts w:cs="Times New Roman"/>
                <w:i/>
                <w:iCs/>
                <w:szCs w:val="24"/>
                <w:lang w:val="bg-BG"/>
              </w:rPr>
              <w:t>(a)</w:t>
            </w:r>
          </w:p>
        </w:tc>
        <w:tc>
          <w:tcPr>
            <w:tcW w:w="2222" w:type="pct"/>
          </w:tcPr>
          <w:p w14:paraId="2687D2AC"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single-family</w:t>
            </w:r>
            <w:proofErr w:type="spellEnd"/>
            <w:r w:rsidRPr="006F3533">
              <w:rPr>
                <w:rFonts w:cs="Times New Roman"/>
                <w:i/>
                <w:iCs/>
                <w:szCs w:val="24"/>
                <w:lang w:val="bg-BG"/>
              </w:rPr>
              <w:t xml:space="preserve"> </w:t>
            </w:r>
            <w:proofErr w:type="spellStart"/>
            <w:r w:rsidRPr="006F3533">
              <w:rPr>
                <w:rFonts w:cs="Times New Roman"/>
                <w:i/>
                <w:iCs/>
                <w:szCs w:val="24"/>
                <w:lang w:val="bg-BG"/>
              </w:rPr>
              <w:t>houses</w:t>
            </w:r>
            <w:proofErr w:type="spellEnd"/>
          </w:p>
          <w:p w14:paraId="43A9C875"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different</w:t>
            </w:r>
            <w:proofErr w:type="spellEnd"/>
            <w:r w:rsidRPr="006F3533">
              <w:rPr>
                <w:rFonts w:cs="Times New Roman"/>
                <w:i/>
                <w:iCs/>
                <w:szCs w:val="24"/>
                <w:lang w:val="bg-BG"/>
              </w:rPr>
              <w:t xml:space="preserve"> </w:t>
            </w:r>
            <w:proofErr w:type="spellStart"/>
            <w:r w:rsidRPr="006F3533">
              <w:rPr>
                <w:rFonts w:cs="Times New Roman"/>
                <w:i/>
                <w:iCs/>
                <w:szCs w:val="24"/>
                <w:lang w:val="bg-BG"/>
              </w:rPr>
              <w:t>types</w:t>
            </w:r>
            <w:proofErr w:type="spellEnd"/>
          </w:p>
        </w:tc>
        <w:tc>
          <w:tcPr>
            <w:tcW w:w="647" w:type="pct"/>
          </w:tcPr>
          <w:p w14:paraId="637BFE47"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26D6D877" w14:textId="77777777" w:rsidR="00B262CD" w:rsidRPr="006F3533" w:rsidRDefault="00B262CD" w:rsidP="00077D42">
            <w:pPr>
              <w:pStyle w:val="ListParagraph"/>
              <w:ind w:left="0"/>
              <w:jc w:val="both"/>
              <w:rPr>
                <w:rFonts w:cs="Times New Roman"/>
                <w:color w:val="0070C0"/>
                <w:szCs w:val="24"/>
                <w:lang w:val="bg-BG"/>
              </w:rPr>
            </w:pPr>
          </w:p>
        </w:tc>
      </w:tr>
      <w:tr w:rsidR="00B262CD" w:rsidRPr="006F3533" w14:paraId="241C9C4B" w14:textId="77777777" w:rsidTr="00500C52">
        <w:trPr>
          <w:trHeight w:val="300"/>
        </w:trPr>
        <w:tc>
          <w:tcPr>
            <w:tcW w:w="556" w:type="pct"/>
          </w:tcPr>
          <w:p w14:paraId="4337BEAC" w14:textId="77777777" w:rsidR="00B262CD" w:rsidRPr="006F3533" w:rsidRDefault="00B262CD" w:rsidP="00077D42">
            <w:pPr>
              <w:pStyle w:val="ListParagraph"/>
              <w:ind w:left="0"/>
              <w:jc w:val="both"/>
              <w:rPr>
                <w:rFonts w:cs="Times New Roman"/>
                <w:i/>
                <w:iCs/>
                <w:szCs w:val="24"/>
                <w:lang w:val="bg-BG"/>
              </w:rPr>
            </w:pPr>
            <w:r w:rsidRPr="006F3533">
              <w:rPr>
                <w:rFonts w:cs="Times New Roman"/>
                <w:i/>
                <w:iCs/>
                <w:szCs w:val="24"/>
                <w:lang w:val="bg-BG"/>
              </w:rPr>
              <w:t>(b1)</w:t>
            </w:r>
          </w:p>
          <w:p w14:paraId="4C9AB622" w14:textId="77777777" w:rsidR="00B262CD" w:rsidRPr="006F3533" w:rsidRDefault="00B262CD" w:rsidP="00077D42">
            <w:pPr>
              <w:pStyle w:val="ListParagraph"/>
              <w:ind w:left="0"/>
              <w:jc w:val="both"/>
              <w:rPr>
                <w:rFonts w:cs="Times New Roman"/>
                <w:i/>
                <w:iCs/>
                <w:szCs w:val="24"/>
                <w:lang w:val="bg-BG"/>
              </w:rPr>
            </w:pPr>
          </w:p>
          <w:p w14:paraId="664A1489" w14:textId="77777777" w:rsidR="00B262CD" w:rsidRPr="006F3533" w:rsidRDefault="00B262CD" w:rsidP="00077D42">
            <w:pPr>
              <w:pStyle w:val="ListParagraph"/>
              <w:ind w:left="0"/>
              <w:jc w:val="both"/>
              <w:rPr>
                <w:rFonts w:cs="Times New Roman"/>
                <w:i/>
                <w:iCs/>
                <w:szCs w:val="24"/>
                <w:lang w:val="bg-BG"/>
              </w:rPr>
            </w:pPr>
          </w:p>
          <w:p w14:paraId="4302B1F9" w14:textId="77777777" w:rsidR="00B262CD" w:rsidRPr="006F3533" w:rsidRDefault="00B262CD" w:rsidP="00077D42">
            <w:pPr>
              <w:pStyle w:val="ListParagraph"/>
              <w:ind w:left="0"/>
              <w:jc w:val="both"/>
              <w:rPr>
                <w:rFonts w:cs="Times New Roman"/>
                <w:i/>
                <w:iCs/>
                <w:szCs w:val="24"/>
                <w:lang w:val="bg-BG"/>
              </w:rPr>
            </w:pPr>
          </w:p>
        </w:tc>
        <w:tc>
          <w:tcPr>
            <w:tcW w:w="2222" w:type="pct"/>
          </w:tcPr>
          <w:p w14:paraId="59726E01"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apartment</w:t>
            </w:r>
            <w:proofErr w:type="spellEnd"/>
            <w:r w:rsidRPr="006F3533">
              <w:rPr>
                <w:rFonts w:cs="Times New Roman"/>
                <w:i/>
                <w:iCs/>
                <w:szCs w:val="24"/>
                <w:lang w:val="bg-BG"/>
              </w:rPr>
              <w:t xml:space="preserve"> </w:t>
            </w:r>
            <w:proofErr w:type="spellStart"/>
            <w:r w:rsidRPr="006F3533">
              <w:rPr>
                <w:rFonts w:cs="Times New Roman"/>
                <w:i/>
                <w:iCs/>
                <w:szCs w:val="24"/>
                <w:lang w:val="bg-BG"/>
              </w:rPr>
              <w:t>blocks</w:t>
            </w:r>
            <w:proofErr w:type="spellEnd"/>
            <w:r w:rsidRPr="006F3533">
              <w:rPr>
                <w:rFonts w:cs="Times New Roman"/>
                <w:i/>
                <w:iCs/>
                <w:szCs w:val="24"/>
                <w:lang w:val="bg-BG"/>
              </w:rPr>
              <w:t xml:space="preserve"> </w:t>
            </w:r>
            <w:proofErr w:type="spellStart"/>
            <w:r w:rsidRPr="006F3533">
              <w:rPr>
                <w:rFonts w:cs="Times New Roman"/>
                <w:i/>
                <w:iCs/>
                <w:szCs w:val="24"/>
                <w:lang w:val="bg-BG"/>
              </w:rPr>
              <w:t>or</w:t>
            </w:r>
            <w:proofErr w:type="spellEnd"/>
            <w:r w:rsidRPr="006F3533">
              <w:rPr>
                <w:rFonts w:cs="Times New Roman"/>
                <w:i/>
                <w:iCs/>
                <w:szCs w:val="24"/>
                <w:lang w:val="bg-BG"/>
              </w:rPr>
              <w:t xml:space="preserve"> </w:t>
            </w:r>
            <w:proofErr w:type="spellStart"/>
            <w:r w:rsidRPr="006F3533">
              <w:rPr>
                <w:rFonts w:cs="Times New Roman"/>
                <w:i/>
                <w:iCs/>
                <w:szCs w:val="24"/>
                <w:lang w:val="bg-BG"/>
              </w:rPr>
              <w:t>multi-family</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r w:rsidRPr="006F3533">
              <w:rPr>
                <w:rFonts w:cs="Times New Roman"/>
                <w:i/>
                <w:iCs/>
                <w:szCs w:val="24"/>
                <w:lang w:val="bg-BG"/>
              </w:rPr>
              <w:t xml:space="preserve"> </w:t>
            </w:r>
          </w:p>
          <w:p w14:paraId="15F30052" w14:textId="77777777" w:rsidR="00B262CD" w:rsidRPr="006F3533" w:rsidRDefault="00B262CD" w:rsidP="00077D42">
            <w:pPr>
              <w:pStyle w:val="ListParagraph"/>
              <w:ind w:left="0"/>
              <w:jc w:val="both"/>
              <w:rPr>
                <w:rFonts w:cs="Times New Roman"/>
                <w:i/>
                <w:iCs/>
                <w:szCs w:val="24"/>
                <w:lang w:val="bg-BG"/>
              </w:rPr>
            </w:pPr>
          </w:p>
          <w:p w14:paraId="2660091B" w14:textId="77777777" w:rsidR="00B262CD" w:rsidRPr="006F3533" w:rsidRDefault="00B262CD" w:rsidP="00077D42">
            <w:pPr>
              <w:pStyle w:val="ListParagraph"/>
              <w:ind w:left="0"/>
              <w:jc w:val="both"/>
              <w:rPr>
                <w:rFonts w:cs="Times New Roman"/>
                <w:i/>
                <w:iCs/>
                <w:szCs w:val="24"/>
                <w:lang w:val="bg-BG"/>
              </w:rPr>
            </w:pPr>
          </w:p>
        </w:tc>
        <w:tc>
          <w:tcPr>
            <w:tcW w:w="647" w:type="pct"/>
          </w:tcPr>
          <w:p w14:paraId="4D4A16F1"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p w14:paraId="2E5EF5FE" w14:textId="77777777" w:rsidR="00B262CD" w:rsidRPr="006F3533" w:rsidRDefault="00B262CD" w:rsidP="00077D42">
            <w:pPr>
              <w:pStyle w:val="ListParagraph"/>
              <w:ind w:left="0"/>
              <w:jc w:val="both"/>
              <w:rPr>
                <w:rFonts w:cs="Times New Roman"/>
                <w:szCs w:val="24"/>
                <w:lang w:val="bg-BG"/>
              </w:rPr>
            </w:pPr>
          </w:p>
          <w:p w14:paraId="0C0FCDF8" w14:textId="77777777" w:rsidR="00B262CD" w:rsidRPr="006F3533" w:rsidRDefault="00B262CD" w:rsidP="00077D42">
            <w:pPr>
              <w:pStyle w:val="ListParagraph"/>
              <w:ind w:left="0"/>
              <w:jc w:val="both"/>
              <w:rPr>
                <w:rFonts w:cs="Times New Roman"/>
                <w:szCs w:val="24"/>
                <w:lang w:val="bg-BG"/>
              </w:rPr>
            </w:pPr>
          </w:p>
          <w:p w14:paraId="555D5B84" w14:textId="77777777" w:rsidR="00B262CD" w:rsidRPr="006F3533" w:rsidRDefault="00B262CD" w:rsidP="00077D42">
            <w:pPr>
              <w:pStyle w:val="ListParagraph"/>
              <w:ind w:left="0"/>
              <w:jc w:val="both"/>
              <w:rPr>
                <w:rFonts w:cs="Times New Roman"/>
                <w:szCs w:val="24"/>
                <w:lang w:val="bg-BG"/>
              </w:rPr>
            </w:pPr>
          </w:p>
        </w:tc>
        <w:tc>
          <w:tcPr>
            <w:tcW w:w="1575" w:type="pct"/>
          </w:tcPr>
          <w:p w14:paraId="798CA82C" w14:textId="77777777" w:rsidR="00B262CD" w:rsidRPr="006F3533" w:rsidRDefault="00B262CD" w:rsidP="00077D42">
            <w:pPr>
              <w:pStyle w:val="ListParagraph"/>
              <w:ind w:left="0"/>
              <w:jc w:val="both"/>
              <w:rPr>
                <w:rFonts w:cs="Times New Roman"/>
                <w:color w:val="0070C0"/>
                <w:szCs w:val="24"/>
                <w:lang w:val="bg-BG"/>
              </w:rPr>
            </w:pPr>
          </w:p>
        </w:tc>
      </w:tr>
      <w:tr w:rsidR="00B262CD" w:rsidRPr="006F3533" w14:paraId="136C4405" w14:textId="77777777" w:rsidTr="00500C52">
        <w:trPr>
          <w:trHeight w:val="300"/>
        </w:trPr>
        <w:tc>
          <w:tcPr>
            <w:tcW w:w="556" w:type="pct"/>
          </w:tcPr>
          <w:p w14:paraId="78A4A9E8" w14:textId="77777777" w:rsidR="00B262CD" w:rsidRPr="006F3533" w:rsidRDefault="00B262CD" w:rsidP="00077D42">
            <w:pPr>
              <w:pStyle w:val="ListParagraph"/>
              <w:ind w:left="0"/>
              <w:jc w:val="both"/>
              <w:rPr>
                <w:rFonts w:cs="Times New Roman"/>
                <w:i/>
                <w:iCs/>
                <w:szCs w:val="24"/>
                <w:lang w:val="bg-BG"/>
              </w:rPr>
            </w:pPr>
            <w:r w:rsidRPr="006F3533">
              <w:rPr>
                <w:rFonts w:cs="Times New Roman"/>
                <w:i/>
                <w:iCs/>
                <w:szCs w:val="24"/>
                <w:lang w:val="bg-BG"/>
              </w:rPr>
              <w:t>(b2)</w:t>
            </w:r>
          </w:p>
        </w:tc>
        <w:tc>
          <w:tcPr>
            <w:tcW w:w="2222" w:type="pct"/>
          </w:tcPr>
          <w:p w14:paraId="6017201E"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residential</w:t>
            </w:r>
            <w:proofErr w:type="spellEnd"/>
            <w:r w:rsidRPr="006F3533">
              <w:rPr>
                <w:rFonts w:cs="Times New Roman"/>
                <w:i/>
                <w:iCs/>
                <w:szCs w:val="24"/>
                <w:lang w:val="bg-BG"/>
              </w:rPr>
              <w:t xml:space="preserve"> </w:t>
            </w:r>
            <w:proofErr w:type="spellStart"/>
            <w:r w:rsidRPr="006F3533">
              <w:rPr>
                <w:rFonts w:cs="Times New Roman"/>
                <w:i/>
                <w:iCs/>
                <w:szCs w:val="24"/>
                <w:lang w:val="bg-BG"/>
              </w:rPr>
              <w:t>building</w:t>
            </w:r>
            <w:proofErr w:type="spellEnd"/>
            <w:r w:rsidRPr="006F3533">
              <w:rPr>
                <w:rFonts w:cs="Times New Roman"/>
                <w:i/>
                <w:iCs/>
                <w:szCs w:val="24"/>
                <w:lang w:val="bg-BG"/>
              </w:rPr>
              <w:t xml:space="preserve"> </w:t>
            </w:r>
            <w:proofErr w:type="spellStart"/>
            <w:r w:rsidRPr="006F3533">
              <w:rPr>
                <w:rFonts w:cs="Times New Roman"/>
                <w:i/>
                <w:iCs/>
                <w:szCs w:val="24"/>
                <w:lang w:val="bg-BG"/>
              </w:rPr>
              <w:t>units</w:t>
            </w:r>
            <w:proofErr w:type="spellEnd"/>
            <w:r w:rsidRPr="006F3533">
              <w:rPr>
                <w:rFonts w:cs="Times New Roman"/>
                <w:i/>
                <w:iCs/>
                <w:szCs w:val="24"/>
                <w:lang w:val="bg-BG"/>
              </w:rPr>
              <w:t xml:space="preserve"> </w:t>
            </w:r>
            <w:proofErr w:type="spellStart"/>
            <w:r w:rsidRPr="006F3533">
              <w:rPr>
                <w:rFonts w:cs="Times New Roman"/>
                <w:i/>
                <w:iCs/>
                <w:szCs w:val="24"/>
                <w:lang w:val="bg-BG"/>
              </w:rPr>
              <w:t>in</w:t>
            </w:r>
            <w:proofErr w:type="spellEnd"/>
          </w:p>
          <w:p w14:paraId="7237FC08"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apartment</w:t>
            </w:r>
            <w:proofErr w:type="spellEnd"/>
            <w:r w:rsidRPr="006F3533">
              <w:rPr>
                <w:rFonts w:cs="Times New Roman"/>
                <w:i/>
                <w:iCs/>
                <w:szCs w:val="24"/>
                <w:lang w:val="bg-BG"/>
              </w:rPr>
              <w:t xml:space="preserve"> </w:t>
            </w:r>
            <w:proofErr w:type="spellStart"/>
            <w:r w:rsidRPr="006F3533">
              <w:rPr>
                <w:rFonts w:cs="Times New Roman"/>
                <w:i/>
                <w:iCs/>
                <w:szCs w:val="24"/>
                <w:lang w:val="bg-BG"/>
              </w:rPr>
              <w:t>blocks</w:t>
            </w:r>
            <w:proofErr w:type="spellEnd"/>
            <w:r w:rsidRPr="006F3533">
              <w:rPr>
                <w:rFonts w:cs="Times New Roman"/>
                <w:i/>
                <w:iCs/>
                <w:szCs w:val="24"/>
                <w:lang w:val="bg-BG"/>
              </w:rPr>
              <w:t xml:space="preserve"> </w:t>
            </w:r>
            <w:proofErr w:type="spellStart"/>
            <w:r w:rsidRPr="006F3533">
              <w:rPr>
                <w:rFonts w:cs="Times New Roman"/>
                <w:i/>
                <w:iCs/>
                <w:szCs w:val="24"/>
                <w:lang w:val="bg-BG"/>
              </w:rPr>
              <w:t>or</w:t>
            </w:r>
            <w:proofErr w:type="spellEnd"/>
            <w:r w:rsidRPr="006F3533">
              <w:rPr>
                <w:rFonts w:cs="Times New Roman"/>
                <w:i/>
                <w:iCs/>
                <w:szCs w:val="24"/>
                <w:lang w:val="bg-BG"/>
              </w:rPr>
              <w:t xml:space="preserve"> </w:t>
            </w:r>
            <w:proofErr w:type="spellStart"/>
            <w:r w:rsidRPr="006F3533">
              <w:rPr>
                <w:rFonts w:cs="Times New Roman"/>
                <w:i/>
                <w:iCs/>
                <w:szCs w:val="24"/>
                <w:lang w:val="bg-BG"/>
              </w:rPr>
              <w:t>multi-family</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p w14:paraId="68CCB6A4" w14:textId="77777777" w:rsidR="00B262CD" w:rsidRPr="006F3533" w:rsidRDefault="00B262CD" w:rsidP="00077D42">
            <w:pPr>
              <w:pStyle w:val="ListParagraph"/>
              <w:ind w:left="0"/>
              <w:jc w:val="both"/>
              <w:rPr>
                <w:rFonts w:cs="Times New Roman"/>
                <w:i/>
                <w:iCs/>
                <w:szCs w:val="24"/>
                <w:lang w:val="bg-BG"/>
              </w:rPr>
            </w:pPr>
          </w:p>
        </w:tc>
        <w:tc>
          <w:tcPr>
            <w:tcW w:w="647" w:type="pct"/>
          </w:tcPr>
          <w:p w14:paraId="1087959C"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3C8347F5" w14:textId="77777777" w:rsidR="00B262CD" w:rsidRPr="006F3533" w:rsidRDefault="00B262CD" w:rsidP="00077D42">
            <w:pPr>
              <w:pStyle w:val="ListParagraph"/>
              <w:ind w:left="0"/>
              <w:jc w:val="both"/>
              <w:rPr>
                <w:rFonts w:cs="Times New Roman"/>
                <w:color w:val="0070C0"/>
                <w:szCs w:val="24"/>
                <w:lang w:val="bg-BG"/>
              </w:rPr>
            </w:pPr>
          </w:p>
        </w:tc>
      </w:tr>
      <w:tr w:rsidR="00B262CD" w:rsidRPr="006F3533" w14:paraId="28B29094" w14:textId="77777777" w:rsidTr="00500C52">
        <w:trPr>
          <w:trHeight w:val="300"/>
        </w:trPr>
        <w:tc>
          <w:tcPr>
            <w:tcW w:w="556" w:type="pct"/>
          </w:tcPr>
          <w:p w14:paraId="3B7A2844" w14:textId="77777777" w:rsidR="00B262CD" w:rsidRPr="006F3533" w:rsidRDefault="00B262CD" w:rsidP="00077D42">
            <w:pPr>
              <w:pStyle w:val="ListParagraph"/>
              <w:ind w:left="0"/>
              <w:jc w:val="both"/>
              <w:rPr>
                <w:rFonts w:cs="Times New Roman"/>
                <w:szCs w:val="24"/>
                <w:lang w:val="bg-BG"/>
              </w:rPr>
            </w:pPr>
            <w:r w:rsidRPr="006F3533">
              <w:rPr>
                <w:rFonts w:cs="Times New Roman"/>
                <w:szCs w:val="24"/>
                <w:lang w:val="bg-BG"/>
              </w:rPr>
              <w:t>NR</w:t>
            </w:r>
          </w:p>
        </w:tc>
        <w:tc>
          <w:tcPr>
            <w:tcW w:w="2222" w:type="pct"/>
          </w:tcPr>
          <w:p w14:paraId="5867983C" w14:textId="77777777" w:rsidR="00B262CD" w:rsidRPr="006F3533" w:rsidRDefault="00B262CD" w:rsidP="00077D42">
            <w:pPr>
              <w:jc w:val="both"/>
              <w:rPr>
                <w:rFonts w:cs="Times New Roman"/>
                <w:szCs w:val="24"/>
                <w:lang w:val="bg-BG"/>
              </w:rPr>
            </w:pPr>
            <w:proofErr w:type="spellStart"/>
            <w:r w:rsidRPr="006F3533">
              <w:rPr>
                <w:rFonts w:cs="Times New Roman"/>
                <w:szCs w:val="24"/>
                <w:lang w:val="bg-BG"/>
              </w:rPr>
              <w:t>Non-residential</w:t>
            </w:r>
            <w:proofErr w:type="spellEnd"/>
          </w:p>
          <w:p w14:paraId="19482658" w14:textId="77777777" w:rsidR="00B262CD" w:rsidRPr="006F3533" w:rsidRDefault="00B262CD" w:rsidP="00077D42">
            <w:pPr>
              <w:jc w:val="both"/>
              <w:rPr>
                <w:rFonts w:cs="Times New Roman"/>
                <w:szCs w:val="24"/>
                <w:lang w:val="bg-BG"/>
              </w:rPr>
            </w:pPr>
          </w:p>
          <w:p w14:paraId="7FF3AAB3" w14:textId="77777777" w:rsidR="00B262CD" w:rsidRPr="006F3533" w:rsidRDefault="00B262CD" w:rsidP="00077D42">
            <w:pPr>
              <w:jc w:val="both"/>
              <w:rPr>
                <w:rFonts w:cs="Times New Roman"/>
                <w:szCs w:val="24"/>
                <w:lang w:val="bg-BG"/>
              </w:rPr>
            </w:pPr>
            <w:r w:rsidRPr="006F3533">
              <w:rPr>
                <w:rFonts w:cs="Times New Roman"/>
                <w:i/>
                <w:iCs/>
                <w:szCs w:val="24"/>
                <w:lang w:val="bg-BG"/>
              </w:rPr>
              <w:t xml:space="preserve"> </w:t>
            </w: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p>
        </w:tc>
        <w:tc>
          <w:tcPr>
            <w:tcW w:w="647" w:type="pct"/>
          </w:tcPr>
          <w:p w14:paraId="41E87FBA" w14:textId="77777777" w:rsidR="00B262CD" w:rsidRPr="006F3533" w:rsidRDefault="00B262CD" w:rsidP="00077D42">
            <w:pPr>
              <w:pStyle w:val="ListParagraph"/>
              <w:ind w:left="0"/>
              <w:jc w:val="both"/>
              <w:rPr>
                <w:rFonts w:cs="Times New Roman"/>
                <w:szCs w:val="24"/>
                <w:lang w:val="bg-BG"/>
              </w:rPr>
            </w:pPr>
            <w:r w:rsidRPr="006F3533">
              <w:rPr>
                <w:rFonts w:cs="Times New Roman"/>
                <w:szCs w:val="24"/>
                <w:lang w:val="bg-BG"/>
              </w:rPr>
              <w:t>M</w:t>
            </w:r>
          </w:p>
        </w:tc>
        <w:tc>
          <w:tcPr>
            <w:tcW w:w="1575" w:type="pct"/>
          </w:tcPr>
          <w:p w14:paraId="0F78CF3A"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3 789</w:t>
            </w:r>
            <w:r w:rsidRPr="006F3533">
              <w:rPr>
                <w:rFonts w:cs="Times New Roman"/>
                <w:color w:val="0070C0"/>
                <w:szCs w:val="24"/>
                <w:lang w:val="bg-BG"/>
              </w:rPr>
              <w:br/>
              <w:t xml:space="preserve"> NR = (c) + (d) + (e) + (f) +(g) + (h) +(i)</w:t>
            </w:r>
          </w:p>
        </w:tc>
      </w:tr>
      <w:tr w:rsidR="00B262CD" w:rsidRPr="006F3533" w14:paraId="71FEC376" w14:textId="77777777" w:rsidTr="00500C52">
        <w:trPr>
          <w:trHeight w:val="300"/>
        </w:trPr>
        <w:tc>
          <w:tcPr>
            <w:tcW w:w="556" w:type="pct"/>
          </w:tcPr>
          <w:p w14:paraId="6561538E" w14:textId="77777777" w:rsidR="00B262CD" w:rsidRPr="006F3533" w:rsidRDefault="00B262CD" w:rsidP="00077D42">
            <w:pPr>
              <w:jc w:val="both"/>
              <w:rPr>
                <w:rFonts w:cs="Times New Roman"/>
                <w:i/>
                <w:iCs/>
                <w:szCs w:val="24"/>
                <w:lang w:val="bg-BG"/>
              </w:rPr>
            </w:pPr>
            <w:r w:rsidRPr="006F3533">
              <w:rPr>
                <w:rFonts w:cs="Times New Roman"/>
                <w:i/>
                <w:iCs/>
                <w:szCs w:val="24"/>
                <w:lang w:val="bg-BG"/>
              </w:rPr>
              <w:t>(c)</w:t>
            </w:r>
          </w:p>
        </w:tc>
        <w:tc>
          <w:tcPr>
            <w:tcW w:w="2222" w:type="pct"/>
          </w:tcPr>
          <w:p w14:paraId="61CF6DF6" w14:textId="77777777" w:rsidR="00B262CD" w:rsidRPr="006F3533" w:rsidRDefault="00B262CD" w:rsidP="00077D42">
            <w:pPr>
              <w:pStyle w:val="ListParagraph"/>
              <w:ind w:left="708"/>
              <w:jc w:val="both"/>
              <w:rPr>
                <w:rFonts w:cs="Times New Roman"/>
                <w:szCs w:val="24"/>
                <w:lang w:val="bg-BG"/>
              </w:rPr>
            </w:pPr>
            <w:proofErr w:type="spellStart"/>
            <w:r w:rsidRPr="006F3533">
              <w:rPr>
                <w:rFonts w:cs="Times New Roman"/>
                <w:i/>
                <w:iCs/>
                <w:szCs w:val="24"/>
                <w:lang w:val="bg-BG"/>
              </w:rPr>
              <w:t>offices</w:t>
            </w:r>
            <w:proofErr w:type="spellEnd"/>
          </w:p>
        </w:tc>
        <w:tc>
          <w:tcPr>
            <w:tcW w:w="647" w:type="pct"/>
          </w:tcPr>
          <w:p w14:paraId="6DBA6E7A"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242D1EAE"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1 078</w:t>
            </w:r>
          </w:p>
        </w:tc>
      </w:tr>
      <w:tr w:rsidR="00B262CD" w:rsidRPr="006F3533" w14:paraId="7C9B27E7" w14:textId="77777777" w:rsidTr="00500C52">
        <w:trPr>
          <w:trHeight w:val="300"/>
        </w:trPr>
        <w:tc>
          <w:tcPr>
            <w:tcW w:w="556" w:type="pct"/>
          </w:tcPr>
          <w:p w14:paraId="559D864B" w14:textId="77777777" w:rsidR="00B262CD" w:rsidRPr="006F3533" w:rsidRDefault="00B262CD" w:rsidP="00077D42">
            <w:pPr>
              <w:pStyle w:val="ListParagraph"/>
              <w:ind w:left="0"/>
              <w:jc w:val="both"/>
              <w:rPr>
                <w:rFonts w:cs="Times New Roman"/>
                <w:i/>
                <w:iCs/>
                <w:szCs w:val="24"/>
                <w:lang w:val="bg-BG"/>
              </w:rPr>
            </w:pPr>
            <w:r w:rsidRPr="006F3533">
              <w:rPr>
                <w:rFonts w:cs="Times New Roman"/>
                <w:i/>
                <w:iCs/>
                <w:szCs w:val="24"/>
                <w:lang w:val="bg-BG"/>
              </w:rPr>
              <w:t>(d)</w:t>
            </w:r>
          </w:p>
        </w:tc>
        <w:tc>
          <w:tcPr>
            <w:tcW w:w="2222" w:type="pct"/>
          </w:tcPr>
          <w:p w14:paraId="1735D1FA"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educational</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647" w:type="pct"/>
          </w:tcPr>
          <w:p w14:paraId="06C5186C"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5246AE57"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530</w:t>
            </w:r>
          </w:p>
        </w:tc>
      </w:tr>
      <w:tr w:rsidR="00B262CD" w:rsidRPr="006F3533" w14:paraId="7582FCB0" w14:textId="77777777" w:rsidTr="00500C52">
        <w:trPr>
          <w:trHeight w:val="300"/>
        </w:trPr>
        <w:tc>
          <w:tcPr>
            <w:tcW w:w="556" w:type="pct"/>
          </w:tcPr>
          <w:p w14:paraId="6756C320" w14:textId="77777777" w:rsidR="00B262CD" w:rsidRPr="006F3533" w:rsidRDefault="00B262CD" w:rsidP="00077D42">
            <w:pPr>
              <w:pStyle w:val="ListParagraph"/>
              <w:ind w:left="0"/>
              <w:jc w:val="both"/>
              <w:rPr>
                <w:rFonts w:cs="Times New Roman"/>
                <w:i/>
                <w:iCs/>
                <w:szCs w:val="24"/>
                <w:lang w:val="bg-BG"/>
              </w:rPr>
            </w:pPr>
            <w:r w:rsidRPr="006F3533">
              <w:rPr>
                <w:rFonts w:cs="Times New Roman"/>
                <w:i/>
                <w:iCs/>
                <w:szCs w:val="24"/>
                <w:lang w:val="bg-BG"/>
              </w:rPr>
              <w:t>(e)</w:t>
            </w:r>
          </w:p>
        </w:tc>
        <w:tc>
          <w:tcPr>
            <w:tcW w:w="2222" w:type="pct"/>
          </w:tcPr>
          <w:p w14:paraId="0688865C"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kindergartens</w:t>
            </w:r>
            <w:proofErr w:type="spellEnd"/>
            <w:r w:rsidRPr="006F3533">
              <w:rPr>
                <w:rFonts w:cs="Times New Roman"/>
                <w:i/>
                <w:iCs/>
                <w:szCs w:val="24"/>
                <w:lang w:val="bg-BG"/>
              </w:rPr>
              <w:t xml:space="preserve"> and </w:t>
            </w:r>
            <w:proofErr w:type="spellStart"/>
            <w:r w:rsidRPr="006F3533">
              <w:rPr>
                <w:rFonts w:cs="Times New Roman"/>
                <w:i/>
                <w:iCs/>
                <w:szCs w:val="24"/>
                <w:lang w:val="bg-BG"/>
              </w:rPr>
              <w:t>nursery</w:t>
            </w:r>
            <w:proofErr w:type="spellEnd"/>
          </w:p>
        </w:tc>
        <w:tc>
          <w:tcPr>
            <w:tcW w:w="647" w:type="pct"/>
          </w:tcPr>
          <w:p w14:paraId="3E9721D5"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46F9BAE0"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395</w:t>
            </w:r>
          </w:p>
        </w:tc>
      </w:tr>
      <w:tr w:rsidR="00B262CD" w:rsidRPr="006F3533" w14:paraId="747740C7" w14:textId="77777777" w:rsidTr="00500C52">
        <w:trPr>
          <w:trHeight w:val="300"/>
        </w:trPr>
        <w:tc>
          <w:tcPr>
            <w:tcW w:w="556" w:type="pct"/>
          </w:tcPr>
          <w:p w14:paraId="3D24D98F" w14:textId="77777777" w:rsidR="00B262CD" w:rsidRPr="006F3533" w:rsidRDefault="00B262CD" w:rsidP="00077D42">
            <w:pPr>
              <w:pStyle w:val="ListParagraph"/>
              <w:ind w:left="0"/>
              <w:jc w:val="both"/>
              <w:rPr>
                <w:rFonts w:cs="Times New Roman"/>
                <w:i/>
                <w:iCs/>
                <w:szCs w:val="24"/>
                <w:lang w:val="bg-BG"/>
              </w:rPr>
            </w:pPr>
            <w:r w:rsidRPr="006F3533">
              <w:rPr>
                <w:rFonts w:cs="Times New Roman"/>
                <w:i/>
                <w:iCs/>
                <w:szCs w:val="24"/>
                <w:lang w:val="bg-BG"/>
              </w:rPr>
              <w:t>(f)</w:t>
            </w:r>
          </w:p>
        </w:tc>
        <w:tc>
          <w:tcPr>
            <w:tcW w:w="2222" w:type="pct"/>
          </w:tcPr>
          <w:p w14:paraId="49BB12E6"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hospitals</w:t>
            </w:r>
            <w:proofErr w:type="spellEnd"/>
            <w:r w:rsidRPr="006F3533">
              <w:rPr>
                <w:rFonts w:cs="Times New Roman"/>
                <w:i/>
                <w:iCs/>
                <w:szCs w:val="24"/>
                <w:lang w:val="bg-BG"/>
              </w:rPr>
              <w:t xml:space="preserve"> &amp; </w:t>
            </w:r>
            <w:proofErr w:type="spellStart"/>
            <w:r w:rsidRPr="006F3533">
              <w:rPr>
                <w:rFonts w:cs="Times New Roman"/>
                <w:i/>
                <w:iCs/>
                <w:szCs w:val="24"/>
                <w:lang w:val="bg-BG"/>
              </w:rPr>
              <w:t>healthcare</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647" w:type="pct"/>
          </w:tcPr>
          <w:p w14:paraId="28D0D421"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6E66AFE8"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192</w:t>
            </w:r>
          </w:p>
        </w:tc>
      </w:tr>
      <w:tr w:rsidR="00B262CD" w:rsidRPr="006F3533" w14:paraId="18A2225B" w14:textId="77777777" w:rsidTr="00500C52">
        <w:trPr>
          <w:trHeight w:val="300"/>
        </w:trPr>
        <w:tc>
          <w:tcPr>
            <w:tcW w:w="556" w:type="pct"/>
          </w:tcPr>
          <w:p w14:paraId="1DFD08E8" w14:textId="77777777" w:rsidR="00B262CD" w:rsidRPr="006F3533" w:rsidRDefault="00B262CD" w:rsidP="00077D42">
            <w:pPr>
              <w:pStyle w:val="ListParagraph"/>
              <w:ind w:left="0"/>
              <w:jc w:val="both"/>
              <w:rPr>
                <w:rFonts w:cs="Times New Roman"/>
                <w:i/>
                <w:iCs/>
                <w:szCs w:val="24"/>
                <w:lang w:val="bg-BG"/>
              </w:rPr>
            </w:pPr>
            <w:r w:rsidRPr="006F3533">
              <w:rPr>
                <w:rFonts w:cs="Times New Roman"/>
                <w:i/>
                <w:iCs/>
                <w:szCs w:val="24"/>
                <w:lang w:val="bg-BG"/>
              </w:rPr>
              <w:t>(g)</w:t>
            </w:r>
          </w:p>
        </w:tc>
        <w:tc>
          <w:tcPr>
            <w:tcW w:w="2222" w:type="pct"/>
          </w:tcPr>
          <w:p w14:paraId="0F4B7471"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hotels</w:t>
            </w:r>
            <w:proofErr w:type="spellEnd"/>
            <w:r w:rsidRPr="006F3533">
              <w:rPr>
                <w:rFonts w:cs="Times New Roman"/>
                <w:i/>
                <w:iCs/>
                <w:szCs w:val="24"/>
                <w:lang w:val="bg-BG"/>
              </w:rPr>
              <w:t xml:space="preserve"> and </w:t>
            </w:r>
            <w:proofErr w:type="spellStart"/>
            <w:r w:rsidRPr="006F3533">
              <w:rPr>
                <w:rFonts w:cs="Times New Roman"/>
                <w:i/>
                <w:iCs/>
                <w:szCs w:val="24"/>
                <w:lang w:val="bg-BG"/>
              </w:rPr>
              <w:t>restaurants</w:t>
            </w:r>
            <w:proofErr w:type="spellEnd"/>
          </w:p>
        </w:tc>
        <w:tc>
          <w:tcPr>
            <w:tcW w:w="647" w:type="pct"/>
          </w:tcPr>
          <w:p w14:paraId="5CBEC374"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1D5D2005"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252</w:t>
            </w:r>
          </w:p>
        </w:tc>
      </w:tr>
      <w:tr w:rsidR="00B262CD" w:rsidRPr="006F3533" w14:paraId="31D76DA2" w14:textId="77777777" w:rsidTr="00500C52">
        <w:trPr>
          <w:trHeight w:val="300"/>
        </w:trPr>
        <w:tc>
          <w:tcPr>
            <w:tcW w:w="556" w:type="pct"/>
          </w:tcPr>
          <w:p w14:paraId="1F0CBBED" w14:textId="77777777" w:rsidR="00B262CD" w:rsidRPr="006F3533" w:rsidRDefault="00B262CD" w:rsidP="00077D42">
            <w:pPr>
              <w:pStyle w:val="ListParagraph"/>
              <w:ind w:left="0"/>
              <w:jc w:val="both"/>
              <w:rPr>
                <w:rFonts w:cs="Times New Roman"/>
                <w:i/>
                <w:iCs/>
                <w:szCs w:val="24"/>
                <w:lang w:val="bg-BG"/>
              </w:rPr>
            </w:pPr>
            <w:r w:rsidRPr="006F3533">
              <w:rPr>
                <w:rFonts w:cs="Times New Roman"/>
                <w:i/>
                <w:iCs/>
                <w:szCs w:val="24"/>
                <w:lang w:val="bg-BG"/>
              </w:rPr>
              <w:t>(h)</w:t>
            </w:r>
          </w:p>
        </w:tc>
        <w:tc>
          <w:tcPr>
            <w:tcW w:w="2222" w:type="pct"/>
          </w:tcPr>
          <w:p w14:paraId="469235C9"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wholesale</w:t>
            </w:r>
            <w:proofErr w:type="spellEnd"/>
            <w:r w:rsidRPr="006F3533">
              <w:rPr>
                <w:rFonts w:cs="Times New Roman"/>
                <w:i/>
                <w:iCs/>
                <w:szCs w:val="24"/>
                <w:lang w:val="bg-BG"/>
              </w:rPr>
              <w:t xml:space="preserve"> and </w:t>
            </w:r>
            <w:proofErr w:type="spellStart"/>
            <w:r w:rsidRPr="006F3533">
              <w:rPr>
                <w:rFonts w:cs="Times New Roman"/>
                <w:i/>
                <w:iCs/>
                <w:szCs w:val="24"/>
                <w:lang w:val="bg-BG"/>
              </w:rPr>
              <w:t>retail</w:t>
            </w:r>
            <w:proofErr w:type="spellEnd"/>
            <w:r w:rsidRPr="006F3533">
              <w:rPr>
                <w:rFonts w:cs="Times New Roman"/>
                <w:i/>
                <w:iCs/>
                <w:szCs w:val="24"/>
                <w:lang w:val="bg-BG"/>
              </w:rPr>
              <w:t xml:space="preserve"> </w:t>
            </w:r>
            <w:proofErr w:type="spellStart"/>
            <w:r w:rsidRPr="006F3533">
              <w:rPr>
                <w:rFonts w:cs="Times New Roman"/>
                <w:i/>
                <w:iCs/>
                <w:szCs w:val="24"/>
                <w:lang w:val="bg-BG"/>
              </w:rPr>
              <w:t>trade</w:t>
            </w:r>
            <w:proofErr w:type="spellEnd"/>
            <w:r w:rsidRPr="006F3533">
              <w:rPr>
                <w:rFonts w:cs="Times New Roman"/>
                <w:i/>
                <w:iCs/>
                <w:szCs w:val="24"/>
                <w:lang w:val="bg-BG"/>
              </w:rPr>
              <w:t xml:space="preserve"> </w:t>
            </w:r>
            <w:proofErr w:type="spellStart"/>
            <w:r w:rsidRPr="006F3533">
              <w:rPr>
                <w:rFonts w:cs="Times New Roman"/>
                <w:i/>
                <w:iCs/>
                <w:szCs w:val="24"/>
                <w:lang w:val="bg-BG"/>
              </w:rPr>
              <w:t>services</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647" w:type="pct"/>
          </w:tcPr>
          <w:p w14:paraId="72262CD1"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3D925519"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654</w:t>
            </w:r>
          </w:p>
        </w:tc>
      </w:tr>
      <w:tr w:rsidR="00B262CD" w:rsidRPr="006F3533" w14:paraId="284647D6" w14:textId="77777777" w:rsidTr="00500C52">
        <w:trPr>
          <w:trHeight w:val="300"/>
        </w:trPr>
        <w:tc>
          <w:tcPr>
            <w:tcW w:w="556" w:type="pct"/>
          </w:tcPr>
          <w:p w14:paraId="3095B99E" w14:textId="77777777" w:rsidR="00B262CD" w:rsidRPr="006F3533" w:rsidRDefault="00B262CD" w:rsidP="00077D42">
            <w:pPr>
              <w:pStyle w:val="ListParagraph"/>
              <w:ind w:left="0"/>
              <w:jc w:val="both"/>
              <w:rPr>
                <w:rFonts w:cs="Times New Roman"/>
                <w:i/>
                <w:iCs/>
                <w:szCs w:val="24"/>
                <w:lang w:val="bg-BG"/>
              </w:rPr>
            </w:pPr>
            <w:r w:rsidRPr="006F3533">
              <w:rPr>
                <w:rFonts w:cs="Times New Roman"/>
                <w:i/>
                <w:iCs/>
                <w:szCs w:val="24"/>
                <w:lang w:val="bg-BG"/>
              </w:rPr>
              <w:lastRenderedPageBreak/>
              <w:t>(i)</w:t>
            </w:r>
          </w:p>
        </w:tc>
        <w:tc>
          <w:tcPr>
            <w:tcW w:w="2222" w:type="pct"/>
          </w:tcPr>
          <w:p w14:paraId="7AFEAD19"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i/>
                <w:iCs/>
                <w:szCs w:val="24"/>
                <w:lang w:val="bg-BG"/>
              </w:rPr>
              <w:t>sport</w:t>
            </w:r>
            <w:proofErr w:type="spellEnd"/>
            <w:r w:rsidRPr="006F3533">
              <w:rPr>
                <w:rFonts w:cs="Times New Roman"/>
                <w:i/>
                <w:iCs/>
                <w:szCs w:val="24"/>
                <w:lang w:val="bg-BG"/>
              </w:rPr>
              <w:t xml:space="preserve"> </w:t>
            </w:r>
            <w:proofErr w:type="spellStart"/>
            <w:r w:rsidRPr="006F3533">
              <w:rPr>
                <w:rFonts w:cs="Times New Roman"/>
                <w:i/>
                <w:iCs/>
                <w:szCs w:val="24"/>
                <w:lang w:val="bg-BG"/>
              </w:rPr>
              <w:t>facilities</w:t>
            </w:r>
            <w:proofErr w:type="spellEnd"/>
          </w:p>
        </w:tc>
        <w:tc>
          <w:tcPr>
            <w:tcW w:w="647" w:type="pct"/>
          </w:tcPr>
          <w:p w14:paraId="17439BF5"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17C2D3DB"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139</w:t>
            </w:r>
          </w:p>
        </w:tc>
      </w:tr>
      <w:tr w:rsidR="00B262CD" w:rsidRPr="006F3533" w14:paraId="51FA4BC6" w14:textId="77777777" w:rsidTr="00500C52">
        <w:trPr>
          <w:trHeight w:val="300"/>
        </w:trPr>
        <w:tc>
          <w:tcPr>
            <w:tcW w:w="556" w:type="pct"/>
          </w:tcPr>
          <w:p w14:paraId="2B3E96F7" w14:textId="77777777" w:rsidR="00B262CD" w:rsidRPr="006F3533" w:rsidRDefault="00B262CD" w:rsidP="00077D42">
            <w:pPr>
              <w:pStyle w:val="ListParagraph"/>
              <w:ind w:left="0"/>
              <w:jc w:val="both"/>
              <w:rPr>
                <w:rFonts w:cs="Times New Roman"/>
                <w:szCs w:val="24"/>
                <w:lang w:val="bg-BG"/>
              </w:rPr>
            </w:pPr>
            <w:r w:rsidRPr="006F3533">
              <w:rPr>
                <w:rFonts w:cs="Times New Roman"/>
                <w:i/>
                <w:iCs/>
                <w:szCs w:val="24"/>
                <w:lang w:val="bg-BG"/>
              </w:rPr>
              <w:t>(j)</w:t>
            </w:r>
          </w:p>
        </w:tc>
        <w:tc>
          <w:tcPr>
            <w:tcW w:w="2222" w:type="pct"/>
          </w:tcPr>
          <w:p w14:paraId="1B323A61"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culture</w:t>
            </w:r>
            <w:proofErr w:type="spellEnd"/>
            <w:r w:rsidRPr="006F3533">
              <w:rPr>
                <w:rFonts w:cs="Times New Roman"/>
                <w:i/>
                <w:iCs/>
                <w:szCs w:val="24"/>
                <w:lang w:val="bg-BG"/>
              </w:rPr>
              <w:t xml:space="preserve"> and </w:t>
            </w:r>
            <w:proofErr w:type="spellStart"/>
            <w:r w:rsidRPr="006F3533">
              <w:rPr>
                <w:rFonts w:cs="Times New Roman"/>
                <w:i/>
                <w:iCs/>
                <w:szCs w:val="24"/>
                <w:lang w:val="bg-BG"/>
              </w:rPr>
              <w:t>art</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647" w:type="pct"/>
          </w:tcPr>
          <w:p w14:paraId="70F65B00"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360DFEF2"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303</w:t>
            </w:r>
          </w:p>
        </w:tc>
      </w:tr>
      <w:tr w:rsidR="00B262CD" w:rsidRPr="006F3533" w14:paraId="71C6689E" w14:textId="77777777" w:rsidTr="00500C52">
        <w:trPr>
          <w:trHeight w:val="300"/>
        </w:trPr>
        <w:tc>
          <w:tcPr>
            <w:tcW w:w="556" w:type="pct"/>
          </w:tcPr>
          <w:p w14:paraId="0A39DE2C" w14:textId="77777777" w:rsidR="00B262CD" w:rsidRPr="006F3533" w:rsidRDefault="00B262CD" w:rsidP="00077D42">
            <w:pPr>
              <w:pStyle w:val="ListParagraph"/>
              <w:ind w:left="0"/>
              <w:jc w:val="both"/>
              <w:rPr>
                <w:rFonts w:cs="Times New Roman"/>
                <w:szCs w:val="24"/>
                <w:lang w:val="bg-BG"/>
              </w:rPr>
            </w:pPr>
            <w:r w:rsidRPr="006F3533">
              <w:rPr>
                <w:rFonts w:cs="Times New Roman"/>
                <w:i/>
                <w:iCs/>
                <w:szCs w:val="24"/>
                <w:lang w:val="bg-BG"/>
              </w:rPr>
              <w:t>(k)</w:t>
            </w:r>
          </w:p>
        </w:tc>
        <w:tc>
          <w:tcPr>
            <w:tcW w:w="2222" w:type="pct"/>
          </w:tcPr>
          <w:p w14:paraId="690CFF65"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Other</w:t>
            </w:r>
            <w:proofErr w:type="spellEnd"/>
            <w:r w:rsidRPr="006F3533">
              <w:rPr>
                <w:rFonts w:cs="Times New Roman"/>
                <w:i/>
                <w:iCs/>
                <w:szCs w:val="24"/>
                <w:lang w:val="bg-BG"/>
              </w:rPr>
              <w:t xml:space="preserve"> </w:t>
            </w:r>
            <w:proofErr w:type="spellStart"/>
            <w:r w:rsidRPr="006F3533">
              <w:rPr>
                <w:rFonts w:cs="Times New Roman"/>
                <w:i/>
                <w:iCs/>
                <w:szCs w:val="24"/>
                <w:lang w:val="bg-BG"/>
              </w:rPr>
              <w:t>type</w:t>
            </w:r>
            <w:proofErr w:type="spellEnd"/>
            <w:r w:rsidRPr="006F3533">
              <w:rPr>
                <w:rFonts w:cs="Times New Roman"/>
                <w:i/>
                <w:iCs/>
                <w:szCs w:val="24"/>
                <w:lang w:val="bg-BG"/>
              </w:rPr>
              <w:t xml:space="preserve"> (</w:t>
            </w:r>
            <w:proofErr w:type="spellStart"/>
            <w:r w:rsidRPr="006F3533">
              <w:rPr>
                <w:rFonts w:cs="Times New Roman"/>
                <w:i/>
                <w:iCs/>
                <w:szCs w:val="24"/>
                <w:lang w:val="bg-BG"/>
              </w:rPr>
              <w:t>individual</w:t>
            </w:r>
            <w:proofErr w:type="spellEnd"/>
            <w:r w:rsidRPr="006F3533">
              <w:rPr>
                <w:rFonts w:cs="Times New Roman"/>
                <w:i/>
                <w:iCs/>
                <w:szCs w:val="24"/>
                <w:lang w:val="bg-BG"/>
              </w:rPr>
              <w:t xml:space="preserve"> </w:t>
            </w:r>
            <w:proofErr w:type="spellStart"/>
            <w:r w:rsidRPr="006F3533">
              <w:rPr>
                <w:rFonts w:cs="Times New Roman"/>
                <w:i/>
                <w:iCs/>
                <w:szCs w:val="24"/>
                <w:lang w:val="bg-BG"/>
              </w:rPr>
              <w:t>energy</w:t>
            </w:r>
            <w:proofErr w:type="spellEnd"/>
            <w:r w:rsidRPr="006F3533">
              <w:rPr>
                <w:rFonts w:cs="Times New Roman"/>
                <w:i/>
                <w:iCs/>
                <w:szCs w:val="24"/>
                <w:lang w:val="bg-BG"/>
              </w:rPr>
              <w:t xml:space="preserve"> </w:t>
            </w:r>
            <w:proofErr w:type="spellStart"/>
            <w:r w:rsidRPr="006F3533">
              <w:rPr>
                <w:rFonts w:cs="Times New Roman"/>
                <w:i/>
                <w:iCs/>
                <w:szCs w:val="24"/>
                <w:lang w:val="bg-BG"/>
              </w:rPr>
              <w:t>class</w:t>
            </w:r>
            <w:proofErr w:type="spellEnd"/>
            <w:r w:rsidRPr="006F3533">
              <w:rPr>
                <w:rFonts w:cs="Times New Roman"/>
                <w:i/>
                <w:iCs/>
                <w:szCs w:val="24"/>
                <w:lang w:val="bg-BG"/>
              </w:rPr>
              <w:t xml:space="preserve"> </w:t>
            </w:r>
            <w:proofErr w:type="spellStart"/>
            <w:r w:rsidRPr="006F3533">
              <w:rPr>
                <w:rFonts w:cs="Times New Roman"/>
                <w:i/>
                <w:iCs/>
                <w:szCs w:val="24"/>
                <w:lang w:val="bg-BG"/>
              </w:rPr>
              <w:t>scales</w:t>
            </w:r>
            <w:proofErr w:type="spellEnd"/>
            <w:r w:rsidRPr="006F3533">
              <w:rPr>
                <w:rFonts w:cs="Times New Roman"/>
                <w:i/>
                <w:iCs/>
                <w:szCs w:val="24"/>
                <w:lang w:val="bg-BG"/>
              </w:rPr>
              <w:t>)</w:t>
            </w:r>
          </w:p>
        </w:tc>
        <w:tc>
          <w:tcPr>
            <w:tcW w:w="647" w:type="pct"/>
          </w:tcPr>
          <w:p w14:paraId="32AEB57C" w14:textId="77777777" w:rsidR="00B262CD" w:rsidRPr="006F3533" w:rsidRDefault="00B262CD"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Pr>
          <w:p w14:paraId="7375302F" w14:textId="77777777" w:rsidR="00B262CD" w:rsidRPr="006F3533" w:rsidRDefault="00B262CD" w:rsidP="00077D42">
            <w:pPr>
              <w:pStyle w:val="ListParagraph"/>
              <w:ind w:left="0"/>
              <w:jc w:val="both"/>
              <w:rPr>
                <w:rFonts w:cs="Times New Roman"/>
                <w:color w:val="0070C0"/>
                <w:szCs w:val="24"/>
                <w:lang w:val="bg-BG"/>
              </w:rPr>
            </w:pPr>
            <w:r w:rsidRPr="006F3533">
              <w:rPr>
                <w:rFonts w:cs="Times New Roman"/>
                <w:color w:val="0070C0"/>
                <w:szCs w:val="24"/>
                <w:lang w:val="bg-BG"/>
              </w:rPr>
              <w:t>246</w:t>
            </w:r>
          </w:p>
        </w:tc>
      </w:tr>
      <w:tr w:rsidR="00B262CD" w:rsidRPr="006F3533" w14:paraId="6AFD24F8" w14:textId="77777777" w:rsidTr="00500C52">
        <w:trPr>
          <w:trHeight w:val="300"/>
        </w:trPr>
        <w:tc>
          <w:tcPr>
            <w:tcW w:w="556" w:type="pct"/>
          </w:tcPr>
          <w:p w14:paraId="63A864D1" w14:textId="77777777" w:rsidR="00B262CD" w:rsidRPr="006F3533" w:rsidRDefault="00B262CD" w:rsidP="00077D42">
            <w:pPr>
              <w:pStyle w:val="ListParagraph"/>
              <w:ind w:left="0"/>
              <w:jc w:val="both"/>
              <w:rPr>
                <w:rFonts w:cs="Times New Roman"/>
                <w:szCs w:val="24"/>
                <w:lang w:val="bg-BG"/>
              </w:rPr>
            </w:pPr>
          </w:p>
        </w:tc>
        <w:tc>
          <w:tcPr>
            <w:tcW w:w="2222" w:type="pct"/>
          </w:tcPr>
          <w:p w14:paraId="4E3083A9" w14:textId="77777777" w:rsidR="00B262CD" w:rsidRPr="006F3533" w:rsidRDefault="00B262CD" w:rsidP="00077D42">
            <w:pPr>
              <w:pStyle w:val="ListParagraph"/>
              <w:ind w:left="0"/>
              <w:jc w:val="both"/>
              <w:rPr>
                <w:rFonts w:cs="Times New Roman"/>
                <w:i/>
                <w:iCs/>
                <w:szCs w:val="24"/>
                <w:lang w:val="bg-BG"/>
              </w:rPr>
            </w:pP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r w:rsidRPr="006F3533">
              <w:rPr>
                <w:rFonts w:cs="Times New Roman"/>
                <w:i/>
                <w:iCs/>
                <w:szCs w:val="24"/>
                <w:lang w:val="bg-BG"/>
              </w:rPr>
              <w:t xml:space="preserve"> </w:t>
            </w:r>
            <w:proofErr w:type="spellStart"/>
            <w:r w:rsidRPr="006F3533">
              <w:rPr>
                <w:rFonts w:cs="Times New Roman"/>
                <w:i/>
                <w:iCs/>
                <w:szCs w:val="24"/>
                <w:lang w:val="bg-BG"/>
              </w:rPr>
              <w:t>public</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647" w:type="pct"/>
          </w:tcPr>
          <w:p w14:paraId="3637CD27" w14:textId="77777777" w:rsidR="00B262CD" w:rsidRPr="006F3533" w:rsidRDefault="00B262CD" w:rsidP="00077D42">
            <w:pPr>
              <w:pStyle w:val="ListParagraph"/>
              <w:ind w:left="0"/>
              <w:jc w:val="both"/>
              <w:rPr>
                <w:rFonts w:cs="Times New Roman"/>
                <w:szCs w:val="24"/>
                <w:lang w:val="bg-BG"/>
              </w:rPr>
            </w:pPr>
            <w:r w:rsidRPr="006F3533">
              <w:rPr>
                <w:rFonts w:cs="Times New Roman"/>
                <w:szCs w:val="24"/>
                <w:lang w:val="bg-BG"/>
              </w:rPr>
              <w:t>M</w:t>
            </w:r>
          </w:p>
        </w:tc>
        <w:tc>
          <w:tcPr>
            <w:tcW w:w="1575" w:type="pct"/>
          </w:tcPr>
          <w:p w14:paraId="15C61415" w14:textId="572318FA" w:rsidR="00B262CD" w:rsidRPr="006F3533" w:rsidRDefault="00C44EFB" w:rsidP="00077D42">
            <w:pPr>
              <w:pStyle w:val="ListParagraph"/>
              <w:ind w:left="0"/>
              <w:jc w:val="both"/>
              <w:rPr>
                <w:rFonts w:cs="Times New Roman"/>
                <w:color w:val="0070C0"/>
                <w:szCs w:val="24"/>
                <w:lang w:val="bg-BG"/>
              </w:rPr>
            </w:pPr>
            <w:r w:rsidRPr="006F3533">
              <w:rPr>
                <w:rFonts w:cs="Times New Roman"/>
                <w:color w:val="0070C0"/>
                <w:szCs w:val="24"/>
                <w:lang w:val="bg-BG"/>
              </w:rPr>
              <w:t>2179</w:t>
            </w:r>
          </w:p>
        </w:tc>
      </w:tr>
      <w:tr w:rsidR="00B262CD" w:rsidRPr="006F3533" w14:paraId="23A77C62" w14:textId="77777777" w:rsidTr="00500C52">
        <w:trPr>
          <w:trHeight w:val="300"/>
        </w:trPr>
        <w:tc>
          <w:tcPr>
            <w:tcW w:w="556" w:type="pct"/>
          </w:tcPr>
          <w:p w14:paraId="0C8038E8" w14:textId="77777777" w:rsidR="00B262CD" w:rsidRPr="006F3533" w:rsidRDefault="00B262CD" w:rsidP="00077D42">
            <w:pPr>
              <w:pStyle w:val="ListParagraph"/>
              <w:ind w:left="0"/>
              <w:jc w:val="both"/>
              <w:rPr>
                <w:rFonts w:cs="Times New Roman"/>
                <w:szCs w:val="24"/>
                <w:lang w:val="bg-BG"/>
              </w:rPr>
            </w:pPr>
            <w:r w:rsidRPr="006F3533">
              <w:rPr>
                <w:rFonts w:cs="Times New Roman"/>
                <w:szCs w:val="24"/>
                <w:lang w:val="bg-BG"/>
              </w:rPr>
              <w:t>T</w:t>
            </w:r>
          </w:p>
        </w:tc>
        <w:tc>
          <w:tcPr>
            <w:tcW w:w="2222" w:type="pct"/>
          </w:tcPr>
          <w:p w14:paraId="2E13C4AB" w14:textId="77777777" w:rsidR="00B262CD" w:rsidRPr="006F3533" w:rsidRDefault="00B262CD" w:rsidP="00077D42">
            <w:pPr>
              <w:pStyle w:val="ListParagraph"/>
              <w:ind w:left="0"/>
              <w:jc w:val="both"/>
              <w:rPr>
                <w:rFonts w:cs="Times New Roman"/>
                <w:szCs w:val="24"/>
                <w:lang w:val="bg-BG"/>
              </w:rPr>
            </w:pPr>
            <w:r w:rsidRPr="006F3533">
              <w:rPr>
                <w:rFonts w:cs="Times New Roman"/>
                <w:szCs w:val="24"/>
                <w:lang w:val="bg-BG"/>
              </w:rPr>
              <w:t>Total</w:t>
            </w:r>
          </w:p>
        </w:tc>
        <w:tc>
          <w:tcPr>
            <w:tcW w:w="647" w:type="pct"/>
          </w:tcPr>
          <w:p w14:paraId="476CAA4A" w14:textId="77777777" w:rsidR="00B262CD" w:rsidRPr="006F3533" w:rsidRDefault="00B262CD" w:rsidP="00077D42">
            <w:pPr>
              <w:pStyle w:val="ListParagraph"/>
              <w:ind w:left="0"/>
              <w:jc w:val="both"/>
              <w:rPr>
                <w:rFonts w:cs="Times New Roman"/>
                <w:szCs w:val="24"/>
                <w:lang w:val="bg-BG"/>
              </w:rPr>
            </w:pPr>
          </w:p>
        </w:tc>
        <w:tc>
          <w:tcPr>
            <w:tcW w:w="1575" w:type="pct"/>
          </w:tcPr>
          <w:p w14:paraId="2ECDAE61" w14:textId="77777777" w:rsidR="00B262CD" w:rsidRPr="006F3533" w:rsidRDefault="00B262CD" w:rsidP="00077D42">
            <w:pPr>
              <w:pStyle w:val="ListParagraph"/>
              <w:ind w:left="0"/>
              <w:jc w:val="both"/>
              <w:rPr>
                <w:rFonts w:cs="Times New Roman"/>
                <w:szCs w:val="24"/>
                <w:lang w:val="bg-BG"/>
              </w:rPr>
            </w:pPr>
            <w:r w:rsidRPr="006F3533">
              <w:rPr>
                <w:rFonts w:cs="Times New Roman"/>
                <w:color w:val="0070C0"/>
                <w:szCs w:val="24"/>
                <w:lang w:val="bg-BG"/>
              </w:rPr>
              <w:t>T=R + NR</w:t>
            </w:r>
          </w:p>
        </w:tc>
      </w:tr>
    </w:tbl>
    <w:bookmarkEnd w:id="121"/>
    <w:p w14:paraId="733AA1D7" w14:textId="14DB3BCA" w:rsidR="00D00D9D" w:rsidRPr="006F3533" w:rsidRDefault="00D00D9D"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При други типове нежилищни сгради броят на валидните сертификати е по-ограничен, което може да се дължи както на по-ниската честота на </w:t>
      </w:r>
      <w:r w:rsidR="00B262CD" w:rsidRPr="006F3533">
        <w:rPr>
          <w:rFonts w:eastAsia="Times New Roman" w:cs="Times New Roman"/>
          <w:szCs w:val="24"/>
          <w:lang w:val="bg-BG"/>
        </w:rPr>
        <w:t>обследване и сертифициране на тези сгради</w:t>
      </w:r>
      <w:r w:rsidRPr="006F3533">
        <w:rPr>
          <w:rFonts w:eastAsia="Times New Roman" w:cs="Times New Roman"/>
          <w:szCs w:val="24"/>
          <w:lang w:val="bg-BG"/>
        </w:rPr>
        <w:t>, така и на по-голям дял сертификати с изтекъл срок на валидност.</w:t>
      </w:r>
    </w:p>
    <w:p w14:paraId="2B5F99F6" w14:textId="77777777" w:rsidR="00D00D9D" w:rsidRPr="006F3533" w:rsidRDefault="00D00D9D" w:rsidP="00DF0BE9">
      <w:pPr>
        <w:spacing w:after="120" w:line="240" w:lineRule="auto"/>
        <w:jc w:val="both"/>
        <w:rPr>
          <w:rFonts w:eastAsia="Times New Roman" w:cs="Times New Roman"/>
          <w:szCs w:val="24"/>
          <w:lang w:val="bg-BG"/>
        </w:rPr>
      </w:pPr>
      <w:r w:rsidRPr="006F3533">
        <w:rPr>
          <w:rFonts w:eastAsia="Times New Roman" w:cs="Times New Roman"/>
          <w:szCs w:val="24"/>
          <w:lang w:val="bg-BG"/>
        </w:rPr>
        <w:t>Представената информация дава ясна представа за степента на покритие на сертифицирането в различните сегменти на нежилищния сграден фонд и служи като важна основа за:</w:t>
      </w:r>
    </w:p>
    <w:p w14:paraId="0DA238BA" w14:textId="77777777" w:rsidR="00D00D9D" w:rsidRPr="006F3533" w:rsidRDefault="00D00D9D">
      <w:pPr>
        <w:numPr>
          <w:ilvl w:val="0"/>
          <w:numId w:val="8"/>
        </w:numPr>
        <w:spacing w:after="100" w:afterAutospacing="1" w:line="240" w:lineRule="auto"/>
        <w:jc w:val="both"/>
        <w:rPr>
          <w:rFonts w:eastAsia="Times New Roman" w:cs="Times New Roman"/>
          <w:szCs w:val="24"/>
          <w:lang w:val="bg-BG"/>
        </w:rPr>
      </w:pPr>
      <w:r w:rsidRPr="006F3533">
        <w:rPr>
          <w:rFonts w:eastAsia="Times New Roman" w:cs="Times New Roman"/>
          <w:szCs w:val="24"/>
          <w:lang w:val="bg-BG"/>
        </w:rPr>
        <w:t>оценка на представителността на данните за енергийните характеристики;</w:t>
      </w:r>
    </w:p>
    <w:p w14:paraId="2367008D" w14:textId="77777777" w:rsidR="00D00D9D" w:rsidRPr="006F3533" w:rsidRDefault="00D00D9D">
      <w:pPr>
        <w:numPr>
          <w:ilvl w:val="0"/>
          <w:numId w:val="8"/>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идентифициране на сектори с потенциално по-ограничена наличност на актуални данни;</w:t>
      </w:r>
    </w:p>
    <w:p w14:paraId="418CF7EA" w14:textId="77777777" w:rsidR="00D00D9D" w:rsidRPr="006F3533" w:rsidRDefault="00D00D9D">
      <w:pPr>
        <w:numPr>
          <w:ilvl w:val="0"/>
          <w:numId w:val="8"/>
        </w:numPr>
        <w:spacing w:before="100" w:beforeAutospacing="1" w:after="120" w:line="240" w:lineRule="auto"/>
        <w:jc w:val="both"/>
        <w:rPr>
          <w:rFonts w:eastAsia="Times New Roman" w:cs="Times New Roman"/>
          <w:szCs w:val="24"/>
          <w:lang w:val="bg-BG"/>
        </w:rPr>
      </w:pPr>
      <w:r w:rsidRPr="006F3533">
        <w:rPr>
          <w:rFonts w:eastAsia="Times New Roman" w:cs="Times New Roman"/>
          <w:szCs w:val="24"/>
          <w:lang w:val="bg-BG"/>
        </w:rPr>
        <w:t>планиране на мерки и политики, включително минимални стандарти за енергийни характеристики и целенасочени програми за обновяване.</w:t>
      </w:r>
    </w:p>
    <w:p w14:paraId="6C431D07" w14:textId="77777777" w:rsidR="00D00D9D" w:rsidRPr="006F3533" w:rsidRDefault="00D00D9D" w:rsidP="00DF0BE9">
      <w:pPr>
        <w:spacing w:after="120" w:line="240" w:lineRule="auto"/>
        <w:jc w:val="both"/>
        <w:rPr>
          <w:rFonts w:eastAsia="Times New Roman" w:cs="Times New Roman"/>
          <w:szCs w:val="24"/>
          <w:lang w:val="bg-BG"/>
        </w:rPr>
      </w:pPr>
      <w:r w:rsidRPr="006F3533">
        <w:rPr>
          <w:rFonts w:eastAsia="Times New Roman" w:cs="Times New Roman"/>
          <w:szCs w:val="24"/>
          <w:lang w:val="bg-BG"/>
        </w:rPr>
        <w:t xml:space="preserve">Данните за броя на валидните сертификати по типове нежилищни сгради се използват в комбинация с информацията за общия сграден фонд и за разпределението по класове на енергопотребление, представени в предходните подточки. Това позволява последваща оценка на обхвата на политиките и мерките, насочени към най-неефективните сгради, както и по-добро </w:t>
      </w:r>
      <w:proofErr w:type="spellStart"/>
      <w:r w:rsidRPr="006F3533">
        <w:rPr>
          <w:rFonts w:eastAsia="Times New Roman" w:cs="Times New Roman"/>
          <w:szCs w:val="24"/>
          <w:lang w:val="bg-BG"/>
        </w:rPr>
        <w:t>таргетиране</w:t>
      </w:r>
      <w:proofErr w:type="spellEnd"/>
      <w:r w:rsidRPr="006F3533">
        <w:rPr>
          <w:rFonts w:eastAsia="Times New Roman" w:cs="Times New Roman"/>
          <w:szCs w:val="24"/>
          <w:lang w:val="bg-BG"/>
        </w:rPr>
        <w:t xml:space="preserve"> на интервенциите по отделни категории нежилищни сгради.</w:t>
      </w:r>
    </w:p>
    <w:p w14:paraId="43241660" w14:textId="3E4D6A7D" w:rsidR="007E1DCA" w:rsidRPr="006F3533" w:rsidRDefault="000F16D5" w:rsidP="00077D42">
      <w:pPr>
        <w:spacing w:line="240" w:lineRule="auto"/>
        <w:jc w:val="both"/>
        <w:rPr>
          <w:rFonts w:cs="Times New Roman"/>
          <w:szCs w:val="24"/>
          <w:lang w:val="bg-BG"/>
        </w:rPr>
      </w:pPr>
      <w:r w:rsidRPr="006F3533">
        <w:rPr>
          <w:rFonts w:cs="Times New Roman"/>
          <w:szCs w:val="24"/>
          <w:lang w:val="bg-BG"/>
        </w:rPr>
        <w:t>В следващата Таблица 5а. е представена информация за разпределението на валидните сертификати на нежилищните сгради по типове сгради и по разгъната застроена площ. Тази информация дава по-пълна представа за покритието на валидните сертификати за енергийните характеристики спрямо всички нежилищни сгради и в частност за всеки тип нежилищна сграда. От представените данни в таблица 5 и таблица 5а, съпоставени с данните от таблица 1 се вижда, че валидните сертификати в настоящия момент покриват едва 1,1% от общия брой, но около 12.75% от общата площ на нежилищните сгради. Оттук може да се направи извода, че към този момент приоритетно са сертифицирани сгради с по-голяма площ, но влияние за по-ниското покритие по брой сгради има факторът свързан с начина на регистриране на отделните корпуси на многокорпусните сгради в националния кадастър като отделни сгради.</w:t>
      </w:r>
    </w:p>
    <w:p w14:paraId="64852651" w14:textId="2ED20347" w:rsidR="007E1DCA" w:rsidRPr="006F3533" w:rsidRDefault="007E1DCA" w:rsidP="00077D42">
      <w:pPr>
        <w:pStyle w:val="ListParagraph"/>
        <w:spacing w:line="240" w:lineRule="auto"/>
        <w:ind w:left="0"/>
        <w:jc w:val="both"/>
        <w:rPr>
          <w:rFonts w:cs="Times New Roman"/>
          <w:i/>
          <w:iCs/>
          <w:color w:val="0070C0"/>
          <w:szCs w:val="24"/>
          <w:lang w:val="bg-BG"/>
        </w:rPr>
      </w:pPr>
      <w:r w:rsidRPr="006F3533">
        <w:rPr>
          <w:rFonts w:cs="Times New Roman"/>
          <w:i/>
          <w:iCs/>
          <w:color w:val="0070C0"/>
          <w:szCs w:val="24"/>
          <w:lang w:val="bg-BG"/>
        </w:rPr>
        <w:t xml:space="preserve">Таблица 5a. </w:t>
      </w:r>
      <w:r w:rsidR="008B54F5" w:rsidRPr="006F3533">
        <w:rPr>
          <w:rFonts w:cs="Times New Roman"/>
          <w:i/>
          <w:iCs/>
          <w:color w:val="0070C0"/>
          <w:szCs w:val="24"/>
          <w:lang w:val="bg-BG"/>
        </w:rPr>
        <w:t>Разгъната застроена площ на нежилищните сгради с валидни</w:t>
      </w:r>
      <w:r w:rsidRPr="006F3533">
        <w:rPr>
          <w:rFonts w:cs="Times New Roman"/>
          <w:i/>
          <w:iCs/>
          <w:color w:val="0070C0"/>
          <w:szCs w:val="24"/>
          <w:lang w:val="bg-BG"/>
        </w:rPr>
        <w:t xml:space="preserve"> сертификатите </w:t>
      </w:r>
      <w:r w:rsidR="008B54F5" w:rsidRPr="006F3533">
        <w:rPr>
          <w:rFonts w:cs="Times New Roman"/>
          <w:i/>
          <w:iCs/>
          <w:color w:val="0070C0"/>
          <w:szCs w:val="24"/>
          <w:lang w:val="bg-BG"/>
        </w:rPr>
        <w:t>- разпределение</w:t>
      </w:r>
      <w:r w:rsidRPr="006F3533">
        <w:rPr>
          <w:rFonts w:cs="Times New Roman"/>
          <w:i/>
          <w:iCs/>
          <w:color w:val="0070C0"/>
          <w:szCs w:val="24"/>
          <w:lang w:val="bg-BG"/>
        </w:rPr>
        <w:t xml:space="preserve"> по типове сгради</w:t>
      </w:r>
    </w:p>
    <w:tbl>
      <w:tblPr>
        <w:tblStyle w:val="TableGrid"/>
        <w:tblW w:w="5000" w:type="pct"/>
        <w:tblLook w:val="04A0" w:firstRow="1" w:lastRow="0" w:firstColumn="1" w:lastColumn="0" w:noHBand="0" w:noVBand="1"/>
      </w:tblPr>
      <w:tblGrid>
        <w:gridCol w:w="1007"/>
        <w:gridCol w:w="4027"/>
        <w:gridCol w:w="1173"/>
        <w:gridCol w:w="2855"/>
      </w:tblGrid>
      <w:tr w:rsidR="007E1DCA" w:rsidRPr="006F3533" w14:paraId="61A75E5A" w14:textId="77777777" w:rsidTr="00500C52">
        <w:trPr>
          <w:trHeight w:val="300"/>
        </w:trPr>
        <w:tc>
          <w:tcPr>
            <w:tcW w:w="556" w:type="pct"/>
            <w:shd w:val="clear" w:color="auto" w:fill="D0CECE" w:themeFill="background2" w:themeFillShade="E6"/>
          </w:tcPr>
          <w:p w14:paraId="20B3D49B" w14:textId="77777777" w:rsidR="007E1DCA" w:rsidRPr="006F3533" w:rsidRDefault="007E1DCA" w:rsidP="00077D42">
            <w:pPr>
              <w:pStyle w:val="ListParagraph"/>
              <w:ind w:left="0"/>
              <w:jc w:val="both"/>
              <w:rPr>
                <w:rFonts w:cs="Times New Roman"/>
                <w:szCs w:val="24"/>
                <w:lang w:val="bg-BG"/>
              </w:rPr>
            </w:pPr>
            <w:proofErr w:type="spellStart"/>
            <w:r w:rsidRPr="006F3533">
              <w:rPr>
                <w:rFonts w:cs="Times New Roman"/>
                <w:szCs w:val="24"/>
                <w:lang w:val="bg-BG"/>
              </w:rPr>
              <w:t>Code</w:t>
            </w:r>
            <w:proofErr w:type="spellEnd"/>
          </w:p>
        </w:tc>
        <w:tc>
          <w:tcPr>
            <w:tcW w:w="2222" w:type="pct"/>
            <w:shd w:val="clear" w:color="auto" w:fill="D0CECE" w:themeFill="background2" w:themeFillShade="E6"/>
          </w:tcPr>
          <w:p w14:paraId="2DEFFA41" w14:textId="77777777" w:rsidR="007E1DCA" w:rsidRPr="006F3533" w:rsidRDefault="007E1DCA" w:rsidP="00077D42">
            <w:pPr>
              <w:pStyle w:val="ListParagraph"/>
              <w:ind w:left="0"/>
              <w:jc w:val="both"/>
              <w:rPr>
                <w:rFonts w:cs="Times New Roman"/>
                <w:szCs w:val="24"/>
                <w:lang w:val="bg-BG"/>
              </w:rPr>
            </w:pPr>
            <w:r w:rsidRPr="006F3533">
              <w:rPr>
                <w:rFonts w:cs="Times New Roman"/>
                <w:szCs w:val="24"/>
                <w:lang w:val="bg-BG"/>
              </w:rPr>
              <w:t>Building</w:t>
            </w:r>
          </w:p>
          <w:p w14:paraId="6A604F13" w14:textId="77777777" w:rsidR="007E1DCA" w:rsidRPr="006F3533" w:rsidRDefault="007E1DCA" w:rsidP="00077D42">
            <w:pPr>
              <w:pStyle w:val="ListParagraph"/>
              <w:ind w:left="0"/>
              <w:jc w:val="both"/>
              <w:rPr>
                <w:rFonts w:cs="Times New Roman"/>
                <w:szCs w:val="24"/>
                <w:lang w:val="bg-BG"/>
              </w:rPr>
            </w:pPr>
            <w:proofErr w:type="spellStart"/>
            <w:r w:rsidRPr="006F3533">
              <w:rPr>
                <w:rFonts w:cs="Times New Roman"/>
                <w:szCs w:val="24"/>
                <w:lang w:val="bg-BG"/>
              </w:rPr>
              <w:t>Type</w:t>
            </w:r>
            <w:proofErr w:type="spellEnd"/>
          </w:p>
        </w:tc>
        <w:tc>
          <w:tcPr>
            <w:tcW w:w="647" w:type="pct"/>
            <w:shd w:val="clear" w:color="auto" w:fill="D0CECE" w:themeFill="background2" w:themeFillShade="E6"/>
          </w:tcPr>
          <w:p w14:paraId="0BC68657" w14:textId="77777777" w:rsidR="007E1DCA" w:rsidRPr="006F3533" w:rsidRDefault="007E1DCA" w:rsidP="00077D42">
            <w:pPr>
              <w:pStyle w:val="ListParagraph"/>
              <w:ind w:left="0"/>
              <w:jc w:val="both"/>
              <w:rPr>
                <w:rFonts w:cs="Times New Roman"/>
                <w:szCs w:val="24"/>
                <w:lang w:val="bg-BG"/>
              </w:rPr>
            </w:pPr>
            <w:r w:rsidRPr="006F3533">
              <w:rPr>
                <w:rFonts w:cs="Times New Roman"/>
                <w:szCs w:val="24"/>
                <w:lang w:val="bg-BG"/>
              </w:rPr>
              <w:t>M/</w:t>
            </w:r>
          </w:p>
          <w:p w14:paraId="5A1C6370" w14:textId="77777777" w:rsidR="007E1DCA" w:rsidRPr="006F3533" w:rsidRDefault="007E1DCA"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bottom w:val="single" w:sz="4" w:space="0" w:color="auto"/>
            </w:tcBorders>
            <w:shd w:val="clear" w:color="auto" w:fill="D0CECE" w:themeFill="background2" w:themeFillShade="E6"/>
          </w:tcPr>
          <w:p w14:paraId="0E1FA37F" w14:textId="2D81EFEC" w:rsidR="007E1DCA" w:rsidRPr="006F3533" w:rsidRDefault="007E1DCA" w:rsidP="00077D42">
            <w:pPr>
              <w:pStyle w:val="ListParagraph"/>
              <w:ind w:left="0"/>
              <w:jc w:val="both"/>
              <w:rPr>
                <w:rFonts w:cs="Times New Roman"/>
                <w:szCs w:val="24"/>
                <w:lang w:val="bg-BG"/>
              </w:rPr>
            </w:pPr>
            <w:r w:rsidRPr="006F3533">
              <w:rPr>
                <w:rFonts w:cs="Times New Roman"/>
                <w:szCs w:val="24"/>
                <w:lang w:val="bg-BG"/>
              </w:rPr>
              <w:t xml:space="preserve">Total </w:t>
            </w:r>
            <w:proofErr w:type="spellStart"/>
            <w:r w:rsidRPr="006F3533">
              <w:rPr>
                <w:rFonts w:cs="Times New Roman"/>
                <w:szCs w:val="24"/>
                <w:lang w:val="bg-BG"/>
              </w:rPr>
              <w:t>floor</w:t>
            </w:r>
            <w:proofErr w:type="spellEnd"/>
            <w:r w:rsidRPr="006F3533">
              <w:rPr>
                <w:rFonts w:cs="Times New Roman"/>
                <w:szCs w:val="24"/>
                <w:lang w:val="bg-BG"/>
              </w:rPr>
              <w:t xml:space="preserve"> </w:t>
            </w:r>
            <w:proofErr w:type="spellStart"/>
            <w:r w:rsidRPr="006F3533">
              <w:rPr>
                <w:rFonts w:cs="Times New Roman"/>
                <w:szCs w:val="24"/>
                <w:lang w:val="bg-BG"/>
              </w:rPr>
              <w:t>are</w:t>
            </w:r>
            <w:r w:rsidR="008B54F5" w:rsidRPr="006F3533">
              <w:rPr>
                <w:rFonts w:cs="Times New Roman"/>
                <w:szCs w:val="24"/>
                <w:lang w:val="bg-BG"/>
              </w:rPr>
              <w:t>a</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valid</w:t>
            </w:r>
            <w:proofErr w:type="spellEnd"/>
            <w:r w:rsidRPr="006F3533">
              <w:rPr>
                <w:rFonts w:cs="Times New Roman"/>
                <w:szCs w:val="24"/>
                <w:lang w:val="bg-BG"/>
              </w:rPr>
              <w:t xml:space="preserve"> EPC</w:t>
            </w:r>
            <w:r w:rsidR="008B54F5" w:rsidRPr="006F3533">
              <w:rPr>
                <w:rFonts w:cs="Times New Roman"/>
                <w:szCs w:val="24"/>
                <w:lang w:val="bg-BG"/>
              </w:rPr>
              <w:t>, m2</w:t>
            </w:r>
            <w:r w:rsidRPr="006F3533">
              <w:rPr>
                <w:rFonts w:cs="Times New Roman"/>
                <w:szCs w:val="24"/>
                <w:lang w:val="bg-BG"/>
              </w:rPr>
              <w:t xml:space="preserve"> </w:t>
            </w:r>
          </w:p>
          <w:p w14:paraId="6ECFF083" w14:textId="1D7958E1" w:rsidR="007E1DCA" w:rsidRPr="006F3533" w:rsidRDefault="008B54F5" w:rsidP="00077D42">
            <w:pPr>
              <w:pStyle w:val="ListParagraph"/>
              <w:ind w:left="0"/>
              <w:jc w:val="both"/>
              <w:rPr>
                <w:rFonts w:cs="Times New Roman"/>
                <w:szCs w:val="24"/>
                <w:lang w:val="bg-BG"/>
              </w:rPr>
            </w:pPr>
            <w:proofErr w:type="spellStart"/>
            <w:r w:rsidRPr="006F3533">
              <w:rPr>
                <w:rFonts w:cs="Times New Roman"/>
                <w:szCs w:val="24"/>
                <w:lang w:val="bg-BG"/>
              </w:rPr>
              <w:t>i</w:t>
            </w:r>
            <w:r w:rsidR="007E1DCA" w:rsidRPr="006F3533">
              <w:rPr>
                <w:rFonts w:cs="Times New Roman"/>
                <w:szCs w:val="24"/>
                <w:lang w:val="bg-BG"/>
              </w:rPr>
              <w:t>n</w:t>
            </w:r>
            <w:proofErr w:type="spellEnd"/>
            <w:r w:rsidR="007E1DCA" w:rsidRPr="006F3533">
              <w:rPr>
                <w:rFonts w:cs="Times New Roman"/>
                <w:szCs w:val="24"/>
                <w:lang w:val="bg-BG"/>
              </w:rPr>
              <w:t xml:space="preserve"> </w:t>
            </w:r>
            <w:proofErr w:type="spellStart"/>
            <w:r w:rsidR="007E1DCA" w:rsidRPr="006F3533">
              <w:rPr>
                <w:rFonts w:cs="Times New Roman"/>
                <w:szCs w:val="24"/>
                <w:lang w:val="bg-BG"/>
              </w:rPr>
              <w:t>Year</w:t>
            </w:r>
            <w:proofErr w:type="spellEnd"/>
            <w:r w:rsidR="007E1DCA" w:rsidRPr="006F3533">
              <w:rPr>
                <w:rFonts w:cs="Times New Roman"/>
                <w:szCs w:val="24"/>
                <w:lang w:val="bg-BG"/>
              </w:rPr>
              <w:t xml:space="preserve"> 2025</w:t>
            </w:r>
          </w:p>
          <w:p w14:paraId="3A4AC654" w14:textId="77777777" w:rsidR="007E1DCA" w:rsidRPr="006F3533" w:rsidRDefault="007E1DCA" w:rsidP="00077D42">
            <w:pPr>
              <w:pStyle w:val="ListParagraph"/>
              <w:ind w:left="0"/>
              <w:jc w:val="both"/>
              <w:rPr>
                <w:rFonts w:cs="Times New Roman"/>
                <w:szCs w:val="24"/>
                <w:lang w:val="bg-BG"/>
              </w:rPr>
            </w:pPr>
          </w:p>
        </w:tc>
      </w:tr>
      <w:tr w:rsidR="000F16D5" w:rsidRPr="006F3533" w14:paraId="09D1F8D9" w14:textId="77777777" w:rsidTr="00437819">
        <w:trPr>
          <w:trHeight w:val="300"/>
        </w:trPr>
        <w:tc>
          <w:tcPr>
            <w:tcW w:w="556" w:type="pct"/>
          </w:tcPr>
          <w:p w14:paraId="5301AAE0" w14:textId="77777777" w:rsidR="000F16D5" w:rsidRPr="006F3533" w:rsidRDefault="000F16D5" w:rsidP="000F16D5">
            <w:pPr>
              <w:jc w:val="both"/>
              <w:rPr>
                <w:rFonts w:cs="Times New Roman"/>
                <w:i/>
                <w:iCs/>
                <w:szCs w:val="24"/>
                <w:lang w:val="bg-BG"/>
              </w:rPr>
            </w:pPr>
            <w:r w:rsidRPr="006F3533">
              <w:rPr>
                <w:rFonts w:cs="Times New Roman"/>
                <w:i/>
                <w:iCs/>
                <w:szCs w:val="24"/>
                <w:lang w:val="bg-BG"/>
              </w:rPr>
              <w:t>(c)</w:t>
            </w:r>
          </w:p>
        </w:tc>
        <w:tc>
          <w:tcPr>
            <w:tcW w:w="2222" w:type="pct"/>
          </w:tcPr>
          <w:p w14:paraId="020531B7" w14:textId="77777777" w:rsidR="000F16D5" w:rsidRPr="006F3533" w:rsidRDefault="000F16D5" w:rsidP="000F16D5">
            <w:pPr>
              <w:pStyle w:val="ListParagraph"/>
              <w:ind w:left="708"/>
              <w:jc w:val="both"/>
              <w:rPr>
                <w:rFonts w:cs="Times New Roman"/>
                <w:szCs w:val="24"/>
                <w:lang w:val="bg-BG"/>
              </w:rPr>
            </w:pPr>
            <w:proofErr w:type="spellStart"/>
            <w:r w:rsidRPr="006F3533">
              <w:rPr>
                <w:rFonts w:cs="Times New Roman"/>
                <w:i/>
                <w:iCs/>
                <w:szCs w:val="24"/>
                <w:lang w:val="bg-BG"/>
              </w:rPr>
              <w:t>offices</w:t>
            </w:r>
            <w:proofErr w:type="spellEnd"/>
          </w:p>
        </w:tc>
        <w:tc>
          <w:tcPr>
            <w:tcW w:w="647" w:type="pct"/>
          </w:tcPr>
          <w:p w14:paraId="1C50E0E5"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top w:val="single" w:sz="4" w:space="0" w:color="auto"/>
              <w:left w:val="nil"/>
              <w:bottom w:val="single" w:sz="4" w:space="0" w:color="auto"/>
              <w:right w:val="single" w:sz="4" w:space="0" w:color="auto"/>
            </w:tcBorders>
          </w:tcPr>
          <w:p w14:paraId="65D0797F" w14:textId="02698248" w:rsidR="000F16D5" w:rsidRPr="006F3533" w:rsidRDefault="000F16D5" w:rsidP="000F16D5">
            <w:pPr>
              <w:pStyle w:val="ListParagraph"/>
              <w:ind w:left="0"/>
              <w:jc w:val="both"/>
              <w:rPr>
                <w:rFonts w:cs="Times New Roman"/>
                <w:szCs w:val="24"/>
                <w:lang w:val="bg-BG"/>
              </w:rPr>
            </w:pPr>
            <w:r w:rsidRPr="006F3533">
              <w:rPr>
                <w:lang w:val="bg-BG"/>
              </w:rPr>
              <w:t>2 985 898</w:t>
            </w:r>
          </w:p>
        </w:tc>
      </w:tr>
      <w:tr w:rsidR="000F16D5" w:rsidRPr="006F3533" w14:paraId="7AF9B428" w14:textId="77777777" w:rsidTr="00437819">
        <w:trPr>
          <w:trHeight w:val="300"/>
        </w:trPr>
        <w:tc>
          <w:tcPr>
            <w:tcW w:w="556" w:type="pct"/>
          </w:tcPr>
          <w:p w14:paraId="57444C09" w14:textId="77777777" w:rsidR="000F16D5" w:rsidRPr="006F3533" w:rsidRDefault="000F16D5" w:rsidP="000F16D5">
            <w:pPr>
              <w:pStyle w:val="ListParagraph"/>
              <w:ind w:left="0"/>
              <w:jc w:val="both"/>
              <w:rPr>
                <w:rFonts w:cs="Times New Roman"/>
                <w:i/>
                <w:iCs/>
                <w:szCs w:val="24"/>
                <w:lang w:val="bg-BG"/>
              </w:rPr>
            </w:pPr>
            <w:r w:rsidRPr="006F3533">
              <w:rPr>
                <w:rFonts w:cs="Times New Roman"/>
                <w:i/>
                <w:iCs/>
                <w:szCs w:val="24"/>
                <w:lang w:val="bg-BG"/>
              </w:rPr>
              <w:t>(d)</w:t>
            </w:r>
          </w:p>
        </w:tc>
        <w:tc>
          <w:tcPr>
            <w:tcW w:w="2222" w:type="pct"/>
          </w:tcPr>
          <w:p w14:paraId="7225DFBD" w14:textId="77777777" w:rsidR="000F16D5" w:rsidRPr="006F3533" w:rsidRDefault="000F16D5" w:rsidP="000F16D5">
            <w:pPr>
              <w:pStyle w:val="ListParagraph"/>
              <w:ind w:left="0"/>
              <w:jc w:val="both"/>
              <w:rPr>
                <w:rFonts w:cs="Times New Roman"/>
                <w:i/>
                <w:iCs/>
                <w:szCs w:val="24"/>
                <w:lang w:val="bg-BG"/>
              </w:rPr>
            </w:pPr>
            <w:proofErr w:type="spellStart"/>
            <w:r w:rsidRPr="006F3533">
              <w:rPr>
                <w:rFonts w:cs="Times New Roman"/>
                <w:i/>
                <w:iCs/>
                <w:szCs w:val="24"/>
                <w:lang w:val="bg-BG"/>
              </w:rPr>
              <w:t>educational</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647" w:type="pct"/>
          </w:tcPr>
          <w:p w14:paraId="32055A22"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top w:val="single" w:sz="4" w:space="0" w:color="auto"/>
              <w:left w:val="nil"/>
              <w:bottom w:val="single" w:sz="4" w:space="0" w:color="auto"/>
              <w:right w:val="single" w:sz="4" w:space="0" w:color="auto"/>
            </w:tcBorders>
          </w:tcPr>
          <w:p w14:paraId="125FA997" w14:textId="3696B8D4" w:rsidR="000F16D5" w:rsidRPr="006F3533" w:rsidRDefault="000F16D5" w:rsidP="000F16D5">
            <w:pPr>
              <w:pStyle w:val="ListParagraph"/>
              <w:ind w:left="0"/>
              <w:jc w:val="both"/>
              <w:rPr>
                <w:rFonts w:cs="Times New Roman"/>
                <w:szCs w:val="24"/>
                <w:lang w:val="bg-BG"/>
              </w:rPr>
            </w:pPr>
            <w:r w:rsidRPr="006F3533">
              <w:rPr>
                <w:lang w:val="bg-BG"/>
              </w:rPr>
              <w:t>2 345 493</w:t>
            </w:r>
          </w:p>
        </w:tc>
      </w:tr>
      <w:tr w:rsidR="000F16D5" w:rsidRPr="006F3533" w14:paraId="27293C5B" w14:textId="77777777" w:rsidTr="00437819">
        <w:trPr>
          <w:trHeight w:val="300"/>
        </w:trPr>
        <w:tc>
          <w:tcPr>
            <w:tcW w:w="556" w:type="pct"/>
          </w:tcPr>
          <w:p w14:paraId="58816C79" w14:textId="77777777" w:rsidR="000F16D5" w:rsidRPr="006F3533" w:rsidRDefault="000F16D5" w:rsidP="000F16D5">
            <w:pPr>
              <w:pStyle w:val="ListParagraph"/>
              <w:ind w:left="0"/>
              <w:jc w:val="both"/>
              <w:rPr>
                <w:rFonts w:cs="Times New Roman"/>
                <w:i/>
                <w:iCs/>
                <w:szCs w:val="24"/>
                <w:lang w:val="bg-BG"/>
              </w:rPr>
            </w:pPr>
            <w:r w:rsidRPr="006F3533">
              <w:rPr>
                <w:rFonts w:cs="Times New Roman"/>
                <w:i/>
                <w:iCs/>
                <w:szCs w:val="24"/>
                <w:lang w:val="bg-BG"/>
              </w:rPr>
              <w:t>(e)</w:t>
            </w:r>
          </w:p>
        </w:tc>
        <w:tc>
          <w:tcPr>
            <w:tcW w:w="2222" w:type="pct"/>
          </w:tcPr>
          <w:p w14:paraId="782B473A" w14:textId="77777777" w:rsidR="000F16D5" w:rsidRPr="006F3533" w:rsidRDefault="000F16D5" w:rsidP="000F16D5">
            <w:pPr>
              <w:pStyle w:val="ListParagraph"/>
              <w:ind w:left="0"/>
              <w:jc w:val="both"/>
              <w:rPr>
                <w:rFonts w:cs="Times New Roman"/>
                <w:i/>
                <w:iCs/>
                <w:szCs w:val="24"/>
                <w:lang w:val="bg-BG"/>
              </w:rPr>
            </w:pPr>
            <w:proofErr w:type="spellStart"/>
            <w:r w:rsidRPr="006F3533">
              <w:rPr>
                <w:rFonts w:cs="Times New Roman"/>
                <w:i/>
                <w:iCs/>
                <w:szCs w:val="24"/>
                <w:lang w:val="bg-BG"/>
              </w:rPr>
              <w:t>kindergartens</w:t>
            </w:r>
            <w:proofErr w:type="spellEnd"/>
            <w:r w:rsidRPr="006F3533">
              <w:rPr>
                <w:rFonts w:cs="Times New Roman"/>
                <w:i/>
                <w:iCs/>
                <w:szCs w:val="24"/>
                <w:lang w:val="bg-BG"/>
              </w:rPr>
              <w:t xml:space="preserve"> and </w:t>
            </w:r>
            <w:proofErr w:type="spellStart"/>
            <w:r w:rsidRPr="006F3533">
              <w:rPr>
                <w:rFonts w:cs="Times New Roman"/>
                <w:i/>
                <w:iCs/>
                <w:szCs w:val="24"/>
                <w:lang w:val="bg-BG"/>
              </w:rPr>
              <w:t>nursery</w:t>
            </w:r>
            <w:proofErr w:type="spellEnd"/>
          </w:p>
        </w:tc>
        <w:tc>
          <w:tcPr>
            <w:tcW w:w="647" w:type="pct"/>
          </w:tcPr>
          <w:p w14:paraId="2F588424"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top w:val="single" w:sz="4" w:space="0" w:color="auto"/>
              <w:left w:val="nil"/>
              <w:bottom w:val="single" w:sz="4" w:space="0" w:color="auto"/>
              <w:right w:val="single" w:sz="4" w:space="0" w:color="auto"/>
            </w:tcBorders>
          </w:tcPr>
          <w:p w14:paraId="71D22D85" w14:textId="03FA01C0" w:rsidR="000F16D5" w:rsidRPr="006F3533" w:rsidRDefault="000F16D5" w:rsidP="000F16D5">
            <w:pPr>
              <w:pStyle w:val="ListParagraph"/>
              <w:ind w:left="0"/>
              <w:jc w:val="both"/>
              <w:rPr>
                <w:rFonts w:cs="Times New Roman"/>
                <w:szCs w:val="24"/>
                <w:lang w:val="bg-BG"/>
              </w:rPr>
            </w:pPr>
            <w:r w:rsidRPr="006F3533">
              <w:rPr>
                <w:lang w:val="bg-BG"/>
              </w:rPr>
              <w:t>636 500</w:t>
            </w:r>
          </w:p>
        </w:tc>
      </w:tr>
      <w:tr w:rsidR="000F16D5" w:rsidRPr="006F3533" w14:paraId="16C868BF" w14:textId="77777777" w:rsidTr="00437819">
        <w:trPr>
          <w:trHeight w:val="300"/>
        </w:trPr>
        <w:tc>
          <w:tcPr>
            <w:tcW w:w="556" w:type="pct"/>
          </w:tcPr>
          <w:p w14:paraId="73FD3E68" w14:textId="77777777" w:rsidR="000F16D5" w:rsidRPr="006F3533" w:rsidRDefault="000F16D5" w:rsidP="000F16D5">
            <w:pPr>
              <w:pStyle w:val="ListParagraph"/>
              <w:ind w:left="0"/>
              <w:jc w:val="both"/>
              <w:rPr>
                <w:rFonts w:cs="Times New Roman"/>
                <w:i/>
                <w:iCs/>
                <w:szCs w:val="24"/>
                <w:lang w:val="bg-BG"/>
              </w:rPr>
            </w:pPr>
            <w:r w:rsidRPr="006F3533">
              <w:rPr>
                <w:rFonts w:cs="Times New Roman"/>
                <w:i/>
                <w:iCs/>
                <w:szCs w:val="24"/>
                <w:lang w:val="bg-BG"/>
              </w:rPr>
              <w:lastRenderedPageBreak/>
              <w:t>(f)</w:t>
            </w:r>
          </w:p>
        </w:tc>
        <w:tc>
          <w:tcPr>
            <w:tcW w:w="2222" w:type="pct"/>
          </w:tcPr>
          <w:p w14:paraId="55500355" w14:textId="77777777" w:rsidR="000F16D5" w:rsidRPr="006F3533" w:rsidRDefault="000F16D5" w:rsidP="000F16D5">
            <w:pPr>
              <w:pStyle w:val="ListParagraph"/>
              <w:ind w:left="0"/>
              <w:jc w:val="both"/>
              <w:rPr>
                <w:rFonts w:cs="Times New Roman"/>
                <w:i/>
                <w:iCs/>
                <w:szCs w:val="24"/>
                <w:lang w:val="bg-BG"/>
              </w:rPr>
            </w:pPr>
            <w:proofErr w:type="spellStart"/>
            <w:r w:rsidRPr="006F3533">
              <w:rPr>
                <w:rFonts w:cs="Times New Roman"/>
                <w:i/>
                <w:iCs/>
                <w:szCs w:val="24"/>
                <w:lang w:val="bg-BG"/>
              </w:rPr>
              <w:t>hospitals</w:t>
            </w:r>
            <w:proofErr w:type="spellEnd"/>
            <w:r w:rsidRPr="006F3533">
              <w:rPr>
                <w:rFonts w:cs="Times New Roman"/>
                <w:i/>
                <w:iCs/>
                <w:szCs w:val="24"/>
                <w:lang w:val="bg-BG"/>
              </w:rPr>
              <w:t xml:space="preserve"> &amp; </w:t>
            </w:r>
            <w:proofErr w:type="spellStart"/>
            <w:r w:rsidRPr="006F3533">
              <w:rPr>
                <w:rFonts w:cs="Times New Roman"/>
                <w:i/>
                <w:iCs/>
                <w:szCs w:val="24"/>
                <w:lang w:val="bg-BG"/>
              </w:rPr>
              <w:t>healthcare</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647" w:type="pct"/>
          </w:tcPr>
          <w:p w14:paraId="799CAEEA"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top w:val="single" w:sz="4" w:space="0" w:color="auto"/>
              <w:left w:val="nil"/>
              <w:bottom w:val="single" w:sz="4" w:space="0" w:color="auto"/>
              <w:right w:val="single" w:sz="4" w:space="0" w:color="auto"/>
            </w:tcBorders>
          </w:tcPr>
          <w:p w14:paraId="0AEF3B73" w14:textId="148B6512" w:rsidR="000F16D5" w:rsidRPr="006F3533" w:rsidRDefault="000F16D5" w:rsidP="000F16D5">
            <w:pPr>
              <w:pStyle w:val="ListParagraph"/>
              <w:ind w:left="0"/>
              <w:jc w:val="both"/>
              <w:rPr>
                <w:rFonts w:cs="Times New Roman"/>
                <w:szCs w:val="24"/>
                <w:lang w:val="bg-BG"/>
              </w:rPr>
            </w:pPr>
            <w:r w:rsidRPr="006F3533">
              <w:rPr>
                <w:lang w:val="bg-BG"/>
              </w:rPr>
              <w:t>768 206</w:t>
            </w:r>
          </w:p>
        </w:tc>
      </w:tr>
      <w:tr w:rsidR="000F16D5" w:rsidRPr="006F3533" w14:paraId="432D8A15" w14:textId="77777777" w:rsidTr="00437819">
        <w:trPr>
          <w:trHeight w:val="300"/>
        </w:trPr>
        <w:tc>
          <w:tcPr>
            <w:tcW w:w="556" w:type="pct"/>
          </w:tcPr>
          <w:p w14:paraId="2167232F" w14:textId="77777777" w:rsidR="000F16D5" w:rsidRPr="006F3533" w:rsidRDefault="000F16D5" w:rsidP="000F16D5">
            <w:pPr>
              <w:pStyle w:val="ListParagraph"/>
              <w:ind w:left="0"/>
              <w:jc w:val="both"/>
              <w:rPr>
                <w:rFonts w:cs="Times New Roman"/>
                <w:i/>
                <w:iCs/>
                <w:szCs w:val="24"/>
                <w:lang w:val="bg-BG"/>
              </w:rPr>
            </w:pPr>
            <w:r w:rsidRPr="006F3533">
              <w:rPr>
                <w:rFonts w:cs="Times New Roman"/>
                <w:i/>
                <w:iCs/>
                <w:szCs w:val="24"/>
                <w:lang w:val="bg-BG"/>
              </w:rPr>
              <w:t>(g)</w:t>
            </w:r>
          </w:p>
        </w:tc>
        <w:tc>
          <w:tcPr>
            <w:tcW w:w="2222" w:type="pct"/>
          </w:tcPr>
          <w:p w14:paraId="0CBD739B" w14:textId="77777777" w:rsidR="000F16D5" w:rsidRPr="006F3533" w:rsidRDefault="000F16D5" w:rsidP="000F16D5">
            <w:pPr>
              <w:pStyle w:val="ListParagraph"/>
              <w:ind w:left="0"/>
              <w:jc w:val="both"/>
              <w:rPr>
                <w:rFonts w:cs="Times New Roman"/>
                <w:i/>
                <w:iCs/>
                <w:szCs w:val="24"/>
                <w:lang w:val="bg-BG"/>
              </w:rPr>
            </w:pPr>
            <w:proofErr w:type="spellStart"/>
            <w:r w:rsidRPr="006F3533">
              <w:rPr>
                <w:rFonts w:cs="Times New Roman"/>
                <w:i/>
                <w:iCs/>
                <w:szCs w:val="24"/>
                <w:lang w:val="bg-BG"/>
              </w:rPr>
              <w:t>hotels</w:t>
            </w:r>
            <w:proofErr w:type="spellEnd"/>
            <w:r w:rsidRPr="006F3533">
              <w:rPr>
                <w:rFonts w:cs="Times New Roman"/>
                <w:i/>
                <w:iCs/>
                <w:szCs w:val="24"/>
                <w:lang w:val="bg-BG"/>
              </w:rPr>
              <w:t xml:space="preserve"> and </w:t>
            </w:r>
            <w:proofErr w:type="spellStart"/>
            <w:r w:rsidRPr="006F3533">
              <w:rPr>
                <w:rFonts w:cs="Times New Roman"/>
                <w:i/>
                <w:iCs/>
                <w:szCs w:val="24"/>
                <w:lang w:val="bg-BG"/>
              </w:rPr>
              <w:t>restaurants</w:t>
            </w:r>
            <w:proofErr w:type="spellEnd"/>
          </w:p>
        </w:tc>
        <w:tc>
          <w:tcPr>
            <w:tcW w:w="647" w:type="pct"/>
          </w:tcPr>
          <w:p w14:paraId="5B08B741"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top w:val="single" w:sz="4" w:space="0" w:color="auto"/>
              <w:left w:val="nil"/>
              <w:bottom w:val="single" w:sz="4" w:space="0" w:color="auto"/>
              <w:right w:val="single" w:sz="4" w:space="0" w:color="auto"/>
            </w:tcBorders>
          </w:tcPr>
          <w:p w14:paraId="786B306C" w14:textId="1ECCC621" w:rsidR="000F16D5" w:rsidRPr="006F3533" w:rsidRDefault="000F16D5" w:rsidP="000F16D5">
            <w:pPr>
              <w:pStyle w:val="ListParagraph"/>
              <w:ind w:left="0"/>
              <w:jc w:val="both"/>
              <w:rPr>
                <w:rFonts w:cs="Times New Roman"/>
                <w:szCs w:val="24"/>
                <w:lang w:val="bg-BG"/>
              </w:rPr>
            </w:pPr>
            <w:r w:rsidRPr="006F3533">
              <w:rPr>
                <w:lang w:val="bg-BG"/>
              </w:rPr>
              <w:t>1 385 813</w:t>
            </w:r>
          </w:p>
        </w:tc>
      </w:tr>
      <w:tr w:rsidR="000F16D5" w:rsidRPr="006F3533" w14:paraId="51380218" w14:textId="77777777" w:rsidTr="00437819">
        <w:trPr>
          <w:trHeight w:val="300"/>
        </w:trPr>
        <w:tc>
          <w:tcPr>
            <w:tcW w:w="556" w:type="pct"/>
          </w:tcPr>
          <w:p w14:paraId="4517225E" w14:textId="77777777" w:rsidR="000F16D5" w:rsidRPr="006F3533" w:rsidRDefault="000F16D5" w:rsidP="000F16D5">
            <w:pPr>
              <w:pStyle w:val="ListParagraph"/>
              <w:ind w:left="0"/>
              <w:jc w:val="both"/>
              <w:rPr>
                <w:rFonts w:cs="Times New Roman"/>
                <w:i/>
                <w:iCs/>
                <w:szCs w:val="24"/>
                <w:lang w:val="bg-BG"/>
              </w:rPr>
            </w:pPr>
            <w:r w:rsidRPr="006F3533">
              <w:rPr>
                <w:rFonts w:cs="Times New Roman"/>
                <w:i/>
                <w:iCs/>
                <w:szCs w:val="24"/>
                <w:lang w:val="bg-BG"/>
              </w:rPr>
              <w:t>(h)</w:t>
            </w:r>
          </w:p>
        </w:tc>
        <w:tc>
          <w:tcPr>
            <w:tcW w:w="2222" w:type="pct"/>
          </w:tcPr>
          <w:p w14:paraId="238E48B7" w14:textId="77777777" w:rsidR="000F16D5" w:rsidRPr="006F3533" w:rsidRDefault="000F16D5" w:rsidP="000F16D5">
            <w:pPr>
              <w:pStyle w:val="ListParagraph"/>
              <w:ind w:left="0"/>
              <w:jc w:val="both"/>
              <w:rPr>
                <w:rFonts w:cs="Times New Roman"/>
                <w:i/>
                <w:iCs/>
                <w:szCs w:val="24"/>
                <w:lang w:val="bg-BG"/>
              </w:rPr>
            </w:pPr>
            <w:proofErr w:type="spellStart"/>
            <w:r w:rsidRPr="006F3533">
              <w:rPr>
                <w:rFonts w:cs="Times New Roman"/>
                <w:i/>
                <w:iCs/>
                <w:szCs w:val="24"/>
                <w:lang w:val="bg-BG"/>
              </w:rPr>
              <w:t>wholesale</w:t>
            </w:r>
            <w:proofErr w:type="spellEnd"/>
            <w:r w:rsidRPr="006F3533">
              <w:rPr>
                <w:rFonts w:cs="Times New Roman"/>
                <w:i/>
                <w:iCs/>
                <w:szCs w:val="24"/>
                <w:lang w:val="bg-BG"/>
              </w:rPr>
              <w:t xml:space="preserve"> and </w:t>
            </w:r>
            <w:proofErr w:type="spellStart"/>
            <w:r w:rsidRPr="006F3533">
              <w:rPr>
                <w:rFonts w:cs="Times New Roman"/>
                <w:i/>
                <w:iCs/>
                <w:szCs w:val="24"/>
                <w:lang w:val="bg-BG"/>
              </w:rPr>
              <w:t>retail</w:t>
            </w:r>
            <w:proofErr w:type="spellEnd"/>
            <w:r w:rsidRPr="006F3533">
              <w:rPr>
                <w:rFonts w:cs="Times New Roman"/>
                <w:i/>
                <w:iCs/>
                <w:szCs w:val="24"/>
                <w:lang w:val="bg-BG"/>
              </w:rPr>
              <w:t xml:space="preserve"> </w:t>
            </w:r>
            <w:proofErr w:type="spellStart"/>
            <w:r w:rsidRPr="006F3533">
              <w:rPr>
                <w:rFonts w:cs="Times New Roman"/>
                <w:i/>
                <w:iCs/>
                <w:szCs w:val="24"/>
                <w:lang w:val="bg-BG"/>
              </w:rPr>
              <w:t>trade</w:t>
            </w:r>
            <w:proofErr w:type="spellEnd"/>
            <w:r w:rsidRPr="006F3533">
              <w:rPr>
                <w:rFonts w:cs="Times New Roman"/>
                <w:i/>
                <w:iCs/>
                <w:szCs w:val="24"/>
                <w:lang w:val="bg-BG"/>
              </w:rPr>
              <w:t xml:space="preserve"> </w:t>
            </w:r>
            <w:proofErr w:type="spellStart"/>
            <w:r w:rsidRPr="006F3533">
              <w:rPr>
                <w:rFonts w:cs="Times New Roman"/>
                <w:i/>
                <w:iCs/>
                <w:szCs w:val="24"/>
                <w:lang w:val="bg-BG"/>
              </w:rPr>
              <w:t>services</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647" w:type="pct"/>
          </w:tcPr>
          <w:p w14:paraId="248862C8"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top w:val="single" w:sz="4" w:space="0" w:color="auto"/>
              <w:left w:val="nil"/>
              <w:bottom w:val="single" w:sz="4" w:space="0" w:color="auto"/>
              <w:right w:val="single" w:sz="4" w:space="0" w:color="auto"/>
            </w:tcBorders>
          </w:tcPr>
          <w:p w14:paraId="1F426561" w14:textId="25E9CEAE" w:rsidR="000F16D5" w:rsidRPr="006F3533" w:rsidRDefault="000F16D5" w:rsidP="000F16D5">
            <w:pPr>
              <w:pStyle w:val="ListParagraph"/>
              <w:ind w:left="0"/>
              <w:jc w:val="both"/>
              <w:rPr>
                <w:rFonts w:cs="Times New Roman"/>
                <w:szCs w:val="24"/>
                <w:lang w:val="bg-BG"/>
              </w:rPr>
            </w:pPr>
            <w:r w:rsidRPr="006F3533">
              <w:rPr>
                <w:lang w:val="bg-BG"/>
              </w:rPr>
              <w:t>1 596 104</w:t>
            </w:r>
          </w:p>
        </w:tc>
      </w:tr>
      <w:tr w:rsidR="000F16D5" w:rsidRPr="006F3533" w14:paraId="0507CBBD" w14:textId="77777777" w:rsidTr="00437819">
        <w:trPr>
          <w:trHeight w:val="300"/>
        </w:trPr>
        <w:tc>
          <w:tcPr>
            <w:tcW w:w="556" w:type="pct"/>
          </w:tcPr>
          <w:p w14:paraId="6CB533F9" w14:textId="77777777" w:rsidR="000F16D5" w:rsidRPr="006F3533" w:rsidRDefault="000F16D5" w:rsidP="000F16D5">
            <w:pPr>
              <w:pStyle w:val="ListParagraph"/>
              <w:ind w:left="0"/>
              <w:jc w:val="both"/>
              <w:rPr>
                <w:rFonts w:cs="Times New Roman"/>
                <w:i/>
                <w:iCs/>
                <w:szCs w:val="24"/>
                <w:lang w:val="bg-BG"/>
              </w:rPr>
            </w:pPr>
            <w:r w:rsidRPr="006F3533">
              <w:rPr>
                <w:rFonts w:cs="Times New Roman"/>
                <w:i/>
                <w:iCs/>
                <w:szCs w:val="24"/>
                <w:lang w:val="bg-BG"/>
              </w:rPr>
              <w:t>(i)</w:t>
            </w:r>
          </w:p>
        </w:tc>
        <w:tc>
          <w:tcPr>
            <w:tcW w:w="2222" w:type="pct"/>
          </w:tcPr>
          <w:p w14:paraId="7E97CED0"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i/>
                <w:iCs/>
                <w:szCs w:val="24"/>
                <w:lang w:val="bg-BG"/>
              </w:rPr>
              <w:t>sport</w:t>
            </w:r>
            <w:proofErr w:type="spellEnd"/>
            <w:r w:rsidRPr="006F3533">
              <w:rPr>
                <w:rFonts w:cs="Times New Roman"/>
                <w:i/>
                <w:iCs/>
                <w:szCs w:val="24"/>
                <w:lang w:val="bg-BG"/>
              </w:rPr>
              <w:t xml:space="preserve"> </w:t>
            </w:r>
            <w:proofErr w:type="spellStart"/>
            <w:r w:rsidRPr="006F3533">
              <w:rPr>
                <w:rFonts w:cs="Times New Roman"/>
                <w:i/>
                <w:iCs/>
                <w:szCs w:val="24"/>
                <w:lang w:val="bg-BG"/>
              </w:rPr>
              <w:t>facilities</w:t>
            </w:r>
            <w:proofErr w:type="spellEnd"/>
          </w:p>
        </w:tc>
        <w:tc>
          <w:tcPr>
            <w:tcW w:w="647" w:type="pct"/>
          </w:tcPr>
          <w:p w14:paraId="20E60F67"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top w:val="single" w:sz="4" w:space="0" w:color="auto"/>
              <w:left w:val="nil"/>
              <w:bottom w:val="single" w:sz="4" w:space="0" w:color="auto"/>
              <w:right w:val="single" w:sz="4" w:space="0" w:color="auto"/>
            </w:tcBorders>
          </w:tcPr>
          <w:p w14:paraId="34E9B66A" w14:textId="50ED33B5" w:rsidR="000F16D5" w:rsidRPr="006F3533" w:rsidRDefault="000F16D5" w:rsidP="000F16D5">
            <w:pPr>
              <w:pStyle w:val="ListParagraph"/>
              <w:ind w:left="0"/>
              <w:jc w:val="both"/>
              <w:rPr>
                <w:rFonts w:cs="Times New Roman"/>
                <w:szCs w:val="24"/>
                <w:lang w:val="bg-BG"/>
              </w:rPr>
            </w:pPr>
            <w:r w:rsidRPr="006F3533">
              <w:rPr>
                <w:lang w:val="bg-BG"/>
              </w:rPr>
              <w:t>3 23 692</w:t>
            </w:r>
          </w:p>
        </w:tc>
      </w:tr>
      <w:tr w:rsidR="000F16D5" w:rsidRPr="006F3533" w14:paraId="25937EA5" w14:textId="77777777" w:rsidTr="00437819">
        <w:trPr>
          <w:trHeight w:val="300"/>
        </w:trPr>
        <w:tc>
          <w:tcPr>
            <w:tcW w:w="556" w:type="pct"/>
          </w:tcPr>
          <w:p w14:paraId="171FD33A" w14:textId="77777777" w:rsidR="000F16D5" w:rsidRPr="006F3533" w:rsidRDefault="000F16D5" w:rsidP="000F16D5">
            <w:pPr>
              <w:pStyle w:val="ListParagraph"/>
              <w:ind w:left="0"/>
              <w:jc w:val="both"/>
              <w:rPr>
                <w:rFonts w:cs="Times New Roman"/>
                <w:szCs w:val="24"/>
                <w:lang w:val="bg-BG"/>
              </w:rPr>
            </w:pPr>
            <w:r w:rsidRPr="006F3533">
              <w:rPr>
                <w:rFonts w:cs="Times New Roman"/>
                <w:i/>
                <w:iCs/>
                <w:szCs w:val="24"/>
                <w:lang w:val="bg-BG"/>
              </w:rPr>
              <w:t>(j)</w:t>
            </w:r>
          </w:p>
        </w:tc>
        <w:tc>
          <w:tcPr>
            <w:tcW w:w="2222" w:type="pct"/>
          </w:tcPr>
          <w:p w14:paraId="3AF70913" w14:textId="77777777" w:rsidR="000F16D5" w:rsidRPr="006F3533" w:rsidRDefault="000F16D5" w:rsidP="000F16D5">
            <w:pPr>
              <w:pStyle w:val="ListParagraph"/>
              <w:ind w:left="0"/>
              <w:jc w:val="both"/>
              <w:rPr>
                <w:rFonts w:cs="Times New Roman"/>
                <w:i/>
                <w:iCs/>
                <w:szCs w:val="24"/>
                <w:lang w:val="bg-BG"/>
              </w:rPr>
            </w:pPr>
            <w:proofErr w:type="spellStart"/>
            <w:r w:rsidRPr="006F3533">
              <w:rPr>
                <w:rFonts w:cs="Times New Roman"/>
                <w:i/>
                <w:iCs/>
                <w:szCs w:val="24"/>
                <w:lang w:val="bg-BG"/>
              </w:rPr>
              <w:t>culture</w:t>
            </w:r>
            <w:proofErr w:type="spellEnd"/>
            <w:r w:rsidRPr="006F3533">
              <w:rPr>
                <w:rFonts w:cs="Times New Roman"/>
                <w:i/>
                <w:iCs/>
                <w:szCs w:val="24"/>
                <w:lang w:val="bg-BG"/>
              </w:rPr>
              <w:t xml:space="preserve"> and </w:t>
            </w:r>
            <w:proofErr w:type="spellStart"/>
            <w:r w:rsidRPr="006F3533">
              <w:rPr>
                <w:rFonts w:cs="Times New Roman"/>
                <w:i/>
                <w:iCs/>
                <w:szCs w:val="24"/>
                <w:lang w:val="bg-BG"/>
              </w:rPr>
              <w:t>art</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647" w:type="pct"/>
          </w:tcPr>
          <w:p w14:paraId="3223EFCD"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top w:val="single" w:sz="4" w:space="0" w:color="auto"/>
              <w:left w:val="nil"/>
              <w:bottom w:val="single" w:sz="4" w:space="0" w:color="auto"/>
              <w:right w:val="single" w:sz="4" w:space="0" w:color="auto"/>
            </w:tcBorders>
          </w:tcPr>
          <w:p w14:paraId="27B35368" w14:textId="1E914CBC" w:rsidR="000F16D5" w:rsidRPr="006F3533" w:rsidRDefault="000F16D5" w:rsidP="000F16D5">
            <w:pPr>
              <w:pStyle w:val="ListParagraph"/>
              <w:ind w:left="0"/>
              <w:jc w:val="both"/>
              <w:rPr>
                <w:rFonts w:cs="Times New Roman"/>
                <w:szCs w:val="24"/>
                <w:lang w:val="bg-BG"/>
              </w:rPr>
            </w:pPr>
            <w:r w:rsidRPr="006F3533">
              <w:rPr>
                <w:lang w:val="bg-BG"/>
              </w:rPr>
              <w:t>743 829</w:t>
            </w:r>
          </w:p>
        </w:tc>
      </w:tr>
      <w:tr w:rsidR="000F16D5" w:rsidRPr="006F3533" w14:paraId="48D98825" w14:textId="77777777" w:rsidTr="00437819">
        <w:trPr>
          <w:trHeight w:val="300"/>
        </w:trPr>
        <w:tc>
          <w:tcPr>
            <w:tcW w:w="556" w:type="pct"/>
          </w:tcPr>
          <w:p w14:paraId="266E4CD2" w14:textId="77777777" w:rsidR="000F16D5" w:rsidRPr="006F3533" w:rsidRDefault="000F16D5" w:rsidP="000F16D5">
            <w:pPr>
              <w:pStyle w:val="ListParagraph"/>
              <w:ind w:left="0"/>
              <w:jc w:val="both"/>
              <w:rPr>
                <w:rFonts w:cs="Times New Roman"/>
                <w:szCs w:val="24"/>
                <w:lang w:val="bg-BG"/>
              </w:rPr>
            </w:pPr>
            <w:r w:rsidRPr="006F3533">
              <w:rPr>
                <w:rFonts w:cs="Times New Roman"/>
                <w:i/>
                <w:iCs/>
                <w:szCs w:val="24"/>
                <w:lang w:val="bg-BG"/>
              </w:rPr>
              <w:t>(k)</w:t>
            </w:r>
          </w:p>
        </w:tc>
        <w:tc>
          <w:tcPr>
            <w:tcW w:w="2222" w:type="pct"/>
          </w:tcPr>
          <w:p w14:paraId="7085D5B3" w14:textId="77777777" w:rsidR="000F16D5" w:rsidRPr="006F3533" w:rsidRDefault="000F16D5" w:rsidP="000F16D5">
            <w:pPr>
              <w:pStyle w:val="ListParagraph"/>
              <w:ind w:left="0"/>
              <w:jc w:val="both"/>
              <w:rPr>
                <w:rFonts w:cs="Times New Roman"/>
                <w:i/>
                <w:iCs/>
                <w:szCs w:val="24"/>
                <w:lang w:val="bg-BG"/>
              </w:rPr>
            </w:pPr>
            <w:proofErr w:type="spellStart"/>
            <w:r w:rsidRPr="006F3533">
              <w:rPr>
                <w:rFonts w:cs="Times New Roman"/>
                <w:i/>
                <w:iCs/>
                <w:szCs w:val="24"/>
                <w:lang w:val="bg-BG"/>
              </w:rPr>
              <w:t>Other</w:t>
            </w:r>
            <w:proofErr w:type="spellEnd"/>
            <w:r w:rsidRPr="006F3533">
              <w:rPr>
                <w:rFonts w:cs="Times New Roman"/>
                <w:i/>
                <w:iCs/>
                <w:szCs w:val="24"/>
                <w:lang w:val="bg-BG"/>
              </w:rPr>
              <w:t xml:space="preserve"> </w:t>
            </w:r>
            <w:proofErr w:type="spellStart"/>
            <w:r w:rsidRPr="006F3533">
              <w:rPr>
                <w:rFonts w:cs="Times New Roman"/>
                <w:i/>
                <w:iCs/>
                <w:szCs w:val="24"/>
                <w:lang w:val="bg-BG"/>
              </w:rPr>
              <w:t>type</w:t>
            </w:r>
            <w:proofErr w:type="spellEnd"/>
            <w:r w:rsidRPr="006F3533">
              <w:rPr>
                <w:rFonts w:cs="Times New Roman"/>
                <w:i/>
                <w:iCs/>
                <w:szCs w:val="24"/>
                <w:lang w:val="bg-BG"/>
              </w:rPr>
              <w:t xml:space="preserve"> (</w:t>
            </w:r>
            <w:proofErr w:type="spellStart"/>
            <w:r w:rsidRPr="006F3533">
              <w:rPr>
                <w:rFonts w:cs="Times New Roman"/>
                <w:i/>
                <w:iCs/>
                <w:szCs w:val="24"/>
                <w:lang w:val="bg-BG"/>
              </w:rPr>
              <w:t>individual</w:t>
            </w:r>
            <w:proofErr w:type="spellEnd"/>
            <w:r w:rsidRPr="006F3533">
              <w:rPr>
                <w:rFonts w:cs="Times New Roman"/>
                <w:i/>
                <w:iCs/>
                <w:szCs w:val="24"/>
                <w:lang w:val="bg-BG"/>
              </w:rPr>
              <w:t xml:space="preserve"> </w:t>
            </w:r>
            <w:proofErr w:type="spellStart"/>
            <w:r w:rsidRPr="006F3533">
              <w:rPr>
                <w:rFonts w:cs="Times New Roman"/>
                <w:i/>
                <w:iCs/>
                <w:szCs w:val="24"/>
                <w:lang w:val="bg-BG"/>
              </w:rPr>
              <w:t>energy</w:t>
            </w:r>
            <w:proofErr w:type="spellEnd"/>
            <w:r w:rsidRPr="006F3533">
              <w:rPr>
                <w:rFonts w:cs="Times New Roman"/>
                <w:i/>
                <w:iCs/>
                <w:szCs w:val="24"/>
                <w:lang w:val="bg-BG"/>
              </w:rPr>
              <w:t xml:space="preserve"> </w:t>
            </w:r>
            <w:proofErr w:type="spellStart"/>
            <w:r w:rsidRPr="006F3533">
              <w:rPr>
                <w:rFonts w:cs="Times New Roman"/>
                <w:i/>
                <w:iCs/>
                <w:szCs w:val="24"/>
                <w:lang w:val="bg-BG"/>
              </w:rPr>
              <w:t>class</w:t>
            </w:r>
            <w:proofErr w:type="spellEnd"/>
            <w:r w:rsidRPr="006F3533">
              <w:rPr>
                <w:rFonts w:cs="Times New Roman"/>
                <w:i/>
                <w:iCs/>
                <w:szCs w:val="24"/>
                <w:lang w:val="bg-BG"/>
              </w:rPr>
              <w:t xml:space="preserve"> </w:t>
            </w:r>
            <w:proofErr w:type="spellStart"/>
            <w:r w:rsidRPr="006F3533">
              <w:rPr>
                <w:rFonts w:cs="Times New Roman"/>
                <w:i/>
                <w:iCs/>
                <w:szCs w:val="24"/>
                <w:lang w:val="bg-BG"/>
              </w:rPr>
              <w:t>scales</w:t>
            </w:r>
            <w:proofErr w:type="spellEnd"/>
            <w:r w:rsidRPr="006F3533">
              <w:rPr>
                <w:rFonts w:cs="Times New Roman"/>
                <w:i/>
                <w:iCs/>
                <w:szCs w:val="24"/>
                <w:lang w:val="bg-BG"/>
              </w:rPr>
              <w:t>)</w:t>
            </w:r>
          </w:p>
        </w:tc>
        <w:tc>
          <w:tcPr>
            <w:tcW w:w="647" w:type="pct"/>
          </w:tcPr>
          <w:p w14:paraId="596423D2" w14:textId="77777777" w:rsidR="000F16D5" w:rsidRPr="006F3533" w:rsidRDefault="000F16D5" w:rsidP="000F16D5">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575" w:type="pct"/>
            <w:tcBorders>
              <w:top w:val="single" w:sz="4" w:space="0" w:color="auto"/>
              <w:left w:val="nil"/>
              <w:bottom w:val="single" w:sz="4" w:space="0" w:color="auto"/>
              <w:right w:val="single" w:sz="4" w:space="0" w:color="auto"/>
            </w:tcBorders>
          </w:tcPr>
          <w:p w14:paraId="71BF096D" w14:textId="086CF1A2" w:rsidR="000F16D5" w:rsidRPr="006F3533" w:rsidRDefault="000F16D5" w:rsidP="000F16D5">
            <w:pPr>
              <w:pStyle w:val="ListParagraph"/>
              <w:ind w:left="0"/>
              <w:jc w:val="both"/>
              <w:rPr>
                <w:rFonts w:cs="Times New Roman"/>
                <w:szCs w:val="24"/>
                <w:lang w:val="bg-BG"/>
              </w:rPr>
            </w:pPr>
            <w:r w:rsidRPr="006F3533">
              <w:rPr>
                <w:lang w:val="bg-BG"/>
              </w:rPr>
              <w:t>1 118 119</w:t>
            </w:r>
          </w:p>
        </w:tc>
      </w:tr>
      <w:tr w:rsidR="000F16D5" w:rsidRPr="006F3533" w14:paraId="20D822EE" w14:textId="77777777" w:rsidTr="00437819">
        <w:trPr>
          <w:trHeight w:val="300"/>
        </w:trPr>
        <w:tc>
          <w:tcPr>
            <w:tcW w:w="556" w:type="pct"/>
          </w:tcPr>
          <w:p w14:paraId="273EBF83"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T</w:t>
            </w:r>
          </w:p>
        </w:tc>
        <w:tc>
          <w:tcPr>
            <w:tcW w:w="2222" w:type="pct"/>
          </w:tcPr>
          <w:p w14:paraId="2D45C1E3"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Total</w:t>
            </w:r>
          </w:p>
        </w:tc>
        <w:tc>
          <w:tcPr>
            <w:tcW w:w="647" w:type="pct"/>
          </w:tcPr>
          <w:p w14:paraId="682BDBE8" w14:textId="77777777" w:rsidR="000F16D5" w:rsidRPr="006F3533" w:rsidRDefault="000F16D5" w:rsidP="000F16D5">
            <w:pPr>
              <w:pStyle w:val="ListParagraph"/>
              <w:ind w:left="0"/>
              <w:jc w:val="both"/>
              <w:rPr>
                <w:rFonts w:cs="Times New Roman"/>
                <w:szCs w:val="24"/>
                <w:lang w:val="bg-BG"/>
              </w:rPr>
            </w:pPr>
          </w:p>
        </w:tc>
        <w:tc>
          <w:tcPr>
            <w:tcW w:w="1575" w:type="pct"/>
            <w:tcBorders>
              <w:top w:val="single" w:sz="4" w:space="0" w:color="auto"/>
              <w:left w:val="nil"/>
              <w:bottom w:val="single" w:sz="4" w:space="0" w:color="auto"/>
              <w:right w:val="single" w:sz="4" w:space="0" w:color="auto"/>
            </w:tcBorders>
          </w:tcPr>
          <w:p w14:paraId="75A04731" w14:textId="4F2032EE" w:rsidR="000F16D5" w:rsidRPr="006F3533" w:rsidRDefault="000F16D5" w:rsidP="000F16D5">
            <w:pPr>
              <w:pStyle w:val="ListParagraph"/>
              <w:ind w:left="0"/>
              <w:jc w:val="both"/>
              <w:rPr>
                <w:rFonts w:cs="Times New Roman"/>
                <w:b/>
                <w:bCs/>
                <w:szCs w:val="24"/>
                <w:lang w:val="bg-BG"/>
              </w:rPr>
            </w:pPr>
            <w:r w:rsidRPr="006F3533">
              <w:rPr>
                <w:b/>
                <w:bCs/>
                <w:lang w:val="bg-BG"/>
              </w:rPr>
              <w:t>11 903 655</w:t>
            </w:r>
          </w:p>
        </w:tc>
      </w:tr>
    </w:tbl>
    <w:p w14:paraId="7B91CFD9" w14:textId="1F731721" w:rsidR="00317495" w:rsidRPr="006F3533" w:rsidRDefault="007E1DCA" w:rsidP="00077D42">
      <w:pPr>
        <w:spacing w:line="240" w:lineRule="auto"/>
        <w:jc w:val="both"/>
        <w:rPr>
          <w:rFonts w:cs="Times New Roman"/>
          <w:szCs w:val="24"/>
          <w:lang w:val="bg-BG"/>
        </w:rPr>
      </w:pPr>
      <w:r w:rsidRPr="006F3533">
        <w:rPr>
          <w:rFonts w:cs="Times New Roman"/>
          <w:szCs w:val="24"/>
          <w:lang w:val="bg-BG"/>
        </w:rPr>
        <w:t xml:space="preserve"> </w:t>
      </w:r>
    </w:p>
    <w:p w14:paraId="07185184" w14:textId="5702D037" w:rsidR="00801670" w:rsidRPr="006F3533" w:rsidRDefault="00801670" w:rsidP="00077D42">
      <w:pPr>
        <w:pStyle w:val="Heading2"/>
        <w:jc w:val="both"/>
        <w:rPr>
          <w:lang w:val="bg-BG"/>
        </w:rPr>
      </w:pPr>
      <w:bookmarkStart w:id="122" w:name="_Toc217888781"/>
      <w:r w:rsidRPr="006F3533">
        <w:rPr>
          <w:lang w:val="bg-BG"/>
        </w:rPr>
        <w:t>Брой на сертификатите за енергийните характеристики на сгради по клас на енергопотребление</w:t>
      </w:r>
      <w:bookmarkEnd w:id="122"/>
    </w:p>
    <w:p w14:paraId="5E45FB7B" w14:textId="58F4F9BC" w:rsidR="00801670" w:rsidRPr="006F3533" w:rsidRDefault="00801670"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Информацията за разпределението на сертификатите за енергийни характеристики по клас на енергопотребление също е извлечена от националната база данни за енергийните характеристики на сградите, поддържана от АУЕР. В таблица 6 е представена информация само за валидните сертификати за енергийни характеристики, регистрирани в базата данни към референтната година X-2 (данни, актуални към ноември 2025 г.). </w:t>
      </w:r>
    </w:p>
    <w:p w14:paraId="754FE07C" w14:textId="77777777" w:rsidR="00801670" w:rsidRPr="006F3533" w:rsidRDefault="00801670" w:rsidP="00077D42">
      <w:pPr>
        <w:pStyle w:val="ListParagraph"/>
        <w:spacing w:line="240" w:lineRule="auto"/>
        <w:ind w:left="0"/>
        <w:jc w:val="both"/>
        <w:rPr>
          <w:rFonts w:cs="Times New Roman"/>
          <w:i/>
          <w:iCs/>
          <w:color w:val="0070C0"/>
          <w:szCs w:val="24"/>
          <w:lang w:val="bg-BG"/>
        </w:rPr>
      </w:pPr>
      <w:r w:rsidRPr="006F3533">
        <w:rPr>
          <w:rFonts w:cs="Times New Roman"/>
          <w:i/>
          <w:iCs/>
          <w:color w:val="0070C0"/>
          <w:szCs w:val="24"/>
          <w:lang w:val="bg-BG"/>
        </w:rPr>
        <w:t>Таблица 6. Брой на валидните сертификати за енергийни характеристики по клас на енергопотребление</w:t>
      </w:r>
    </w:p>
    <w:tbl>
      <w:tblPr>
        <w:tblStyle w:val="TableGrid"/>
        <w:tblW w:w="5000" w:type="pct"/>
        <w:tblLook w:val="04A0" w:firstRow="1" w:lastRow="0" w:firstColumn="1" w:lastColumn="0" w:noHBand="0" w:noVBand="1"/>
      </w:tblPr>
      <w:tblGrid>
        <w:gridCol w:w="2758"/>
        <w:gridCol w:w="3152"/>
        <w:gridCol w:w="3152"/>
      </w:tblGrid>
      <w:tr w:rsidR="00801670" w:rsidRPr="006F3533" w14:paraId="006ED362" w14:textId="77777777" w:rsidTr="00500C52">
        <w:tc>
          <w:tcPr>
            <w:tcW w:w="1522" w:type="pct"/>
            <w:shd w:val="clear" w:color="auto" w:fill="D0CECE" w:themeFill="background2" w:themeFillShade="E6"/>
          </w:tcPr>
          <w:p w14:paraId="1463DAE1" w14:textId="77777777" w:rsidR="00801670" w:rsidRPr="006F3533" w:rsidRDefault="00801670" w:rsidP="00077D42">
            <w:pPr>
              <w:pStyle w:val="ListParagraph"/>
              <w:ind w:left="0"/>
              <w:jc w:val="both"/>
              <w:rPr>
                <w:rFonts w:cs="Times New Roman"/>
                <w:szCs w:val="24"/>
                <w:lang w:val="bg-BG"/>
              </w:rPr>
            </w:pPr>
            <w:bookmarkStart w:id="123" w:name="_Hlk213847343"/>
            <w:r w:rsidRPr="006F3533">
              <w:rPr>
                <w:rFonts w:cs="Times New Roman"/>
                <w:szCs w:val="24"/>
                <w:lang w:val="bg-BG"/>
              </w:rPr>
              <w:t>EPC</w:t>
            </w:r>
          </w:p>
          <w:p w14:paraId="55D09785" w14:textId="77777777" w:rsidR="00801670" w:rsidRPr="006F3533" w:rsidRDefault="00801670" w:rsidP="00077D42">
            <w:pPr>
              <w:pStyle w:val="ListParagraph"/>
              <w:ind w:left="0"/>
              <w:jc w:val="both"/>
              <w:rPr>
                <w:rFonts w:cs="Times New Roman"/>
                <w:szCs w:val="24"/>
                <w:lang w:val="bg-BG"/>
              </w:rPr>
            </w:pPr>
            <w:proofErr w:type="spellStart"/>
            <w:r w:rsidRPr="006F3533">
              <w:rPr>
                <w:rFonts w:cs="Times New Roman"/>
                <w:szCs w:val="24"/>
                <w:lang w:val="bg-BG"/>
              </w:rPr>
              <w:t>Class</w:t>
            </w:r>
            <w:proofErr w:type="spellEnd"/>
          </w:p>
          <w:p w14:paraId="3E51A27B" w14:textId="77777777" w:rsidR="00801670" w:rsidRPr="006F3533" w:rsidRDefault="00801670" w:rsidP="00077D42">
            <w:pPr>
              <w:pStyle w:val="ListParagraph"/>
              <w:ind w:left="0"/>
              <w:jc w:val="both"/>
              <w:rPr>
                <w:rFonts w:cs="Times New Roman"/>
                <w:szCs w:val="24"/>
                <w:lang w:val="bg-BG"/>
              </w:rPr>
            </w:pPr>
          </w:p>
        </w:tc>
        <w:tc>
          <w:tcPr>
            <w:tcW w:w="1739" w:type="pct"/>
            <w:shd w:val="clear" w:color="auto" w:fill="D0CECE" w:themeFill="background2" w:themeFillShade="E6"/>
          </w:tcPr>
          <w:p w14:paraId="5CD3285E" w14:textId="77777777" w:rsidR="00801670" w:rsidRPr="006F3533" w:rsidRDefault="00801670" w:rsidP="00077D42">
            <w:pPr>
              <w:pStyle w:val="ListParagraph"/>
              <w:ind w:left="0"/>
              <w:jc w:val="both"/>
              <w:rPr>
                <w:rFonts w:cs="Times New Roman"/>
                <w:szCs w:val="24"/>
                <w:lang w:val="bg-BG"/>
              </w:rPr>
            </w:pPr>
            <w:proofErr w:type="spellStart"/>
            <w:r w:rsidRPr="006F3533">
              <w:rPr>
                <w:rFonts w:cs="Times New Roman"/>
                <w:szCs w:val="24"/>
                <w:lang w:val="bg-BG"/>
              </w:rPr>
              <w:t>Residential</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p w14:paraId="2BC07644" w14:textId="77777777" w:rsidR="00801670" w:rsidRPr="006F3533" w:rsidRDefault="00801670" w:rsidP="00077D42">
            <w:pPr>
              <w:pStyle w:val="ListParagraph"/>
              <w:ind w:left="0"/>
              <w:jc w:val="both"/>
              <w:rPr>
                <w:rFonts w:cs="Times New Roman"/>
                <w:szCs w:val="24"/>
                <w:lang w:val="bg-BG"/>
              </w:rPr>
            </w:pPr>
            <w:proofErr w:type="spellStart"/>
            <w:r w:rsidRPr="006F3533">
              <w:rPr>
                <w:rFonts w:cs="Times New Roman"/>
                <w:szCs w:val="24"/>
                <w:lang w:val="bg-BG"/>
              </w:rPr>
              <w:t>No</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valid</w:t>
            </w:r>
            <w:proofErr w:type="spellEnd"/>
            <w:r w:rsidRPr="006F3533">
              <w:rPr>
                <w:rFonts w:cs="Times New Roman"/>
                <w:szCs w:val="24"/>
                <w:lang w:val="bg-BG"/>
              </w:rPr>
              <w:t xml:space="preserve"> </w:t>
            </w:r>
            <w:proofErr w:type="spellStart"/>
            <w:r w:rsidRPr="006F3533">
              <w:rPr>
                <w:rFonts w:cs="Times New Roman"/>
                <w:szCs w:val="24"/>
                <w:lang w:val="bg-BG"/>
              </w:rPr>
              <w:t>EPCs</w:t>
            </w:r>
            <w:proofErr w:type="spellEnd"/>
          </w:p>
          <w:p w14:paraId="1185D98F" w14:textId="77777777" w:rsidR="00801670" w:rsidRPr="006F3533" w:rsidRDefault="00801670"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tc>
        <w:tc>
          <w:tcPr>
            <w:tcW w:w="1739" w:type="pct"/>
            <w:shd w:val="clear" w:color="auto" w:fill="D0CECE" w:themeFill="background2" w:themeFillShade="E6"/>
          </w:tcPr>
          <w:p w14:paraId="56F80808" w14:textId="77777777" w:rsidR="00801670" w:rsidRPr="006F3533" w:rsidRDefault="00801670" w:rsidP="00077D42">
            <w:pPr>
              <w:pStyle w:val="ListParagraph"/>
              <w:ind w:left="0"/>
              <w:jc w:val="both"/>
              <w:rPr>
                <w:rFonts w:cs="Times New Roman"/>
                <w:szCs w:val="24"/>
                <w:lang w:val="bg-BG"/>
              </w:rPr>
            </w:pPr>
            <w:proofErr w:type="spellStart"/>
            <w:r w:rsidRPr="006F3533">
              <w:rPr>
                <w:rFonts w:cs="Times New Roman"/>
                <w:szCs w:val="24"/>
                <w:lang w:val="bg-BG"/>
              </w:rPr>
              <w:t>Non-residential</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p w14:paraId="045906E2" w14:textId="77777777" w:rsidR="00801670" w:rsidRPr="006F3533" w:rsidRDefault="00801670" w:rsidP="00077D42">
            <w:pPr>
              <w:pStyle w:val="ListParagraph"/>
              <w:ind w:left="0"/>
              <w:jc w:val="both"/>
              <w:rPr>
                <w:rFonts w:cs="Times New Roman"/>
                <w:szCs w:val="24"/>
                <w:lang w:val="bg-BG"/>
              </w:rPr>
            </w:pPr>
            <w:proofErr w:type="spellStart"/>
            <w:r w:rsidRPr="006F3533">
              <w:rPr>
                <w:rFonts w:cs="Times New Roman"/>
                <w:szCs w:val="24"/>
                <w:lang w:val="bg-BG"/>
              </w:rPr>
              <w:t>No</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valid</w:t>
            </w:r>
            <w:proofErr w:type="spellEnd"/>
            <w:r w:rsidRPr="006F3533">
              <w:rPr>
                <w:rFonts w:cs="Times New Roman"/>
                <w:szCs w:val="24"/>
                <w:lang w:val="bg-BG"/>
              </w:rPr>
              <w:t xml:space="preserve"> </w:t>
            </w:r>
            <w:proofErr w:type="spellStart"/>
            <w:r w:rsidRPr="006F3533">
              <w:rPr>
                <w:rFonts w:cs="Times New Roman"/>
                <w:szCs w:val="24"/>
                <w:lang w:val="bg-BG"/>
              </w:rPr>
              <w:t>EPCs</w:t>
            </w:r>
            <w:proofErr w:type="spellEnd"/>
          </w:p>
          <w:p w14:paraId="6669B5C2" w14:textId="77777777" w:rsidR="00801670" w:rsidRPr="006F3533" w:rsidRDefault="00801670"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tc>
      </w:tr>
      <w:tr w:rsidR="00801670" w:rsidRPr="006F3533" w14:paraId="7C29F2BC" w14:textId="77777777" w:rsidTr="00500C52">
        <w:tc>
          <w:tcPr>
            <w:tcW w:w="1522" w:type="pct"/>
            <w:shd w:val="clear" w:color="auto" w:fill="FFFFFF" w:themeFill="background1"/>
          </w:tcPr>
          <w:p w14:paraId="36B00C67"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 xml:space="preserve">A+ </w:t>
            </w:r>
          </w:p>
          <w:p w14:paraId="1AD88EEF"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if</w:t>
            </w:r>
            <w:proofErr w:type="spellEnd"/>
            <w:r w:rsidRPr="006F3533">
              <w:rPr>
                <w:rFonts w:cs="Times New Roman"/>
                <w:szCs w:val="24"/>
                <w:lang w:val="bg-BG"/>
              </w:rPr>
              <w:t xml:space="preserve"> </w:t>
            </w:r>
            <w:proofErr w:type="spellStart"/>
            <w:r w:rsidRPr="006F3533">
              <w:rPr>
                <w:rFonts w:cs="Times New Roman"/>
                <w:szCs w:val="24"/>
                <w:lang w:val="bg-BG"/>
              </w:rPr>
              <w:t>relevant</w:t>
            </w:r>
            <w:proofErr w:type="spellEnd"/>
            <w:r w:rsidRPr="006F3533">
              <w:rPr>
                <w:rFonts w:cs="Times New Roman"/>
                <w:szCs w:val="24"/>
                <w:lang w:val="bg-BG"/>
              </w:rPr>
              <w:t xml:space="preserve">) </w:t>
            </w:r>
          </w:p>
        </w:tc>
        <w:tc>
          <w:tcPr>
            <w:tcW w:w="1739" w:type="pct"/>
          </w:tcPr>
          <w:p w14:paraId="00F018A8" w14:textId="77777777" w:rsidR="00801670" w:rsidRPr="006F3533" w:rsidRDefault="00801670" w:rsidP="00077D42">
            <w:pPr>
              <w:pStyle w:val="ListParagraph"/>
              <w:ind w:left="0"/>
              <w:jc w:val="both"/>
              <w:rPr>
                <w:rFonts w:cs="Times New Roman"/>
                <w:szCs w:val="24"/>
                <w:lang w:val="bg-BG"/>
              </w:rPr>
            </w:pPr>
          </w:p>
        </w:tc>
        <w:tc>
          <w:tcPr>
            <w:tcW w:w="1739" w:type="pct"/>
            <w:shd w:val="clear" w:color="auto" w:fill="FFFFFF" w:themeFill="background1"/>
          </w:tcPr>
          <w:p w14:paraId="15EE907E"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0</w:t>
            </w:r>
          </w:p>
        </w:tc>
      </w:tr>
      <w:tr w:rsidR="00801670" w:rsidRPr="006F3533" w14:paraId="3744F18C" w14:textId="77777777" w:rsidTr="00500C52">
        <w:tc>
          <w:tcPr>
            <w:tcW w:w="1522" w:type="pct"/>
            <w:shd w:val="clear" w:color="auto" w:fill="FFFFFF" w:themeFill="background1"/>
          </w:tcPr>
          <w:p w14:paraId="70520E24"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A0</w:t>
            </w:r>
          </w:p>
          <w:p w14:paraId="16F57CA2"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if</w:t>
            </w:r>
            <w:proofErr w:type="spellEnd"/>
            <w:r w:rsidRPr="006F3533">
              <w:rPr>
                <w:rFonts w:cs="Times New Roman"/>
                <w:szCs w:val="24"/>
                <w:lang w:val="bg-BG"/>
              </w:rPr>
              <w:t xml:space="preserve"> </w:t>
            </w:r>
            <w:proofErr w:type="spellStart"/>
            <w:r w:rsidRPr="006F3533">
              <w:rPr>
                <w:rFonts w:cs="Times New Roman"/>
                <w:szCs w:val="24"/>
                <w:lang w:val="bg-BG"/>
              </w:rPr>
              <w:t>relevant</w:t>
            </w:r>
            <w:proofErr w:type="spellEnd"/>
            <w:r w:rsidRPr="006F3533">
              <w:rPr>
                <w:rFonts w:cs="Times New Roman"/>
                <w:szCs w:val="24"/>
                <w:lang w:val="bg-BG"/>
              </w:rPr>
              <w:t>)</w:t>
            </w:r>
          </w:p>
        </w:tc>
        <w:tc>
          <w:tcPr>
            <w:tcW w:w="1739" w:type="pct"/>
          </w:tcPr>
          <w:p w14:paraId="62BB0893" w14:textId="77777777" w:rsidR="00801670" w:rsidRPr="006F3533" w:rsidRDefault="00801670" w:rsidP="00077D42">
            <w:pPr>
              <w:pStyle w:val="ListParagraph"/>
              <w:ind w:left="0"/>
              <w:jc w:val="both"/>
              <w:rPr>
                <w:rFonts w:cs="Times New Roman"/>
                <w:szCs w:val="24"/>
                <w:lang w:val="bg-BG"/>
              </w:rPr>
            </w:pPr>
          </w:p>
        </w:tc>
        <w:tc>
          <w:tcPr>
            <w:tcW w:w="1739" w:type="pct"/>
            <w:shd w:val="clear" w:color="auto" w:fill="FFFFFF" w:themeFill="background1"/>
          </w:tcPr>
          <w:p w14:paraId="3C44D24F"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0</w:t>
            </w:r>
          </w:p>
        </w:tc>
      </w:tr>
      <w:tr w:rsidR="00801670" w:rsidRPr="006F3533" w14:paraId="6B504AF3" w14:textId="77777777" w:rsidTr="00500C52">
        <w:tc>
          <w:tcPr>
            <w:tcW w:w="1522" w:type="pct"/>
          </w:tcPr>
          <w:p w14:paraId="6AF36152"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A</w:t>
            </w:r>
          </w:p>
        </w:tc>
        <w:tc>
          <w:tcPr>
            <w:tcW w:w="1739" w:type="pct"/>
          </w:tcPr>
          <w:p w14:paraId="15E98259" w14:textId="77777777" w:rsidR="00801670" w:rsidRPr="006F3533" w:rsidRDefault="00801670" w:rsidP="00077D42">
            <w:pPr>
              <w:pStyle w:val="ListParagraph"/>
              <w:ind w:left="0"/>
              <w:jc w:val="both"/>
              <w:rPr>
                <w:rFonts w:cs="Times New Roman"/>
                <w:color w:val="000000" w:themeColor="text1"/>
                <w:szCs w:val="24"/>
                <w:lang w:val="bg-BG"/>
              </w:rPr>
            </w:pPr>
          </w:p>
        </w:tc>
        <w:tc>
          <w:tcPr>
            <w:tcW w:w="1739" w:type="pct"/>
          </w:tcPr>
          <w:p w14:paraId="3A3A580A" w14:textId="77777777" w:rsidR="00801670" w:rsidRPr="006F3533" w:rsidRDefault="00801670" w:rsidP="00077D42">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515</w:t>
            </w:r>
          </w:p>
        </w:tc>
      </w:tr>
      <w:tr w:rsidR="00801670" w:rsidRPr="006F3533" w14:paraId="7EEBD145" w14:textId="77777777" w:rsidTr="00500C52">
        <w:tc>
          <w:tcPr>
            <w:tcW w:w="1522" w:type="pct"/>
          </w:tcPr>
          <w:p w14:paraId="02584BE2"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B</w:t>
            </w:r>
          </w:p>
        </w:tc>
        <w:tc>
          <w:tcPr>
            <w:tcW w:w="1739" w:type="pct"/>
          </w:tcPr>
          <w:p w14:paraId="1063DD78" w14:textId="77777777" w:rsidR="00801670" w:rsidRPr="006F3533" w:rsidRDefault="00801670" w:rsidP="00077D42">
            <w:pPr>
              <w:pStyle w:val="ListParagraph"/>
              <w:ind w:left="0"/>
              <w:jc w:val="both"/>
              <w:rPr>
                <w:rFonts w:cs="Times New Roman"/>
                <w:color w:val="000000" w:themeColor="text1"/>
                <w:szCs w:val="24"/>
                <w:lang w:val="bg-BG"/>
              </w:rPr>
            </w:pPr>
          </w:p>
        </w:tc>
        <w:tc>
          <w:tcPr>
            <w:tcW w:w="1739" w:type="pct"/>
          </w:tcPr>
          <w:p w14:paraId="6233F932" w14:textId="77777777" w:rsidR="00801670" w:rsidRPr="006F3533" w:rsidRDefault="00801670" w:rsidP="00077D42">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1 710</w:t>
            </w:r>
          </w:p>
        </w:tc>
      </w:tr>
      <w:tr w:rsidR="00801670" w:rsidRPr="006F3533" w14:paraId="3F087170" w14:textId="77777777" w:rsidTr="00500C52">
        <w:tc>
          <w:tcPr>
            <w:tcW w:w="1522" w:type="pct"/>
          </w:tcPr>
          <w:p w14:paraId="37C849AA"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C</w:t>
            </w:r>
          </w:p>
        </w:tc>
        <w:tc>
          <w:tcPr>
            <w:tcW w:w="1739" w:type="pct"/>
          </w:tcPr>
          <w:p w14:paraId="19BED381" w14:textId="77777777" w:rsidR="00801670" w:rsidRPr="006F3533" w:rsidRDefault="00801670" w:rsidP="00077D42">
            <w:pPr>
              <w:pStyle w:val="ListParagraph"/>
              <w:ind w:left="0"/>
              <w:jc w:val="both"/>
              <w:rPr>
                <w:rFonts w:cs="Times New Roman"/>
                <w:color w:val="000000" w:themeColor="text1"/>
                <w:szCs w:val="24"/>
                <w:lang w:val="bg-BG"/>
              </w:rPr>
            </w:pPr>
          </w:p>
        </w:tc>
        <w:tc>
          <w:tcPr>
            <w:tcW w:w="1739" w:type="pct"/>
          </w:tcPr>
          <w:p w14:paraId="48C4C00C" w14:textId="77777777" w:rsidR="00801670" w:rsidRPr="006F3533" w:rsidRDefault="00801670" w:rsidP="00077D42">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560</w:t>
            </w:r>
          </w:p>
        </w:tc>
      </w:tr>
      <w:tr w:rsidR="00801670" w:rsidRPr="006F3533" w14:paraId="016C74B0" w14:textId="77777777" w:rsidTr="00500C52">
        <w:tc>
          <w:tcPr>
            <w:tcW w:w="1522" w:type="pct"/>
          </w:tcPr>
          <w:p w14:paraId="41F4B0CD"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D</w:t>
            </w:r>
          </w:p>
        </w:tc>
        <w:tc>
          <w:tcPr>
            <w:tcW w:w="1739" w:type="pct"/>
          </w:tcPr>
          <w:p w14:paraId="632F7D84" w14:textId="77777777" w:rsidR="00801670" w:rsidRPr="006F3533" w:rsidRDefault="00801670" w:rsidP="00077D42">
            <w:pPr>
              <w:pStyle w:val="ListParagraph"/>
              <w:ind w:left="0"/>
              <w:jc w:val="both"/>
              <w:rPr>
                <w:rFonts w:cs="Times New Roman"/>
                <w:color w:val="000000" w:themeColor="text1"/>
                <w:szCs w:val="24"/>
                <w:lang w:val="bg-BG"/>
              </w:rPr>
            </w:pPr>
          </w:p>
        </w:tc>
        <w:tc>
          <w:tcPr>
            <w:tcW w:w="1739" w:type="pct"/>
          </w:tcPr>
          <w:p w14:paraId="2FEF1103" w14:textId="77777777" w:rsidR="00801670" w:rsidRPr="006F3533" w:rsidRDefault="00801670" w:rsidP="00077D42">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324</w:t>
            </w:r>
          </w:p>
        </w:tc>
      </w:tr>
      <w:tr w:rsidR="00801670" w:rsidRPr="006F3533" w14:paraId="256F8464" w14:textId="77777777" w:rsidTr="00500C52">
        <w:tc>
          <w:tcPr>
            <w:tcW w:w="1522" w:type="pct"/>
          </w:tcPr>
          <w:p w14:paraId="38C53A30"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E</w:t>
            </w:r>
          </w:p>
        </w:tc>
        <w:tc>
          <w:tcPr>
            <w:tcW w:w="1739" w:type="pct"/>
          </w:tcPr>
          <w:p w14:paraId="01560A66" w14:textId="77777777" w:rsidR="00801670" w:rsidRPr="006F3533" w:rsidRDefault="00801670" w:rsidP="00077D42">
            <w:pPr>
              <w:pStyle w:val="ListParagraph"/>
              <w:ind w:left="0"/>
              <w:jc w:val="both"/>
              <w:rPr>
                <w:rFonts w:cs="Times New Roman"/>
                <w:color w:val="000000" w:themeColor="text1"/>
                <w:szCs w:val="24"/>
                <w:lang w:val="bg-BG"/>
              </w:rPr>
            </w:pPr>
          </w:p>
        </w:tc>
        <w:tc>
          <w:tcPr>
            <w:tcW w:w="1739" w:type="pct"/>
          </w:tcPr>
          <w:p w14:paraId="5CD9AA84" w14:textId="77777777" w:rsidR="00801670" w:rsidRPr="006F3533" w:rsidRDefault="00801670" w:rsidP="00077D42">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260</w:t>
            </w:r>
          </w:p>
        </w:tc>
      </w:tr>
      <w:tr w:rsidR="00801670" w:rsidRPr="006F3533" w14:paraId="243558F7" w14:textId="77777777" w:rsidTr="00500C52">
        <w:tc>
          <w:tcPr>
            <w:tcW w:w="1522" w:type="pct"/>
          </w:tcPr>
          <w:p w14:paraId="4236A7A0"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F</w:t>
            </w:r>
          </w:p>
        </w:tc>
        <w:tc>
          <w:tcPr>
            <w:tcW w:w="1739" w:type="pct"/>
          </w:tcPr>
          <w:p w14:paraId="45C980EA" w14:textId="77777777" w:rsidR="00801670" w:rsidRPr="006F3533" w:rsidRDefault="00801670" w:rsidP="00077D42">
            <w:pPr>
              <w:pStyle w:val="ListParagraph"/>
              <w:ind w:left="0"/>
              <w:jc w:val="both"/>
              <w:rPr>
                <w:rFonts w:cs="Times New Roman"/>
                <w:color w:val="000000" w:themeColor="text1"/>
                <w:szCs w:val="24"/>
                <w:lang w:val="bg-BG"/>
              </w:rPr>
            </w:pPr>
          </w:p>
        </w:tc>
        <w:tc>
          <w:tcPr>
            <w:tcW w:w="1739" w:type="pct"/>
          </w:tcPr>
          <w:p w14:paraId="5E63580A" w14:textId="77777777" w:rsidR="00801670" w:rsidRPr="006F3533" w:rsidRDefault="00801670" w:rsidP="00077D42">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158</w:t>
            </w:r>
          </w:p>
        </w:tc>
      </w:tr>
      <w:tr w:rsidR="00801670" w:rsidRPr="006F3533" w14:paraId="7E17A261" w14:textId="77777777" w:rsidTr="00500C52">
        <w:tc>
          <w:tcPr>
            <w:tcW w:w="1522" w:type="pct"/>
          </w:tcPr>
          <w:p w14:paraId="2DA2D3B3"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G</w:t>
            </w:r>
          </w:p>
        </w:tc>
        <w:tc>
          <w:tcPr>
            <w:tcW w:w="1739" w:type="pct"/>
          </w:tcPr>
          <w:p w14:paraId="5AA036F1" w14:textId="77777777" w:rsidR="00801670" w:rsidRPr="006F3533" w:rsidRDefault="00801670" w:rsidP="00077D42">
            <w:pPr>
              <w:pStyle w:val="ListParagraph"/>
              <w:ind w:left="0"/>
              <w:jc w:val="both"/>
              <w:rPr>
                <w:rFonts w:cs="Times New Roman"/>
                <w:color w:val="000000" w:themeColor="text1"/>
                <w:szCs w:val="24"/>
                <w:lang w:val="bg-BG"/>
              </w:rPr>
            </w:pPr>
          </w:p>
        </w:tc>
        <w:tc>
          <w:tcPr>
            <w:tcW w:w="1739" w:type="pct"/>
          </w:tcPr>
          <w:p w14:paraId="4F68AF3D" w14:textId="77777777" w:rsidR="00801670" w:rsidRPr="006F3533" w:rsidRDefault="00801670" w:rsidP="00077D42">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262</w:t>
            </w:r>
          </w:p>
        </w:tc>
      </w:tr>
      <w:tr w:rsidR="00801670" w:rsidRPr="006F3533" w14:paraId="0B3B90F6" w14:textId="77777777" w:rsidTr="00500C52">
        <w:tc>
          <w:tcPr>
            <w:tcW w:w="1522" w:type="pct"/>
          </w:tcPr>
          <w:p w14:paraId="6BBD60AA" w14:textId="77777777" w:rsidR="00801670" w:rsidRPr="006F3533" w:rsidRDefault="00801670" w:rsidP="00077D42">
            <w:pPr>
              <w:pStyle w:val="ListParagraph"/>
              <w:ind w:left="0"/>
              <w:jc w:val="both"/>
              <w:rPr>
                <w:rFonts w:cs="Times New Roman"/>
                <w:szCs w:val="24"/>
                <w:lang w:val="bg-BG"/>
              </w:rPr>
            </w:pPr>
            <w:r w:rsidRPr="006F3533">
              <w:rPr>
                <w:rFonts w:cs="Times New Roman"/>
                <w:szCs w:val="24"/>
                <w:lang w:val="bg-BG"/>
              </w:rPr>
              <w:t>Total</w:t>
            </w:r>
          </w:p>
        </w:tc>
        <w:tc>
          <w:tcPr>
            <w:tcW w:w="1739" w:type="pct"/>
          </w:tcPr>
          <w:p w14:paraId="5B325CA8" w14:textId="77777777" w:rsidR="00801670" w:rsidRPr="006F3533" w:rsidRDefault="00801670" w:rsidP="00077D42">
            <w:pPr>
              <w:pStyle w:val="ListParagraph"/>
              <w:ind w:left="0"/>
              <w:jc w:val="both"/>
              <w:rPr>
                <w:rFonts w:cs="Times New Roman"/>
                <w:color w:val="0070C0"/>
                <w:szCs w:val="24"/>
                <w:lang w:val="bg-BG"/>
              </w:rPr>
            </w:pPr>
          </w:p>
        </w:tc>
        <w:tc>
          <w:tcPr>
            <w:tcW w:w="1739" w:type="pct"/>
          </w:tcPr>
          <w:p w14:paraId="3802D3C7" w14:textId="77777777" w:rsidR="001A2D23" w:rsidRPr="006F3533" w:rsidRDefault="00801670" w:rsidP="00077D42">
            <w:pPr>
              <w:pStyle w:val="ListParagraph"/>
              <w:ind w:left="0"/>
              <w:jc w:val="both"/>
              <w:rPr>
                <w:rFonts w:cs="Times New Roman"/>
                <w:color w:val="0070C0"/>
                <w:szCs w:val="24"/>
                <w:lang w:val="bg-BG"/>
              </w:rPr>
            </w:pPr>
            <w:proofErr w:type="spellStart"/>
            <w:r w:rsidRPr="006F3533">
              <w:rPr>
                <w:rFonts w:cs="Times New Roman"/>
                <w:color w:val="0070C0"/>
                <w:szCs w:val="24"/>
                <w:lang w:val="bg-BG"/>
              </w:rPr>
              <w:t>Should</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match</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with</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the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immediate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preceding</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table</w:t>
            </w:r>
            <w:proofErr w:type="spellEnd"/>
            <w:r w:rsidRPr="006F3533">
              <w:rPr>
                <w:rFonts w:cs="Times New Roman"/>
                <w:color w:val="0070C0"/>
                <w:szCs w:val="24"/>
                <w:lang w:val="bg-BG"/>
              </w:rPr>
              <w:t xml:space="preserve"> </w:t>
            </w:r>
          </w:p>
          <w:p w14:paraId="36197F76" w14:textId="4427700F" w:rsidR="00801670" w:rsidRPr="006F3533" w:rsidRDefault="00801670" w:rsidP="00077D42">
            <w:pPr>
              <w:pStyle w:val="ListParagraph"/>
              <w:ind w:left="0"/>
              <w:jc w:val="both"/>
              <w:rPr>
                <w:rFonts w:cs="Times New Roman"/>
                <w:color w:val="0070C0"/>
                <w:szCs w:val="24"/>
                <w:lang w:val="bg-BG"/>
              </w:rPr>
            </w:pPr>
            <w:r w:rsidRPr="006F3533">
              <w:rPr>
                <w:rFonts w:cs="Times New Roman"/>
                <w:color w:val="000000" w:themeColor="text1"/>
                <w:szCs w:val="24"/>
                <w:lang w:val="bg-BG"/>
              </w:rPr>
              <w:t>3 789</w:t>
            </w:r>
          </w:p>
        </w:tc>
      </w:tr>
      <w:bookmarkEnd w:id="123"/>
    </w:tbl>
    <w:p w14:paraId="1ED62123" w14:textId="77777777" w:rsidR="0051647C" w:rsidRPr="006F3533" w:rsidRDefault="0051647C" w:rsidP="00077D42">
      <w:pPr>
        <w:spacing w:line="240" w:lineRule="auto"/>
        <w:jc w:val="both"/>
        <w:rPr>
          <w:rFonts w:cs="Times New Roman"/>
          <w:szCs w:val="24"/>
          <w:lang w:val="bg-BG"/>
        </w:rPr>
      </w:pPr>
    </w:p>
    <w:p w14:paraId="30030E80" w14:textId="0A32AD29" w:rsidR="006F2FA9" w:rsidRPr="006F3533" w:rsidRDefault="006F2FA9" w:rsidP="00077D42">
      <w:pPr>
        <w:spacing w:line="240" w:lineRule="auto"/>
        <w:jc w:val="both"/>
        <w:rPr>
          <w:rFonts w:cs="Times New Roman"/>
          <w:szCs w:val="24"/>
          <w:lang w:val="bg-BG"/>
        </w:rPr>
      </w:pPr>
      <w:r w:rsidRPr="006F3533">
        <w:rPr>
          <w:rFonts w:cs="Times New Roman"/>
          <w:szCs w:val="24"/>
          <w:lang w:val="bg-BG"/>
        </w:rPr>
        <w:t xml:space="preserve">В следващата Таблица 6а. </w:t>
      </w:r>
      <w:r w:rsidR="007E1DCA" w:rsidRPr="006F3533">
        <w:rPr>
          <w:rFonts w:cs="Times New Roman"/>
          <w:szCs w:val="24"/>
          <w:lang w:val="bg-BG"/>
        </w:rPr>
        <w:t xml:space="preserve">е представена информация за разпределението на валидните сертификати на нежилищните сгради по </w:t>
      </w:r>
      <w:r w:rsidR="001E2BC1" w:rsidRPr="006F3533">
        <w:rPr>
          <w:rFonts w:cs="Times New Roman"/>
          <w:szCs w:val="24"/>
          <w:lang w:val="bg-BG"/>
        </w:rPr>
        <w:t xml:space="preserve">клас на енергопотребление и площ на сертифицираните сгради. </w:t>
      </w:r>
    </w:p>
    <w:p w14:paraId="4C6450BA" w14:textId="66119F05" w:rsidR="001E2BC1" w:rsidRPr="006F3533" w:rsidRDefault="001E2BC1" w:rsidP="00077D42">
      <w:pPr>
        <w:pStyle w:val="ListParagraph"/>
        <w:spacing w:line="240" w:lineRule="auto"/>
        <w:ind w:left="0"/>
        <w:jc w:val="both"/>
        <w:rPr>
          <w:rFonts w:cs="Times New Roman"/>
          <w:i/>
          <w:iCs/>
          <w:color w:val="0070C0"/>
          <w:szCs w:val="24"/>
          <w:lang w:val="bg-BG"/>
        </w:rPr>
      </w:pPr>
      <w:bookmarkStart w:id="124" w:name="_Hlk216633357"/>
      <w:r w:rsidRPr="006F3533">
        <w:rPr>
          <w:rFonts w:cs="Times New Roman"/>
          <w:i/>
          <w:iCs/>
          <w:color w:val="0070C0"/>
          <w:szCs w:val="24"/>
          <w:lang w:val="bg-BG"/>
        </w:rPr>
        <w:t xml:space="preserve">Таблица 6а. </w:t>
      </w:r>
      <w:r w:rsidR="00003704" w:rsidRPr="006F3533">
        <w:rPr>
          <w:rFonts w:cs="Times New Roman"/>
          <w:i/>
          <w:iCs/>
          <w:color w:val="0070C0"/>
          <w:szCs w:val="24"/>
          <w:lang w:val="bg-BG"/>
        </w:rPr>
        <w:t>Разгъната застроена площ на нежилищните сгради с</w:t>
      </w:r>
      <w:r w:rsidRPr="006F3533">
        <w:rPr>
          <w:rFonts w:cs="Times New Roman"/>
          <w:i/>
          <w:iCs/>
          <w:color w:val="0070C0"/>
          <w:szCs w:val="24"/>
          <w:lang w:val="bg-BG"/>
        </w:rPr>
        <w:t xml:space="preserve"> валидни</w:t>
      </w:r>
      <w:r w:rsidR="00003704" w:rsidRPr="006F3533">
        <w:rPr>
          <w:rFonts w:cs="Times New Roman"/>
          <w:i/>
          <w:iCs/>
          <w:color w:val="0070C0"/>
          <w:szCs w:val="24"/>
          <w:lang w:val="bg-BG"/>
        </w:rPr>
        <w:t xml:space="preserve"> </w:t>
      </w:r>
      <w:r w:rsidRPr="006F3533">
        <w:rPr>
          <w:rFonts w:cs="Times New Roman"/>
          <w:i/>
          <w:iCs/>
          <w:color w:val="0070C0"/>
          <w:szCs w:val="24"/>
          <w:lang w:val="bg-BG"/>
        </w:rPr>
        <w:t>сертификати за енергийни характеристики по клас на енергопотребление</w:t>
      </w:r>
    </w:p>
    <w:tbl>
      <w:tblPr>
        <w:tblStyle w:val="TableGrid"/>
        <w:tblW w:w="5000" w:type="pct"/>
        <w:tblLook w:val="04A0" w:firstRow="1" w:lastRow="0" w:firstColumn="1" w:lastColumn="0" w:noHBand="0" w:noVBand="1"/>
      </w:tblPr>
      <w:tblGrid>
        <w:gridCol w:w="2760"/>
        <w:gridCol w:w="6302"/>
      </w:tblGrid>
      <w:tr w:rsidR="002B6687" w:rsidRPr="006F3533" w14:paraId="498DCABF" w14:textId="77777777" w:rsidTr="00500C52">
        <w:tc>
          <w:tcPr>
            <w:tcW w:w="1523" w:type="pct"/>
            <w:shd w:val="clear" w:color="auto" w:fill="D0CECE" w:themeFill="background2" w:themeFillShade="E6"/>
          </w:tcPr>
          <w:p w14:paraId="29345C59" w14:textId="77777777" w:rsidR="002B6687" w:rsidRPr="006F3533" w:rsidRDefault="002B6687" w:rsidP="00077D42">
            <w:pPr>
              <w:pStyle w:val="ListParagraph"/>
              <w:ind w:left="0"/>
              <w:jc w:val="both"/>
              <w:rPr>
                <w:rFonts w:cs="Times New Roman"/>
                <w:szCs w:val="24"/>
                <w:lang w:val="bg-BG"/>
              </w:rPr>
            </w:pPr>
            <w:r w:rsidRPr="006F3533">
              <w:rPr>
                <w:rFonts w:cs="Times New Roman"/>
                <w:szCs w:val="24"/>
                <w:lang w:val="bg-BG"/>
              </w:rPr>
              <w:lastRenderedPageBreak/>
              <w:t>EPC</w:t>
            </w:r>
          </w:p>
          <w:p w14:paraId="58C77BA7" w14:textId="77777777" w:rsidR="002B6687" w:rsidRPr="006F3533" w:rsidRDefault="002B6687" w:rsidP="00077D42">
            <w:pPr>
              <w:pStyle w:val="ListParagraph"/>
              <w:ind w:left="0"/>
              <w:jc w:val="both"/>
              <w:rPr>
                <w:rFonts w:cs="Times New Roman"/>
                <w:szCs w:val="24"/>
                <w:lang w:val="bg-BG"/>
              </w:rPr>
            </w:pPr>
            <w:proofErr w:type="spellStart"/>
            <w:r w:rsidRPr="006F3533">
              <w:rPr>
                <w:rFonts w:cs="Times New Roman"/>
                <w:szCs w:val="24"/>
                <w:lang w:val="bg-BG"/>
              </w:rPr>
              <w:t>Class</w:t>
            </w:r>
            <w:proofErr w:type="spellEnd"/>
          </w:p>
          <w:p w14:paraId="77DF8DC8" w14:textId="77777777" w:rsidR="002B6687" w:rsidRPr="006F3533" w:rsidRDefault="002B6687" w:rsidP="00077D42">
            <w:pPr>
              <w:pStyle w:val="ListParagraph"/>
              <w:ind w:left="0"/>
              <w:jc w:val="both"/>
              <w:rPr>
                <w:rFonts w:cs="Times New Roman"/>
                <w:szCs w:val="24"/>
                <w:lang w:val="bg-BG"/>
              </w:rPr>
            </w:pPr>
          </w:p>
        </w:tc>
        <w:tc>
          <w:tcPr>
            <w:tcW w:w="3477" w:type="pct"/>
            <w:shd w:val="clear" w:color="auto" w:fill="D0CECE" w:themeFill="background2" w:themeFillShade="E6"/>
          </w:tcPr>
          <w:p w14:paraId="521E6873" w14:textId="77777777" w:rsidR="002B6687" w:rsidRPr="006F3533" w:rsidRDefault="002B6687" w:rsidP="00077D42">
            <w:pPr>
              <w:pStyle w:val="ListParagraph"/>
              <w:ind w:left="0"/>
              <w:jc w:val="both"/>
              <w:rPr>
                <w:rFonts w:cs="Times New Roman"/>
                <w:szCs w:val="24"/>
                <w:lang w:val="bg-BG"/>
              </w:rPr>
            </w:pPr>
            <w:r w:rsidRPr="006F3533">
              <w:rPr>
                <w:rFonts w:cs="Times New Roman"/>
                <w:szCs w:val="24"/>
                <w:lang w:val="bg-BG"/>
              </w:rPr>
              <w:t xml:space="preserve">Total </w:t>
            </w:r>
            <w:proofErr w:type="spellStart"/>
            <w:r w:rsidRPr="006F3533">
              <w:rPr>
                <w:rFonts w:cs="Times New Roman"/>
                <w:szCs w:val="24"/>
                <w:lang w:val="bg-BG"/>
              </w:rPr>
              <w:t>floor</w:t>
            </w:r>
            <w:proofErr w:type="spellEnd"/>
            <w:r w:rsidRPr="006F3533">
              <w:rPr>
                <w:rFonts w:cs="Times New Roman"/>
                <w:szCs w:val="24"/>
                <w:lang w:val="bg-BG"/>
              </w:rPr>
              <w:t xml:space="preserve"> </w:t>
            </w:r>
            <w:proofErr w:type="spellStart"/>
            <w:r w:rsidRPr="006F3533">
              <w:rPr>
                <w:rFonts w:cs="Times New Roman"/>
                <w:szCs w:val="24"/>
                <w:lang w:val="bg-BG"/>
              </w:rPr>
              <w:t>area</w:t>
            </w:r>
            <w:proofErr w:type="spellEnd"/>
            <w:r w:rsidRPr="006F3533">
              <w:rPr>
                <w:rFonts w:cs="Times New Roman"/>
                <w:szCs w:val="24"/>
                <w:lang w:val="bg-BG"/>
              </w:rPr>
              <w:t xml:space="preserve">, m2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non-residential</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p w14:paraId="132F95B7" w14:textId="616E84CD" w:rsidR="002B6687" w:rsidRPr="006F3533" w:rsidRDefault="002B6687" w:rsidP="00077D42">
            <w:pPr>
              <w:pStyle w:val="ListParagraph"/>
              <w:ind w:left="0"/>
              <w:jc w:val="both"/>
              <w:rPr>
                <w:rFonts w:cs="Times New Roman"/>
                <w:szCs w:val="24"/>
                <w:lang w:val="bg-BG"/>
              </w:rPr>
            </w:pPr>
            <w:proofErr w:type="spellStart"/>
            <w:r w:rsidRPr="006F3533">
              <w:rPr>
                <w:rFonts w:cs="Times New Roman"/>
                <w:szCs w:val="24"/>
                <w:lang w:val="bg-BG"/>
              </w:rPr>
              <w:t>with</w:t>
            </w:r>
            <w:proofErr w:type="spellEnd"/>
            <w:r w:rsidRPr="006F3533">
              <w:rPr>
                <w:rFonts w:cs="Times New Roman"/>
                <w:szCs w:val="24"/>
                <w:lang w:val="bg-BG"/>
              </w:rPr>
              <w:t xml:space="preserve"> </w:t>
            </w:r>
            <w:proofErr w:type="spellStart"/>
            <w:r w:rsidRPr="006F3533">
              <w:rPr>
                <w:rFonts w:cs="Times New Roman"/>
                <w:szCs w:val="24"/>
                <w:lang w:val="bg-BG"/>
              </w:rPr>
              <w:t>valid</w:t>
            </w:r>
            <w:proofErr w:type="spellEnd"/>
            <w:r w:rsidRPr="006F3533">
              <w:rPr>
                <w:rFonts w:cs="Times New Roman"/>
                <w:szCs w:val="24"/>
                <w:lang w:val="bg-BG"/>
              </w:rPr>
              <w:t xml:space="preserve"> </w:t>
            </w:r>
            <w:proofErr w:type="spellStart"/>
            <w:r w:rsidRPr="006F3533">
              <w:rPr>
                <w:rFonts w:cs="Times New Roman"/>
                <w:szCs w:val="24"/>
                <w:lang w:val="bg-BG"/>
              </w:rPr>
              <w:t>EPCs</w:t>
            </w:r>
            <w:proofErr w:type="spellEnd"/>
          </w:p>
          <w:p w14:paraId="238F3FC2" w14:textId="77777777" w:rsidR="002B6687" w:rsidRPr="006F3533" w:rsidRDefault="002B6687"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tc>
      </w:tr>
      <w:tr w:rsidR="002B6687" w:rsidRPr="006F3533" w14:paraId="53946DD9" w14:textId="77777777" w:rsidTr="00500C52">
        <w:tc>
          <w:tcPr>
            <w:tcW w:w="1523" w:type="pct"/>
            <w:shd w:val="clear" w:color="auto" w:fill="FFFFFF" w:themeFill="background1"/>
          </w:tcPr>
          <w:p w14:paraId="5FA7CFFC" w14:textId="77777777" w:rsidR="002B6687" w:rsidRPr="006F3533" w:rsidRDefault="002B6687" w:rsidP="00077D42">
            <w:pPr>
              <w:pStyle w:val="ListParagraph"/>
              <w:ind w:left="0"/>
              <w:jc w:val="both"/>
              <w:rPr>
                <w:rFonts w:cs="Times New Roman"/>
                <w:szCs w:val="24"/>
                <w:lang w:val="bg-BG"/>
              </w:rPr>
            </w:pPr>
            <w:r w:rsidRPr="006F3533">
              <w:rPr>
                <w:rFonts w:cs="Times New Roman"/>
                <w:szCs w:val="24"/>
                <w:lang w:val="bg-BG"/>
              </w:rPr>
              <w:t xml:space="preserve">A+ </w:t>
            </w:r>
          </w:p>
          <w:p w14:paraId="43E2E524" w14:textId="77777777" w:rsidR="002B6687" w:rsidRPr="006F3533" w:rsidRDefault="002B6687"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if</w:t>
            </w:r>
            <w:proofErr w:type="spellEnd"/>
            <w:r w:rsidRPr="006F3533">
              <w:rPr>
                <w:rFonts w:cs="Times New Roman"/>
                <w:szCs w:val="24"/>
                <w:lang w:val="bg-BG"/>
              </w:rPr>
              <w:t xml:space="preserve"> </w:t>
            </w:r>
            <w:proofErr w:type="spellStart"/>
            <w:r w:rsidRPr="006F3533">
              <w:rPr>
                <w:rFonts w:cs="Times New Roman"/>
                <w:szCs w:val="24"/>
                <w:lang w:val="bg-BG"/>
              </w:rPr>
              <w:t>relevant</w:t>
            </w:r>
            <w:proofErr w:type="spellEnd"/>
            <w:r w:rsidRPr="006F3533">
              <w:rPr>
                <w:rFonts w:cs="Times New Roman"/>
                <w:szCs w:val="24"/>
                <w:lang w:val="bg-BG"/>
              </w:rPr>
              <w:t xml:space="preserve">) </w:t>
            </w:r>
          </w:p>
        </w:tc>
        <w:tc>
          <w:tcPr>
            <w:tcW w:w="3477" w:type="pct"/>
            <w:shd w:val="clear" w:color="auto" w:fill="FFFFFF" w:themeFill="background1"/>
          </w:tcPr>
          <w:p w14:paraId="51D0D551" w14:textId="77777777" w:rsidR="002B6687" w:rsidRPr="006F3533" w:rsidRDefault="002B6687" w:rsidP="00077D42">
            <w:pPr>
              <w:pStyle w:val="ListParagraph"/>
              <w:ind w:left="0"/>
              <w:jc w:val="both"/>
              <w:rPr>
                <w:rFonts w:cs="Times New Roman"/>
                <w:szCs w:val="24"/>
                <w:lang w:val="bg-BG"/>
              </w:rPr>
            </w:pPr>
            <w:r w:rsidRPr="006F3533">
              <w:rPr>
                <w:rFonts w:cs="Times New Roman"/>
                <w:szCs w:val="24"/>
                <w:lang w:val="bg-BG"/>
              </w:rPr>
              <w:t>0</w:t>
            </w:r>
          </w:p>
        </w:tc>
      </w:tr>
      <w:tr w:rsidR="002B6687" w:rsidRPr="006F3533" w14:paraId="5E676DBE" w14:textId="77777777" w:rsidTr="00500C52">
        <w:tc>
          <w:tcPr>
            <w:tcW w:w="1523" w:type="pct"/>
            <w:shd w:val="clear" w:color="auto" w:fill="FFFFFF" w:themeFill="background1"/>
          </w:tcPr>
          <w:p w14:paraId="00470D7B" w14:textId="77777777" w:rsidR="002B6687" w:rsidRPr="006F3533" w:rsidRDefault="002B6687" w:rsidP="00077D42">
            <w:pPr>
              <w:pStyle w:val="ListParagraph"/>
              <w:ind w:left="0"/>
              <w:jc w:val="both"/>
              <w:rPr>
                <w:rFonts w:cs="Times New Roman"/>
                <w:szCs w:val="24"/>
                <w:lang w:val="bg-BG"/>
              </w:rPr>
            </w:pPr>
            <w:r w:rsidRPr="006F3533">
              <w:rPr>
                <w:rFonts w:cs="Times New Roman"/>
                <w:szCs w:val="24"/>
                <w:lang w:val="bg-BG"/>
              </w:rPr>
              <w:t>A0</w:t>
            </w:r>
          </w:p>
          <w:p w14:paraId="40DCCD86" w14:textId="77777777" w:rsidR="002B6687" w:rsidRPr="006F3533" w:rsidRDefault="002B6687"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if</w:t>
            </w:r>
            <w:proofErr w:type="spellEnd"/>
            <w:r w:rsidRPr="006F3533">
              <w:rPr>
                <w:rFonts w:cs="Times New Roman"/>
                <w:szCs w:val="24"/>
                <w:lang w:val="bg-BG"/>
              </w:rPr>
              <w:t xml:space="preserve"> </w:t>
            </w:r>
            <w:proofErr w:type="spellStart"/>
            <w:r w:rsidRPr="006F3533">
              <w:rPr>
                <w:rFonts w:cs="Times New Roman"/>
                <w:szCs w:val="24"/>
                <w:lang w:val="bg-BG"/>
              </w:rPr>
              <w:t>relevant</w:t>
            </w:r>
            <w:proofErr w:type="spellEnd"/>
            <w:r w:rsidRPr="006F3533">
              <w:rPr>
                <w:rFonts w:cs="Times New Roman"/>
                <w:szCs w:val="24"/>
                <w:lang w:val="bg-BG"/>
              </w:rPr>
              <w:t>)</w:t>
            </w:r>
          </w:p>
        </w:tc>
        <w:tc>
          <w:tcPr>
            <w:tcW w:w="3477" w:type="pct"/>
            <w:tcBorders>
              <w:bottom w:val="single" w:sz="4" w:space="0" w:color="auto"/>
            </w:tcBorders>
            <w:shd w:val="clear" w:color="auto" w:fill="FFFFFF" w:themeFill="background1"/>
          </w:tcPr>
          <w:p w14:paraId="3B91AB5A" w14:textId="77777777" w:rsidR="002B6687" w:rsidRPr="006F3533" w:rsidRDefault="002B6687" w:rsidP="00077D42">
            <w:pPr>
              <w:pStyle w:val="ListParagraph"/>
              <w:ind w:left="0"/>
              <w:jc w:val="both"/>
              <w:rPr>
                <w:rFonts w:cs="Times New Roman"/>
                <w:szCs w:val="24"/>
                <w:lang w:val="bg-BG"/>
              </w:rPr>
            </w:pPr>
            <w:r w:rsidRPr="006F3533">
              <w:rPr>
                <w:rFonts w:cs="Times New Roman"/>
                <w:szCs w:val="24"/>
                <w:lang w:val="bg-BG"/>
              </w:rPr>
              <w:t>0</w:t>
            </w:r>
          </w:p>
        </w:tc>
      </w:tr>
      <w:tr w:rsidR="000F16D5" w:rsidRPr="006F3533" w14:paraId="6F5DE42B" w14:textId="77777777" w:rsidTr="008A0504">
        <w:tc>
          <w:tcPr>
            <w:tcW w:w="1523" w:type="pct"/>
          </w:tcPr>
          <w:p w14:paraId="40E9E7E4"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A</w:t>
            </w:r>
          </w:p>
        </w:tc>
        <w:tc>
          <w:tcPr>
            <w:tcW w:w="3477" w:type="pct"/>
            <w:tcBorders>
              <w:top w:val="single" w:sz="4" w:space="0" w:color="auto"/>
              <w:left w:val="nil"/>
              <w:bottom w:val="single" w:sz="4" w:space="0" w:color="auto"/>
              <w:right w:val="single" w:sz="4" w:space="0" w:color="auto"/>
            </w:tcBorders>
          </w:tcPr>
          <w:p w14:paraId="76EFFA2F" w14:textId="53E958B8" w:rsidR="000F16D5" w:rsidRPr="006F3533" w:rsidRDefault="000F16D5" w:rsidP="000F16D5">
            <w:pPr>
              <w:pStyle w:val="ListParagraph"/>
              <w:ind w:left="0" w:right="1593"/>
              <w:jc w:val="both"/>
              <w:rPr>
                <w:rFonts w:cs="Times New Roman"/>
                <w:szCs w:val="24"/>
                <w:lang w:val="bg-BG"/>
              </w:rPr>
            </w:pPr>
            <w:r w:rsidRPr="006F3533">
              <w:rPr>
                <w:rFonts w:cs="Times New Roman"/>
                <w:szCs w:val="24"/>
                <w:lang w:val="bg-BG"/>
              </w:rPr>
              <w:t>1 333 481</w:t>
            </w:r>
          </w:p>
        </w:tc>
      </w:tr>
      <w:tr w:rsidR="000F16D5" w:rsidRPr="006F3533" w14:paraId="17BDB458" w14:textId="77777777" w:rsidTr="008A0504">
        <w:tc>
          <w:tcPr>
            <w:tcW w:w="1523" w:type="pct"/>
          </w:tcPr>
          <w:p w14:paraId="000732A5"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B</w:t>
            </w:r>
          </w:p>
        </w:tc>
        <w:tc>
          <w:tcPr>
            <w:tcW w:w="3477" w:type="pct"/>
            <w:tcBorders>
              <w:top w:val="single" w:sz="4" w:space="0" w:color="auto"/>
              <w:left w:val="nil"/>
              <w:bottom w:val="single" w:sz="4" w:space="0" w:color="auto"/>
              <w:right w:val="single" w:sz="4" w:space="0" w:color="auto"/>
            </w:tcBorders>
          </w:tcPr>
          <w:p w14:paraId="2B1D2268" w14:textId="4862C6E0" w:rsidR="000F16D5" w:rsidRPr="006F3533" w:rsidRDefault="000F16D5" w:rsidP="000F16D5">
            <w:pPr>
              <w:pStyle w:val="ListParagraph"/>
              <w:ind w:left="0" w:right="1593"/>
              <w:jc w:val="both"/>
              <w:rPr>
                <w:rFonts w:cs="Times New Roman"/>
                <w:szCs w:val="24"/>
                <w:lang w:val="bg-BG"/>
              </w:rPr>
            </w:pPr>
            <w:r w:rsidRPr="006F3533">
              <w:rPr>
                <w:rFonts w:cs="Times New Roman"/>
                <w:szCs w:val="24"/>
                <w:lang w:val="bg-BG"/>
              </w:rPr>
              <w:t>5 636 156</w:t>
            </w:r>
          </w:p>
        </w:tc>
      </w:tr>
      <w:tr w:rsidR="000F16D5" w:rsidRPr="006F3533" w14:paraId="6F55F5B6" w14:textId="77777777" w:rsidTr="008A0504">
        <w:tc>
          <w:tcPr>
            <w:tcW w:w="1523" w:type="pct"/>
          </w:tcPr>
          <w:p w14:paraId="63BC4F29"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C</w:t>
            </w:r>
          </w:p>
        </w:tc>
        <w:tc>
          <w:tcPr>
            <w:tcW w:w="3477" w:type="pct"/>
            <w:tcBorders>
              <w:top w:val="single" w:sz="4" w:space="0" w:color="auto"/>
              <w:left w:val="nil"/>
              <w:bottom w:val="single" w:sz="4" w:space="0" w:color="auto"/>
              <w:right w:val="single" w:sz="4" w:space="0" w:color="auto"/>
            </w:tcBorders>
          </w:tcPr>
          <w:p w14:paraId="0BCA6A20" w14:textId="5C6F6F0E" w:rsidR="000F16D5" w:rsidRPr="006F3533" w:rsidRDefault="000F16D5" w:rsidP="000F16D5">
            <w:pPr>
              <w:pStyle w:val="ListParagraph"/>
              <w:ind w:left="0" w:right="1593"/>
              <w:jc w:val="both"/>
              <w:rPr>
                <w:rFonts w:cs="Times New Roman"/>
                <w:szCs w:val="24"/>
                <w:lang w:val="bg-BG"/>
              </w:rPr>
            </w:pPr>
            <w:r w:rsidRPr="006F3533">
              <w:rPr>
                <w:rFonts w:cs="Times New Roman"/>
                <w:szCs w:val="24"/>
                <w:lang w:val="bg-BG"/>
              </w:rPr>
              <w:t>2 316 135</w:t>
            </w:r>
          </w:p>
        </w:tc>
      </w:tr>
      <w:tr w:rsidR="000F16D5" w:rsidRPr="006F3533" w14:paraId="2D499E9F" w14:textId="77777777" w:rsidTr="001C574C">
        <w:tc>
          <w:tcPr>
            <w:tcW w:w="1523" w:type="pct"/>
          </w:tcPr>
          <w:p w14:paraId="4FC027C6"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D</w:t>
            </w:r>
          </w:p>
        </w:tc>
        <w:tc>
          <w:tcPr>
            <w:tcW w:w="3477" w:type="pct"/>
            <w:tcBorders>
              <w:top w:val="single" w:sz="4" w:space="0" w:color="auto"/>
              <w:left w:val="nil"/>
              <w:bottom w:val="single" w:sz="4" w:space="0" w:color="auto"/>
              <w:right w:val="single" w:sz="4" w:space="0" w:color="auto"/>
            </w:tcBorders>
          </w:tcPr>
          <w:p w14:paraId="5EDBB207" w14:textId="72DD4099" w:rsidR="000F16D5" w:rsidRPr="006F3533" w:rsidRDefault="000F16D5" w:rsidP="000F16D5">
            <w:pPr>
              <w:pStyle w:val="ListParagraph"/>
              <w:ind w:left="0" w:right="1593"/>
              <w:jc w:val="both"/>
              <w:rPr>
                <w:rFonts w:cs="Times New Roman"/>
                <w:szCs w:val="24"/>
                <w:lang w:val="bg-BG"/>
              </w:rPr>
            </w:pPr>
            <w:r w:rsidRPr="006F3533">
              <w:rPr>
                <w:rFonts w:cs="Times New Roman"/>
                <w:szCs w:val="24"/>
                <w:lang w:val="bg-BG"/>
              </w:rPr>
              <w:t>1 010 724</w:t>
            </w:r>
          </w:p>
        </w:tc>
      </w:tr>
      <w:tr w:rsidR="000F16D5" w:rsidRPr="006F3533" w14:paraId="0B1D54B0" w14:textId="77777777" w:rsidTr="001C574C">
        <w:tc>
          <w:tcPr>
            <w:tcW w:w="1523" w:type="pct"/>
          </w:tcPr>
          <w:p w14:paraId="7C56F8B3"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E</w:t>
            </w:r>
          </w:p>
        </w:tc>
        <w:tc>
          <w:tcPr>
            <w:tcW w:w="3477" w:type="pct"/>
            <w:tcBorders>
              <w:top w:val="single" w:sz="4" w:space="0" w:color="auto"/>
              <w:left w:val="nil"/>
              <w:bottom w:val="single" w:sz="4" w:space="0" w:color="auto"/>
              <w:right w:val="single" w:sz="4" w:space="0" w:color="auto"/>
            </w:tcBorders>
          </w:tcPr>
          <w:p w14:paraId="3CD3241E" w14:textId="10977539" w:rsidR="000F16D5" w:rsidRPr="006F3533" w:rsidRDefault="000F16D5" w:rsidP="000F16D5">
            <w:pPr>
              <w:pStyle w:val="ListParagraph"/>
              <w:ind w:left="0" w:right="1593"/>
              <w:jc w:val="both"/>
              <w:rPr>
                <w:rFonts w:cs="Times New Roman"/>
                <w:szCs w:val="24"/>
                <w:lang w:val="bg-BG"/>
              </w:rPr>
            </w:pPr>
            <w:r w:rsidRPr="006F3533">
              <w:rPr>
                <w:rFonts w:cs="Times New Roman"/>
                <w:szCs w:val="24"/>
                <w:lang w:val="bg-BG"/>
              </w:rPr>
              <w:t>764 242</w:t>
            </w:r>
          </w:p>
        </w:tc>
      </w:tr>
      <w:tr w:rsidR="000F16D5" w:rsidRPr="006F3533" w14:paraId="688C128D" w14:textId="77777777" w:rsidTr="001C574C">
        <w:tc>
          <w:tcPr>
            <w:tcW w:w="1523" w:type="pct"/>
          </w:tcPr>
          <w:p w14:paraId="7F46A9D8"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F</w:t>
            </w:r>
          </w:p>
        </w:tc>
        <w:tc>
          <w:tcPr>
            <w:tcW w:w="3477" w:type="pct"/>
            <w:tcBorders>
              <w:top w:val="single" w:sz="4" w:space="0" w:color="auto"/>
              <w:left w:val="nil"/>
              <w:bottom w:val="single" w:sz="4" w:space="0" w:color="auto"/>
              <w:right w:val="single" w:sz="4" w:space="0" w:color="auto"/>
            </w:tcBorders>
          </w:tcPr>
          <w:p w14:paraId="63CA7234" w14:textId="3DCF4E4A" w:rsidR="000F16D5" w:rsidRPr="006F3533" w:rsidRDefault="000F16D5" w:rsidP="000F16D5">
            <w:pPr>
              <w:pStyle w:val="ListParagraph"/>
              <w:ind w:left="0" w:right="1593"/>
              <w:jc w:val="both"/>
              <w:rPr>
                <w:rFonts w:cs="Times New Roman"/>
                <w:szCs w:val="24"/>
                <w:lang w:val="bg-BG"/>
              </w:rPr>
            </w:pPr>
            <w:r w:rsidRPr="006F3533">
              <w:rPr>
                <w:rFonts w:cs="Times New Roman"/>
                <w:szCs w:val="24"/>
                <w:lang w:val="bg-BG"/>
              </w:rPr>
              <w:t>407 116</w:t>
            </w:r>
          </w:p>
        </w:tc>
      </w:tr>
      <w:tr w:rsidR="000F16D5" w:rsidRPr="006F3533" w14:paraId="63847A42" w14:textId="77777777" w:rsidTr="001C574C">
        <w:tc>
          <w:tcPr>
            <w:tcW w:w="1523" w:type="pct"/>
          </w:tcPr>
          <w:p w14:paraId="60B08702"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G</w:t>
            </w:r>
          </w:p>
        </w:tc>
        <w:tc>
          <w:tcPr>
            <w:tcW w:w="3477" w:type="pct"/>
            <w:tcBorders>
              <w:top w:val="single" w:sz="4" w:space="0" w:color="auto"/>
              <w:left w:val="nil"/>
              <w:bottom w:val="single" w:sz="4" w:space="0" w:color="auto"/>
              <w:right w:val="single" w:sz="4" w:space="0" w:color="auto"/>
            </w:tcBorders>
          </w:tcPr>
          <w:p w14:paraId="5CC09798" w14:textId="43E0FAE4" w:rsidR="000F16D5" w:rsidRPr="006F3533" w:rsidRDefault="000F16D5" w:rsidP="000F16D5">
            <w:pPr>
              <w:pStyle w:val="ListParagraph"/>
              <w:ind w:left="0" w:right="1593"/>
              <w:jc w:val="both"/>
              <w:rPr>
                <w:rFonts w:cs="Times New Roman"/>
                <w:szCs w:val="24"/>
                <w:lang w:val="bg-BG"/>
              </w:rPr>
            </w:pPr>
            <w:r w:rsidRPr="006F3533">
              <w:rPr>
                <w:rFonts w:cs="Times New Roman"/>
                <w:szCs w:val="24"/>
                <w:lang w:val="bg-BG"/>
              </w:rPr>
              <w:t>435 801</w:t>
            </w:r>
          </w:p>
        </w:tc>
      </w:tr>
      <w:tr w:rsidR="000F16D5" w:rsidRPr="006F3533" w14:paraId="7FB64EF5" w14:textId="77777777" w:rsidTr="001C574C">
        <w:tc>
          <w:tcPr>
            <w:tcW w:w="1523" w:type="pct"/>
          </w:tcPr>
          <w:p w14:paraId="6C532039" w14:textId="77777777" w:rsidR="000F16D5" w:rsidRPr="006F3533" w:rsidRDefault="000F16D5" w:rsidP="000F16D5">
            <w:pPr>
              <w:pStyle w:val="ListParagraph"/>
              <w:ind w:left="0"/>
              <w:jc w:val="both"/>
              <w:rPr>
                <w:rFonts w:cs="Times New Roman"/>
                <w:b/>
                <w:bCs/>
                <w:szCs w:val="24"/>
                <w:lang w:val="bg-BG"/>
              </w:rPr>
            </w:pPr>
            <w:r w:rsidRPr="006F3533">
              <w:rPr>
                <w:rFonts w:cs="Times New Roman"/>
                <w:b/>
                <w:bCs/>
                <w:szCs w:val="24"/>
                <w:lang w:val="bg-BG"/>
              </w:rPr>
              <w:t>Total</w:t>
            </w:r>
          </w:p>
        </w:tc>
        <w:tc>
          <w:tcPr>
            <w:tcW w:w="3477" w:type="pct"/>
            <w:tcBorders>
              <w:top w:val="single" w:sz="4" w:space="0" w:color="auto"/>
              <w:left w:val="nil"/>
              <w:bottom w:val="single" w:sz="4" w:space="0" w:color="auto"/>
              <w:right w:val="single" w:sz="4" w:space="0" w:color="auto"/>
            </w:tcBorders>
          </w:tcPr>
          <w:p w14:paraId="6DE4DB19" w14:textId="616ABFE2" w:rsidR="000F16D5" w:rsidRPr="006F3533" w:rsidRDefault="000F16D5" w:rsidP="000F16D5">
            <w:pPr>
              <w:pStyle w:val="ListParagraph"/>
              <w:ind w:left="0" w:right="1593"/>
              <w:jc w:val="both"/>
              <w:rPr>
                <w:rFonts w:cs="Times New Roman"/>
                <w:b/>
                <w:bCs/>
                <w:szCs w:val="24"/>
                <w:lang w:val="bg-BG"/>
              </w:rPr>
            </w:pPr>
            <w:r w:rsidRPr="006F3533">
              <w:rPr>
                <w:rFonts w:cs="Times New Roman"/>
                <w:b/>
                <w:bCs/>
                <w:szCs w:val="24"/>
                <w:lang w:val="bg-BG"/>
              </w:rPr>
              <w:t>11 903 655</w:t>
            </w:r>
          </w:p>
        </w:tc>
      </w:tr>
      <w:bookmarkEnd w:id="124"/>
    </w:tbl>
    <w:p w14:paraId="46C137C9" w14:textId="77777777" w:rsidR="00003704" w:rsidRPr="006F3533" w:rsidRDefault="00003704" w:rsidP="00077D42">
      <w:pPr>
        <w:spacing w:line="240" w:lineRule="auto"/>
        <w:jc w:val="both"/>
        <w:rPr>
          <w:rFonts w:cs="Times New Roman"/>
          <w:szCs w:val="24"/>
          <w:lang w:val="bg-BG"/>
        </w:rPr>
      </w:pPr>
    </w:p>
    <w:p w14:paraId="69A86F7F" w14:textId="575038B0" w:rsidR="001E2BC1" w:rsidRPr="006F3533" w:rsidRDefault="001E2BC1" w:rsidP="00077D42">
      <w:pPr>
        <w:spacing w:line="240" w:lineRule="auto"/>
        <w:jc w:val="both"/>
        <w:rPr>
          <w:rFonts w:cs="Times New Roman"/>
          <w:szCs w:val="24"/>
          <w:lang w:val="bg-BG"/>
        </w:rPr>
      </w:pPr>
      <w:r w:rsidRPr="006F3533">
        <w:rPr>
          <w:rFonts w:cs="Times New Roman"/>
          <w:szCs w:val="24"/>
          <w:lang w:val="bg-BG"/>
        </w:rPr>
        <w:t>В националната база данни за енергийните характеристики на сградите се съхранява</w:t>
      </w:r>
      <w:r w:rsidR="002B6687" w:rsidRPr="006F3533">
        <w:rPr>
          <w:rFonts w:cs="Times New Roman"/>
          <w:szCs w:val="24"/>
          <w:lang w:val="bg-BG"/>
        </w:rPr>
        <w:t>т</w:t>
      </w:r>
      <w:r w:rsidRPr="006F3533">
        <w:rPr>
          <w:rFonts w:cs="Times New Roman"/>
          <w:szCs w:val="24"/>
          <w:lang w:val="bg-BG"/>
        </w:rPr>
        <w:t xml:space="preserve"> освен </w:t>
      </w:r>
      <w:r w:rsidR="002B6687" w:rsidRPr="006F3533">
        <w:rPr>
          <w:rFonts w:cs="Times New Roman"/>
          <w:szCs w:val="24"/>
          <w:lang w:val="bg-BG"/>
        </w:rPr>
        <w:t>данните от</w:t>
      </w:r>
      <w:r w:rsidRPr="006F3533">
        <w:rPr>
          <w:rFonts w:cs="Times New Roman"/>
          <w:szCs w:val="24"/>
          <w:lang w:val="bg-BG"/>
        </w:rPr>
        <w:t xml:space="preserve"> валидните сертификати, така и </w:t>
      </w:r>
      <w:r w:rsidR="002B6687" w:rsidRPr="006F3533">
        <w:rPr>
          <w:rFonts w:cs="Times New Roman"/>
          <w:szCs w:val="24"/>
          <w:lang w:val="bg-BG"/>
        </w:rPr>
        <w:t xml:space="preserve">данни </w:t>
      </w:r>
      <w:r w:rsidRPr="006F3533">
        <w:rPr>
          <w:rFonts w:cs="Times New Roman"/>
          <w:szCs w:val="24"/>
          <w:lang w:val="bg-BG"/>
        </w:rPr>
        <w:t xml:space="preserve">за енергийните характеристики на сгради, за които срокът на валидност е изтекъл. Фактът, че собствениците на сгради с изтекъл сертификат не са го подновили не дава основание да се счита, че енергийните характеристики на съответните сгради са променени. </w:t>
      </w:r>
      <w:r w:rsidR="00003704" w:rsidRPr="006F3533">
        <w:rPr>
          <w:rFonts w:cs="Times New Roman"/>
          <w:szCs w:val="24"/>
          <w:lang w:val="bg-BG"/>
        </w:rPr>
        <w:t>Това прави наличните данни много ценни и подходящи за по-задълбочени анализи (например, за определяне на минималните стандарти за енергийните характеристики), тъй като имат много по-голяма представителност спрямо целия фонд от нежилищни сгради.</w:t>
      </w:r>
    </w:p>
    <w:p w14:paraId="1049F9FC" w14:textId="1DC7B21C" w:rsidR="00003704" w:rsidRPr="006F3533" w:rsidRDefault="00003704" w:rsidP="00077D42">
      <w:pPr>
        <w:pStyle w:val="ListParagraph"/>
        <w:spacing w:line="240" w:lineRule="auto"/>
        <w:ind w:left="0"/>
        <w:jc w:val="both"/>
        <w:rPr>
          <w:rFonts w:cs="Times New Roman"/>
          <w:i/>
          <w:iCs/>
          <w:color w:val="0070C0"/>
          <w:szCs w:val="24"/>
          <w:lang w:val="bg-BG"/>
        </w:rPr>
      </w:pPr>
      <w:r w:rsidRPr="006F3533">
        <w:rPr>
          <w:rFonts w:cs="Times New Roman"/>
          <w:i/>
          <w:iCs/>
          <w:color w:val="0070C0"/>
          <w:szCs w:val="24"/>
          <w:lang w:val="bg-BG"/>
        </w:rPr>
        <w:t>Таблица 6b. Брой и разгъната застроена площ на нежилищните сгради с валидни или невалидни сертификати за енергийни характеристики по клас на енергопотребление</w:t>
      </w:r>
    </w:p>
    <w:p w14:paraId="7EB24D8F" w14:textId="77777777" w:rsidR="00552DC2" w:rsidRPr="006F3533" w:rsidRDefault="00552DC2" w:rsidP="00077D42">
      <w:pPr>
        <w:pStyle w:val="ListParagraph"/>
        <w:spacing w:line="240" w:lineRule="auto"/>
        <w:ind w:left="0"/>
        <w:jc w:val="both"/>
        <w:rPr>
          <w:rFonts w:cs="Times New Roman"/>
          <w:i/>
          <w:iCs/>
          <w:color w:val="0070C0"/>
          <w:szCs w:val="24"/>
          <w:lang w:val="bg-BG"/>
        </w:rPr>
      </w:pPr>
    </w:p>
    <w:tbl>
      <w:tblPr>
        <w:tblStyle w:val="TableGrid"/>
        <w:tblW w:w="5000" w:type="pct"/>
        <w:tblLook w:val="04A0" w:firstRow="1" w:lastRow="0" w:firstColumn="1" w:lastColumn="0" w:noHBand="0" w:noVBand="1"/>
      </w:tblPr>
      <w:tblGrid>
        <w:gridCol w:w="1536"/>
        <w:gridCol w:w="3686"/>
        <w:gridCol w:w="3840"/>
      </w:tblGrid>
      <w:tr w:rsidR="00003704" w:rsidRPr="006F3533" w14:paraId="06317367" w14:textId="77777777" w:rsidTr="00552DC2">
        <w:tc>
          <w:tcPr>
            <w:tcW w:w="847" w:type="pct"/>
            <w:shd w:val="clear" w:color="auto" w:fill="D0CECE" w:themeFill="background2" w:themeFillShade="E6"/>
          </w:tcPr>
          <w:p w14:paraId="0107FDA3" w14:textId="77777777" w:rsidR="00003704" w:rsidRPr="006F3533" w:rsidRDefault="00003704" w:rsidP="00077D42">
            <w:pPr>
              <w:pStyle w:val="ListParagraph"/>
              <w:ind w:left="0"/>
              <w:jc w:val="both"/>
              <w:rPr>
                <w:rFonts w:cs="Times New Roman"/>
                <w:szCs w:val="24"/>
                <w:lang w:val="bg-BG"/>
              </w:rPr>
            </w:pPr>
            <w:r w:rsidRPr="006F3533">
              <w:rPr>
                <w:rFonts w:cs="Times New Roman"/>
                <w:szCs w:val="24"/>
                <w:lang w:val="bg-BG"/>
              </w:rPr>
              <w:t>EPC</w:t>
            </w:r>
          </w:p>
          <w:p w14:paraId="2A99F576" w14:textId="77777777" w:rsidR="00003704" w:rsidRPr="006F3533" w:rsidRDefault="00003704" w:rsidP="00077D42">
            <w:pPr>
              <w:pStyle w:val="ListParagraph"/>
              <w:ind w:left="0"/>
              <w:jc w:val="both"/>
              <w:rPr>
                <w:rFonts w:cs="Times New Roman"/>
                <w:szCs w:val="24"/>
                <w:lang w:val="bg-BG"/>
              </w:rPr>
            </w:pPr>
            <w:proofErr w:type="spellStart"/>
            <w:r w:rsidRPr="006F3533">
              <w:rPr>
                <w:rFonts w:cs="Times New Roman"/>
                <w:szCs w:val="24"/>
                <w:lang w:val="bg-BG"/>
              </w:rPr>
              <w:t>Class</w:t>
            </w:r>
            <w:proofErr w:type="spellEnd"/>
          </w:p>
          <w:p w14:paraId="6F6A7FE4" w14:textId="77777777" w:rsidR="00003704" w:rsidRPr="006F3533" w:rsidRDefault="00003704" w:rsidP="00077D42">
            <w:pPr>
              <w:pStyle w:val="ListParagraph"/>
              <w:ind w:left="0"/>
              <w:jc w:val="both"/>
              <w:rPr>
                <w:rFonts w:cs="Times New Roman"/>
                <w:szCs w:val="24"/>
                <w:lang w:val="bg-BG"/>
              </w:rPr>
            </w:pPr>
          </w:p>
        </w:tc>
        <w:tc>
          <w:tcPr>
            <w:tcW w:w="2034" w:type="pct"/>
            <w:shd w:val="clear" w:color="auto" w:fill="D0CECE" w:themeFill="background2" w:themeFillShade="E6"/>
          </w:tcPr>
          <w:p w14:paraId="63B932DE" w14:textId="61265DC8" w:rsidR="00003704" w:rsidRPr="006F3533" w:rsidRDefault="00003704" w:rsidP="00077D42">
            <w:pPr>
              <w:pStyle w:val="ListParagraph"/>
              <w:ind w:left="0"/>
              <w:jc w:val="both"/>
              <w:rPr>
                <w:rFonts w:cs="Times New Roman"/>
                <w:szCs w:val="24"/>
                <w:lang w:val="bg-BG"/>
              </w:rPr>
            </w:pPr>
            <w:proofErr w:type="spellStart"/>
            <w:r w:rsidRPr="006F3533">
              <w:rPr>
                <w:rFonts w:cs="Times New Roman"/>
                <w:szCs w:val="24"/>
                <w:lang w:val="bg-BG"/>
              </w:rPr>
              <w:t>Non-Residential</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p w14:paraId="52E15992" w14:textId="6A358EF5" w:rsidR="00003704" w:rsidRPr="006F3533" w:rsidRDefault="00003704" w:rsidP="00077D42">
            <w:pPr>
              <w:pStyle w:val="ListParagraph"/>
              <w:ind w:left="0"/>
              <w:jc w:val="both"/>
              <w:rPr>
                <w:rFonts w:cs="Times New Roman"/>
                <w:szCs w:val="24"/>
                <w:lang w:val="bg-BG"/>
              </w:rPr>
            </w:pPr>
            <w:proofErr w:type="spellStart"/>
            <w:r w:rsidRPr="006F3533">
              <w:rPr>
                <w:rFonts w:cs="Times New Roman"/>
                <w:szCs w:val="24"/>
                <w:lang w:val="bg-BG"/>
              </w:rPr>
              <w:t>No</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all</w:t>
            </w:r>
            <w:proofErr w:type="spellEnd"/>
            <w:r w:rsidRPr="006F3533">
              <w:rPr>
                <w:rFonts w:cs="Times New Roman"/>
                <w:szCs w:val="24"/>
                <w:lang w:val="bg-BG"/>
              </w:rPr>
              <w:t xml:space="preserve"> </w:t>
            </w:r>
            <w:proofErr w:type="spellStart"/>
            <w:r w:rsidRPr="006F3533">
              <w:rPr>
                <w:rFonts w:cs="Times New Roman"/>
                <w:szCs w:val="24"/>
                <w:lang w:val="bg-BG"/>
              </w:rPr>
              <w:t>EPCs</w:t>
            </w:r>
            <w:proofErr w:type="spellEnd"/>
            <w:r w:rsidRPr="006F3533">
              <w:rPr>
                <w:rFonts w:cs="Times New Roman"/>
                <w:szCs w:val="24"/>
                <w:lang w:val="bg-BG"/>
              </w:rPr>
              <w:t xml:space="preserve"> </w:t>
            </w:r>
            <w:proofErr w:type="spellStart"/>
            <w:r w:rsidRPr="006F3533">
              <w:rPr>
                <w:rFonts w:cs="Times New Roman"/>
                <w:szCs w:val="24"/>
                <w:lang w:val="bg-BG"/>
              </w:rPr>
              <w:t>issued</w:t>
            </w:r>
            <w:proofErr w:type="spellEnd"/>
            <w:r w:rsidRPr="006F3533">
              <w:rPr>
                <w:rFonts w:cs="Times New Roman"/>
                <w:szCs w:val="24"/>
                <w:lang w:val="bg-BG"/>
              </w:rPr>
              <w:t xml:space="preserve"> (</w:t>
            </w:r>
            <w:proofErr w:type="spellStart"/>
            <w:r w:rsidRPr="006F3533">
              <w:rPr>
                <w:rFonts w:cs="Times New Roman"/>
                <w:szCs w:val="24"/>
                <w:lang w:val="bg-BG"/>
              </w:rPr>
              <w:t>valid</w:t>
            </w:r>
            <w:proofErr w:type="spellEnd"/>
            <w:r w:rsidRPr="006F3533">
              <w:rPr>
                <w:rFonts w:cs="Times New Roman"/>
                <w:szCs w:val="24"/>
                <w:lang w:val="bg-BG"/>
              </w:rPr>
              <w:t xml:space="preserve"> and </w:t>
            </w:r>
            <w:proofErr w:type="spellStart"/>
            <w:r w:rsidRPr="006F3533">
              <w:rPr>
                <w:rFonts w:cs="Times New Roman"/>
                <w:szCs w:val="24"/>
                <w:lang w:val="bg-BG"/>
              </w:rPr>
              <w:t>expired</w:t>
            </w:r>
            <w:proofErr w:type="spellEnd"/>
            <w:r w:rsidRPr="006F3533">
              <w:rPr>
                <w:rFonts w:cs="Times New Roman"/>
                <w:szCs w:val="24"/>
                <w:lang w:val="bg-BG"/>
              </w:rPr>
              <w:t>)</w:t>
            </w:r>
          </w:p>
          <w:p w14:paraId="2A361799" w14:textId="77777777" w:rsidR="00003704" w:rsidRPr="006F3533" w:rsidRDefault="00003704"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tc>
        <w:tc>
          <w:tcPr>
            <w:tcW w:w="2119" w:type="pct"/>
            <w:shd w:val="clear" w:color="auto" w:fill="D0CECE" w:themeFill="background2" w:themeFillShade="E6"/>
          </w:tcPr>
          <w:p w14:paraId="78340F16" w14:textId="1011B382" w:rsidR="00003704" w:rsidRPr="006F3533" w:rsidRDefault="00003704" w:rsidP="00077D42">
            <w:pPr>
              <w:pStyle w:val="ListParagraph"/>
              <w:ind w:left="0"/>
              <w:jc w:val="both"/>
              <w:rPr>
                <w:rFonts w:cs="Times New Roman"/>
                <w:szCs w:val="24"/>
                <w:lang w:val="bg-BG"/>
              </w:rPr>
            </w:pPr>
            <w:r w:rsidRPr="006F3533">
              <w:rPr>
                <w:rFonts w:cs="Times New Roman"/>
                <w:szCs w:val="24"/>
                <w:lang w:val="bg-BG"/>
              </w:rPr>
              <w:t xml:space="preserve">Total </w:t>
            </w:r>
            <w:proofErr w:type="spellStart"/>
            <w:r w:rsidRPr="006F3533">
              <w:rPr>
                <w:rFonts w:cs="Times New Roman"/>
                <w:szCs w:val="24"/>
                <w:lang w:val="bg-BG"/>
              </w:rPr>
              <w:t>floor</w:t>
            </w:r>
            <w:proofErr w:type="spellEnd"/>
            <w:r w:rsidRPr="006F3533">
              <w:rPr>
                <w:rFonts w:cs="Times New Roman"/>
                <w:szCs w:val="24"/>
                <w:lang w:val="bg-BG"/>
              </w:rPr>
              <w:t xml:space="preserve"> </w:t>
            </w:r>
            <w:proofErr w:type="spellStart"/>
            <w:r w:rsidRPr="006F3533">
              <w:rPr>
                <w:rFonts w:cs="Times New Roman"/>
                <w:szCs w:val="24"/>
                <w:lang w:val="bg-BG"/>
              </w:rPr>
              <w:t>are</w:t>
            </w:r>
            <w:r w:rsidR="002B6687" w:rsidRPr="006F3533">
              <w:rPr>
                <w:rFonts w:cs="Times New Roman"/>
                <w:szCs w:val="24"/>
                <w:lang w:val="bg-BG"/>
              </w:rPr>
              <w:t>a</w:t>
            </w:r>
            <w:proofErr w:type="spellEnd"/>
            <w:r w:rsidR="002B6687" w:rsidRPr="006F3533">
              <w:rPr>
                <w:rFonts w:cs="Times New Roman"/>
                <w:szCs w:val="24"/>
                <w:lang w:val="bg-BG"/>
              </w:rPr>
              <w:t xml:space="preserve">, m2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non-residential</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p w14:paraId="0033BC47" w14:textId="12203987" w:rsidR="00003704" w:rsidRPr="006F3533" w:rsidRDefault="002B6687" w:rsidP="00077D42">
            <w:pPr>
              <w:pStyle w:val="ListParagraph"/>
              <w:ind w:left="0"/>
              <w:jc w:val="both"/>
              <w:rPr>
                <w:rFonts w:cs="Times New Roman"/>
                <w:szCs w:val="24"/>
                <w:lang w:val="bg-BG"/>
              </w:rPr>
            </w:pPr>
            <w:proofErr w:type="spellStart"/>
            <w:r w:rsidRPr="006F3533">
              <w:rPr>
                <w:rFonts w:cs="Times New Roman"/>
                <w:szCs w:val="24"/>
                <w:lang w:val="bg-BG"/>
              </w:rPr>
              <w:t>with</w:t>
            </w:r>
            <w:proofErr w:type="spellEnd"/>
            <w:r w:rsidRPr="006F3533">
              <w:rPr>
                <w:rFonts w:cs="Times New Roman"/>
                <w:szCs w:val="24"/>
                <w:lang w:val="bg-BG"/>
              </w:rPr>
              <w:t xml:space="preserve"> </w:t>
            </w:r>
            <w:proofErr w:type="spellStart"/>
            <w:r w:rsidRPr="006F3533">
              <w:rPr>
                <w:rFonts w:cs="Times New Roman"/>
                <w:szCs w:val="24"/>
                <w:lang w:val="bg-BG"/>
              </w:rPr>
              <w:t>issued</w:t>
            </w:r>
            <w:proofErr w:type="spellEnd"/>
            <w:r w:rsidR="00003704" w:rsidRPr="006F3533">
              <w:rPr>
                <w:rFonts w:cs="Times New Roman"/>
                <w:szCs w:val="24"/>
                <w:lang w:val="bg-BG"/>
              </w:rPr>
              <w:t xml:space="preserve"> </w:t>
            </w:r>
            <w:proofErr w:type="spellStart"/>
            <w:r w:rsidR="00003704" w:rsidRPr="006F3533">
              <w:rPr>
                <w:rFonts w:cs="Times New Roman"/>
                <w:szCs w:val="24"/>
                <w:lang w:val="bg-BG"/>
              </w:rPr>
              <w:t>EPCs</w:t>
            </w:r>
            <w:proofErr w:type="spellEnd"/>
            <w:r w:rsidRPr="006F3533">
              <w:rPr>
                <w:rFonts w:cs="Times New Roman"/>
                <w:szCs w:val="24"/>
                <w:lang w:val="bg-BG"/>
              </w:rPr>
              <w:t xml:space="preserve"> (</w:t>
            </w:r>
            <w:proofErr w:type="spellStart"/>
            <w:r w:rsidRPr="006F3533">
              <w:rPr>
                <w:rFonts w:cs="Times New Roman"/>
                <w:szCs w:val="24"/>
                <w:lang w:val="bg-BG"/>
              </w:rPr>
              <w:t>valid</w:t>
            </w:r>
            <w:proofErr w:type="spellEnd"/>
            <w:r w:rsidRPr="006F3533">
              <w:rPr>
                <w:rFonts w:cs="Times New Roman"/>
                <w:szCs w:val="24"/>
                <w:lang w:val="bg-BG"/>
              </w:rPr>
              <w:t xml:space="preserve"> and </w:t>
            </w:r>
            <w:proofErr w:type="spellStart"/>
            <w:r w:rsidRPr="006F3533">
              <w:rPr>
                <w:rFonts w:cs="Times New Roman"/>
                <w:szCs w:val="24"/>
                <w:lang w:val="bg-BG"/>
              </w:rPr>
              <w:t>expired</w:t>
            </w:r>
            <w:proofErr w:type="spellEnd"/>
            <w:r w:rsidRPr="006F3533">
              <w:rPr>
                <w:rFonts w:cs="Times New Roman"/>
                <w:szCs w:val="24"/>
                <w:lang w:val="bg-BG"/>
              </w:rPr>
              <w:t>)</w:t>
            </w:r>
          </w:p>
          <w:p w14:paraId="5BCA97E1" w14:textId="77777777" w:rsidR="00003704" w:rsidRPr="006F3533" w:rsidRDefault="00003704"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2025</w:t>
            </w:r>
          </w:p>
        </w:tc>
      </w:tr>
      <w:tr w:rsidR="00003704" w:rsidRPr="006F3533" w14:paraId="7A6D795A" w14:textId="77777777" w:rsidTr="00552DC2">
        <w:tc>
          <w:tcPr>
            <w:tcW w:w="847" w:type="pct"/>
            <w:shd w:val="clear" w:color="auto" w:fill="FFFFFF" w:themeFill="background1"/>
          </w:tcPr>
          <w:p w14:paraId="3224DE0E" w14:textId="77777777" w:rsidR="00003704" w:rsidRPr="006F3533" w:rsidRDefault="00003704" w:rsidP="00077D42">
            <w:pPr>
              <w:pStyle w:val="ListParagraph"/>
              <w:ind w:left="0"/>
              <w:jc w:val="both"/>
              <w:rPr>
                <w:rFonts w:cs="Times New Roman"/>
                <w:szCs w:val="24"/>
                <w:lang w:val="bg-BG"/>
              </w:rPr>
            </w:pPr>
            <w:r w:rsidRPr="006F3533">
              <w:rPr>
                <w:rFonts w:cs="Times New Roman"/>
                <w:szCs w:val="24"/>
                <w:lang w:val="bg-BG"/>
              </w:rPr>
              <w:t xml:space="preserve">A+ </w:t>
            </w:r>
          </w:p>
          <w:p w14:paraId="4B679C4C" w14:textId="77777777" w:rsidR="00003704" w:rsidRPr="006F3533" w:rsidRDefault="00003704"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if</w:t>
            </w:r>
            <w:proofErr w:type="spellEnd"/>
            <w:r w:rsidRPr="006F3533">
              <w:rPr>
                <w:rFonts w:cs="Times New Roman"/>
                <w:szCs w:val="24"/>
                <w:lang w:val="bg-BG"/>
              </w:rPr>
              <w:t xml:space="preserve"> </w:t>
            </w:r>
            <w:proofErr w:type="spellStart"/>
            <w:r w:rsidRPr="006F3533">
              <w:rPr>
                <w:rFonts w:cs="Times New Roman"/>
                <w:szCs w:val="24"/>
                <w:lang w:val="bg-BG"/>
              </w:rPr>
              <w:t>relevant</w:t>
            </w:r>
            <w:proofErr w:type="spellEnd"/>
            <w:r w:rsidRPr="006F3533">
              <w:rPr>
                <w:rFonts w:cs="Times New Roman"/>
                <w:szCs w:val="24"/>
                <w:lang w:val="bg-BG"/>
              </w:rPr>
              <w:t xml:space="preserve">) </w:t>
            </w:r>
          </w:p>
        </w:tc>
        <w:tc>
          <w:tcPr>
            <w:tcW w:w="2034" w:type="pct"/>
          </w:tcPr>
          <w:p w14:paraId="60E3E7F3" w14:textId="6E8D4FD3" w:rsidR="00003704" w:rsidRPr="006F3533" w:rsidRDefault="002B6687" w:rsidP="00077D42">
            <w:pPr>
              <w:pStyle w:val="ListParagraph"/>
              <w:ind w:left="0"/>
              <w:jc w:val="both"/>
              <w:rPr>
                <w:rFonts w:cs="Times New Roman"/>
                <w:szCs w:val="24"/>
                <w:lang w:val="bg-BG"/>
              </w:rPr>
            </w:pPr>
            <w:r w:rsidRPr="006F3533">
              <w:rPr>
                <w:rFonts w:cs="Times New Roman"/>
                <w:szCs w:val="24"/>
                <w:lang w:val="bg-BG"/>
              </w:rPr>
              <w:t>0</w:t>
            </w:r>
          </w:p>
        </w:tc>
        <w:tc>
          <w:tcPr>
            <w:tcW w:w="2119" w:type="pct"/>
            <w:shd w:val="clear" w:color="auto" w:fill="FFFFFF" w:themeFill="background1"/>
          </w:tcPr>
          <w:p w14:paraId="2246350A" w14:textId="77777777" w:rsidR="00003704" w:rsidRPr="006F3533" w:rsidRDefault="00003704" w:rsidP="00077D42">
            <w:pPr>
              <w:pStyle w:val="ListParagraph"/>
              <w:ind w:left="0"/>
              <w:jc w:val="both"/>
              <w:rPr>
                <w:rFonts w:cs="Times New Roman"/>
                <w:szCs w:val="24"/>
                <w:lang w:val="bg-BG"/>
              </w:rPr>
            </w:pPr>
            <w:r w:rsidRPr="006F3533">
              <w:rPr>
                <w:rFonts w:cs="Times New Roman"/>
                <w:szCs w:val="24"/>
                <w:lang w:val="bg-BG"/>
              </w:rPr>
              <w:t>0</w:t>
            </w:r>
          </w:p>
        </w:tc>
      </w:tr>
      <w:tr w:rsidR="00003704" w:rsidRPr="006F3533" w14:paraId="68F34E60" w14:textId="77777777" w:rsidTr="00552DC2">
        <w:tc>
          <w:tcPr>
            <w:tcW w:w="847" w:type="pct"/>
            <w:shd w:val="clear" w:color="auto" w:fill="FFFFFF" w:themeFill="background1"/>
          </w:tcPr>
          <w:p w14:paraId="54D55ECA" w14:textId="77777777" w:rsidR="00003704" w:rsidRPr="006F3533" w:rsidRDefault="00003704" w:rsidP="00077D42">
            <w:pPr>
              <w:pStyle w:val="ListParagraph"/>
              <w:ind w:left="0"/>
              <w:jc w:val="both"/>
              <w:rPr>
                <w:rFonts w:cs="Times New Roman"/>
                <w:szCs w:val="24"/>
                <w:lang w:val="bg-BG"/>
              </w:rPr>
            </w:pPr>
            <w:r w:rsidRPr="006F3533">
              <w:rPr>
                <w:rFonts w:cs="Times New Roman"/>
                <w:szCs w:val="24"/>
                <w:lang w:val="bg-BG"/>
              </w:rPr>
              <w:t>A0</w:t>
            </w:r>
          </w:p>
          <w:p w14:paraId="18A25735" w14:textId="77777777" w:rsidR="00003704" w:rsidRPr="006F3533" w:rsidRDefault="00003704"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if</w:t>
            </w:r>
            <w:proofErr w:type="spellEnd"/>
            <w:r w:rsidRPr="006F3533">
              <w:rPr>
                <w:rFonts w:cs="Times New Roman"/>
                <w:szCs w:val="24"/>
                <w:lang w:val="bg-BG"/>
              </w:rPr>
              <w:t xml:space="preserve"> </w:t>
            </w:r>
            <w:proofErr w:type="spellStart"/>
            <w:r w:rsidRPr="006F3533">
              <w:rPr>
                <w:rFonts w:cs="Times New Roman"/>
                <w:szCs w:val="24"/>
                <w:lang w:val="bg-BG"/>
              </w:rPr>
              <w:t>relevant</w:t>
            </w:r>
            <w:proofErr w:type="spellEnd"/>
            <w:r w:rsidRPr="006F3533">
              <w:rPr>
                <w:rFonts w:cs="Times New Roman"/>
                <w:szCs w:val="24"/>
                <w:lang w:val="bg-BG"/>
              </w:rPr>
              <w:t>)</w:t>
            </w:r>
          </w:p>
        </w:tc>
        <w:tc>
          <w:tcPr>
            <w:tcW w:w="2034" w:type="pct"/>
            <w:tcBorders>
              <w:bottom w:val="single" w:sz="4" w:space="0" w:color="auto"/>
            </w:tcBorders>
          </w:tcPr>
          <w:p w14:paraId="26F84E58" w14:textId="3E3C3ED3" w:rsidR="00003704" w:rsidRPr="006F3533" w:rsidRDefault="002B6687" w:rsidP="00077D42">
            <w:pPr>
              <w:pStyle w:val="ListParagraph"/>
              <w:ind w:left="0"/>
              <w:jc w:val="both"/>
              <w:rPr>
                <w:rFonts w:cs="Times New Roman"/>
                <w:szCs w:val="24"/>
                <w:lang w:val="bg-BG"/>
              </w:rPr>
            </w:pPr>
            <w:r w:rsidRPr="006F3533">
              <w:rPr>
                <w:rFonts w:cs="Times New Roman"/>
                <w:szCs w:val="24"/>
                <w:lang w:val="bg-BG"/>
              </w:rPr>
              <w:t>0</w:t>
            </w:r>
          </w:p>
        </w:tc>
        <w:tc>
          <w:tcPr>
            <w:tcW w:w="2119" w:type="pct"/>
            <w:tcBorders>
              <w:bottom w:val="single" w:sz="4" w:space="0" w:color="auto"/>
            </w:tcBorders>
            <w:shd w:val="clear" w:color="auto" w:fill="FFFFFF" w:themeFill="background1"/>
          </w:tcPr>
          <w:p w14:paraId="1EE24164" w14:textId="77777777" w:rsidR="00003704" w:rsidRPr="006F3533" w:rsidRDefault="00003704" w:rsidP="00077D42">
            <w:pPr>
              <w:pStyle w:val="ListParagraph"/>
              <w:ind w:left="0"/>
              <w:jc w:val="both"/>
              <w:rPr>
                <w:rFonts w:cs="Times New Roman"/>
                <w:szCs w:val="24"/>
                <w:lang w:val="bg-BG"/>
              </w:rPr>
            </w:pPr>
            <w:r w:rsidRPr="006F3533">
              <w:rPr>
                <w:rFonts w:cs="Times New Roman"/>
                <w:szCs w:val="24"/>
                <w:lang w:val="bg-BG"/>
              </w:rPr>
              <w:t>0</w:t>
            </w:r>
          </w:p>
        </w:tc>
      </w:tr>
      <w:tr w:rsidR="000F16D5" w:rsidRPr="006F3533" w14:paraId="0ECE8FA1" w14:textId="77777777" w:rsidTr="00C6526D">
        <w:tc>
          <w:tcPr>
            <w:tcW w:w="847" w:type="pct"/>
          </w:tcPr>
          <w:p w14:paraId="5912A9CA"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A</w:t>
            </w:r>
          </w:p>
        </w:tc>
        <w:tc>
          <w:tcPr>
            <w:tcW w:w="2034" w:type="pct"/>
            <w:tcBorders>
              <w:top w:val="single" w:sz="4" w:space="0" w:color="auto"/>
              <w:left w:val="nil"/>
              <w:bottom w:val="single" w:sz="4" w:space="0" w:color="auto"/>
              <w:right w:val="single" w:sz="4" w:space="0" w:color="auto"/>
            </w:tcBorders>
            <w:vAlign w:val="bottom"/>
          </w:tcPr>
          <w:p w14:paraId="3C08A052" w14:textId="1774F549" w:rsidR="000F16D5" w:rsidRPr="006F3533" w:rsidRDefault="000F16D5" w:rsidP="000F16D5">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568</w:t>
            </w:r>
          </w:p>
        </w:tc>
        <w:tc>
          <w:tcPr>
            <w:tcW w:w="2119" w:type="pct"/>
            <w:tcBorders>
              <w:top w:val="single" w:sz="4" w:space="0" w:color="auto"/>
              <w:left w:val="single" w:sz="4" w:space="0" w:color="auto"/>
              <w:bottom w:val="single" w:sz="4" w:space="0" w:color="auto"/>
              <w:right w:val="single" w:sz="4" w:space="0" w:color="auto"/>
            </w:tcBorders>
          </w:tcPr>
          <w:p w14:paraId="31FB3FE2" w14:textId="4EAC6A62" w:rsidR="000F16D5" w:rsidRPr="006F3533" w:rsidRDefault="000F16D5" w:rsidP="000F16D5">
            <w:pPr>
              <w:pStyle w:val="ListParagraph"/>
              <w:ind w:left="0" w:right="1030"/>
              <w:jc w:val="both"/>
              <w:rPr>
                <w:rFonts w:cs="Times New Roman"/>
                <w:szCs w:val="24"/>
                <w:lang w:val="bg-BG"/>
              </w:rPr>
            </w:pPr>
            <w:r w:rsidRPr="006F3533">
              <w:rPr>
                <w:lang w:val="bg-BG"/>
              </w:rPr>
              <w:t>1 450 776</w:t>
            </w:r>
          </w:p>
        </w:tc>
      </w:tr>
      <w:tr w:rsidR="000F16D5" w:rsidRPr="006F3533" w14:paraId="5D18BBBB" w14:textId="77777777" w:rsidTr="00C6526D">
        <w:tc>
          <w:tcPr>
            <w:tcW w:w="847" w:type="pct"/>
          </w:tcPr>
          <w:p w14:paraId="2568D4C1"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B</w:t>
            </w:r>
          </w:p>
        </w:tc>
        <w:tc>
          <w:tcPr>
            <w:tcW w:w="2034" w:type="pct"/>
            <w:tcBorders>
              <w:top w:val="single" w:sz="4" w:space="0" w:color="auto"/>
              <w:left w:val="nil"/>
              <w:bottom w:val="single" w:sz="4" w:space="0" w:color="auto"/>
              <w:right w:val="single" w:sz="4" w:space="0" w:color="auto"/>
            </w:tcBorders>
            <w:vAlign w:val="bottom"/>
          </w:tcPr>
          <w:p w14:paraId="41B6AB9B" w14:textId="19CA9F40" w:rsidR="000F16D5" w:rsidRPr="006F3533" w:rsidRDefault="000F16D5" w:rsidP="000F16D5">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2 724</w:t>
            </w:r>
          </w:p>
        </w:tc>
        <w:tc>
          <w:tcPr>
            <w:tcW w:w="2119" w:type="pct"/>
            <w:tcBorders>
              <w:top w:val="single" w:sz="4" w:space="0" w:color="auto"/>
              <w:left w:val="single" w:sz="4" w:space="0" w:color="auto"/>
              <w:bottom w:val="single" w:sz="4" w:space="0" w:color="auto"/>
              <w:right w:val="single" w:sz="4" w:space="0" w:color="auto"/>
            </w:tcBorders>
          </w:tcPr>
          <w:p w14:paraId="17E23BB1" w14:textId="31CAAC11" w:rsidR="000F16D5" w:rsidRPr="006F3533" w:rsidRDefault="000F16D5" w:rsidP="000F16D5">
            <w:pPr>
              <w:pStyle w:val="ListParagraph"/>
              <w:ind w:left="0" w:right="1030"/>
              <w:jc w:val="both"/>
              <w:rPr>
                <w:rFonts w:cs="Times New Roman"/>
                <w:szCs w:val="24"/>
                <w:lang w:val="bg-BG"/>
              </w:rPr>
            </w:pPr>
            <w:r w:rsidRPr="006F3533">
              <w:rPr>
                <w:lang w:val="bg-BG"/>
              </w:rPr>
              <w:t>8 225 306</w:t>
            </w:r>
          </w:p>
        </w:tc>
      </w:tr>
      <w:tr w:rsidR="000F16D5" w:rsidRPr="006F3533" w14:paraId="3EB30298" w14:textId="77777777" w:rsidTr="00C6526D">
        <w:tc>
          <w:tcPr>
            <w:tcW w:w="847" w:type="pct"/>
          </w:tcPr>
          <w:p w14:paraId="18E6EB40"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C</w:t>
            </w:r>
          </w:p>
        </w:tc>
        <w:tc>
          <w:tcPr>
            <w:tcW w:w="2034" w:type="pct"/>
            <w:tcBorders>
              <w:top w:val="single" w:sz="4" w:space="0" w:color="auto"/>
              <w:left w:val="nil"/>
              <w:bottom w:val="single" w:sz="4" w:space="0" w:color="auto"/>
              <w:right w:val="single" w:sz="4" w:space="0" w:color="auto"/>
            </w:tcBorders>
            <w:vAlign w:val="bottom"/>
          </w:tcPr>
          <w:p w14:paraId="6DDBA275" w14:textId="027FEA05" w:rsidR="000F16D5" w:rsidRPr="006F3533" w:rsidRDefault="000F16D5" w:rsidP="000F16D5">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922</w:t>
            </w:r>
          </w:p>
        </w:tc>
        <w:tc>
          <w:tcPr>
            <w:tcW w:w="2119" w:type="pct"/>
            <w:tcBorders>
              <w:top w:val="single" w:sz="4" w:space="0" w:color="auto"/>
              <w:left w:val="single" w:sz="4" w:space="0" w:color="auto"/>
              <w:bottom w:val="single" w:sz="4" w:space="0" w:color="auto"/>
              <w:right w:val="single" w:sz="4" w:space="0" w:color="auto"/>
            </w:tcBorders>
          </w:tcPr>
          <w:p w14:paraId="1DF442CA" w14:textId="43F25BA1" w:rsidR="000F16D5" w:rsidRPr="006F3533" w:rsidRDefault="000F16D5" w:rsidP="000F16D5">
            <w:pPr>
              <w:pStyle w:val="ListParagraph"/>
              <w:ind w:left="0" w:right="1030"/>
              <w:jc w:val="both"/>
              <w:rPr>
                <w:rFonts w:cs="Times New Roman"/>
                <w:szCs w:val="24"/>
                <w:lang w:val="bg-BG"/>
              </w:rPr>
            </w:pPr>
            <w:r w:rsidRPr="006F3533">
              <w:rPr>
                <w:lang w:val="bg-BG"/>
              </w:rPr>
              <w:t>3 498 941</w:t>
            </w:r>
          </w:p>
        </w:tc>
      </w:tr>
      <w:tr w:rsidR="000F16D5" w:rsidRPr="006F3533" w14:paraId="2996A3AB" w14:textId="77777777" w:rsidTr="00C6526D">
        <w:tc>
          <w:tcPr>
            <w:tcW w:w="847" w:type="pct"/>
          </w:tcPr>
          <w:p w14:paraId="7477586F"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D</w:t>
            </w:r>
          </w:p>
        </w:tc>
        <w:tc>
          <w:tcPr>
            <w:tcW w:w="2034" w:type="pct"/>
            <w:tcBorders>
              <w:top w:val="single" w:sz="4" w:space="0" w:color="auto"/>
              <w:left w:val="nil"/>
              <w:bottom w:val="single" w:sz="4" w:space="0" w:color="auto"/>
              <w:right w:val="single" w:sz="4" w:space="0" w:color="auto"/>
            </w:tcBorders>
            <w:vAlign w:val="bottom"/>
          </w:tcPr>
          <w:p w14:paraId="218884A6" w14:textId="004183AF" w:rsidR="000F16D5" w:rsidRPr="006F3533" w:rsidRDefault="000F16D5" w:rsidP="000F16D5">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654</w:t>
            </w:r>
          </w:p>
        </w:tc>
        <w:tc>
          <w:tcPr>
            <w:tcW w:w="2119" w:type="pct"/>
            <w:tcBorders>
              <w:top w:val="single" w:sz="4" w:space="0" w:color="auto"/>
              <w:left w:val="single" w:sz="4" w:space="0" w:color="auto"/>
              <w:bottom w:val="single" w:sz="4" w:space="0" w:color="auto"/>
              <w:right w:val="single" w:sz="4" w:space="0" w:color="auto"/>
            </w:tcBorders>
          </w:tcPr>
          <w:p w14:paraId="0D55A48E" w14:textId="1E454266" w:rsidR="000F16D5" w:rsidRPr="006F3533" w:rsidRDefault="000F16D5" w:rsidP="000F16D5">
            <w:pPr>
              <w:pStyle w:val="ListParagraph"/>
              <w:ind w:left="0" w:right="1030"/>
              <w:jc w:val="both"/>
              <w:rPr>
                <w:rFonts w:cs="Times New Roman"/>
                <w:szCs w:val="24"/>
                <w:lang w:val="bg-BG"/>
              </w:rPr>
            </w:pPr>
            <w:r w:rsidRPr="006F3533">
              <w:rPr>
                <w:lang w:val="bg-BG"/>
              </w:rPr>
              <w:t>2 212 699</w:t>
            </w:r>
          </w:p>
        </w:tc>
      </w:tr>
      <w:tr w:rsidR="000F16D5" w:rsidRPr="006F3533" w14:paraId="3095E53C" w14:textId="77777777" w:rsidTr="00C6526D">
        <w:tc>
          <w:tcPr>
            <w:tcW w:w="847" w:type="pct"/>
          </w:tcPr>
          <w:p w14:paraId="1311A6EC"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E</w:t>
            </w:r>
          </w:p>
        </w:tc>
        <w:tc>
          <w:tcPr>
            <w:tcW w:w="2034" w:type="pct"/>
            <w:tcBorders>
              <w:top w:val="single" w:sz="4" w:space="0" w:color="auto"/>
              <w:left w:val="nil"/>
              <w:bottom w:val="single" w:sz="4" w:space="0" w:color="auto"/>
              <w:right w:val="single" w:sz="4" w:space="0" w:color="auto"/>
            </w:tcBorders>
            <w:vAlign w:val="bottom"/>
          </w:tcPr>
          <w:p w14:paraId="273D705F" w14:textId="6C657716" w:rsidR="000F16D5" w:rsidRPr="006F3533" w:rsidRDefault="000F16D5" w:rsidP="000F16D5">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678</w:t>
            </w:r>
          </w:p>
        </w:tc>
        <w:tc>
          <w:tcPr>
            <w:tcW w:w="2119" w:type="pct"/>
            <w:tcBorders>
              <w:top w:val="single" w:sz="4" w:space="0" w:color="auto"/>
              <w:left w:val="single" w:sz="4" w:space="0" w:color="auto"/>
              <w:bottom w:val="single" w:sz="4" w:space="0" w:color="auto"/>
              <w:right w:val="single" w:sz="4" w:space="0" w:color="auto"/>
            </w:tcBorders>
          </w:tcPr>
          <w:p w14:paraId="7B0CAEAC" w14:textId="4349A8FD" w:rsidR="000F16D5" w:rsidRPr="006F3533" w:rsidRDefault="000F16D5" w:rsidP="000F16D5">
            <w:pPr>
              <w:pStyle w:val="ListParagraph"/>
              <w:ind w:left="0" w:right="1030"/>
              <w:jc w:val="both"/>
              <w:rPr>
                <w:rFonts w:cs="Times New Roman"/>
                <w:szCs w:val="24"/>
                <w:lang w:val="bg-BG"/>
              </w:rPr>
            </w:pPr>
            <w:r w:rsidRPr="006F3533">
              <w:rPr>
                <w:lang w:val="bg-BG"/>
              </w:rPr>
              <w:t>2 239 162</w:t>
            </w:r>
          </w:p>
        </w:tc>
      </w:tr>
      <w:tr w:rsidR="000F16D5" w:rsidRPr="006F3533" w14:paraId="7D63C3C1" w14:textId="77777777" w:rsidTr="00C6526D">
        <w:tc>
          <w:tcPr>
            <w:tcW w:w="847" w:type="pct"/>
          </w:tcPr>
          <w:p w14:paraId="0188063E"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F</w:t>
            </w:r>
          </w:p>
        </w:tc>
        <w:tc>
          <w:tcPr>
            <w:tcW w:w="2034" w:type="pct"/>
            <w:tcBorders>
              <w:top w:val="single" w:sz="4" w:space="0" w:color="auto"/>
              <w:left w:val="nil"/>
              <w:bottom w:val="single" w:sz="4" w:space="0" w:color="auto"/>
              <w:right w:val="single" w:sz="4" w:space="0" w:color="auto"/>
            </w:tcBorders>
            <w:vAlign w:val="bottom"/>
          </w:tcPr>
          <w:p w14:paraId="5A642B06" w14:textId="0B9685C5" w:rsidR="000F16D5" w:rsidRPr="006F3533" w:rsidRDefault="000F16D5" w:rsidP="000F16D5">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399</w:t>
            </w:r>
          </w:p>
        </w:tc>
        <w:tc>
          <w:tcPr>
            <w:tcW w:w="2119" w:type="pct"/>
            <w:tcBorders>
              <w:top w:val="single" w:sz="4" w:space="0" w:color="auto"/>
              <w:left w:val="single" w:sz="4" w:space="0" w:color="auto"/>
              <w:bottom w:val="single" w:sz="4" w:space="0" w:color="auto"/>
              <w:right w:val="single" w:sz="4" w:space="0" w:color="auto"/>
            </w:tcBorders>
          </w:tcPr>
          <w:p w14:paraId="4FD36F5B" w14:textId="119D6B1E" w:rsidR="000F16D5" w:rsidRPr="006F3533" w:rsidRDefault="000F16D5" w:rsidP="000F16D5">
            <w:pPr>
              <w:pStyle w:val="ListParagraph"/>
              <w:ind w:left="0" w:right="1030"/>
              <w:jc w:val="both"/>
              <w:rPr>
                <w:rFonts w:cs="Times New Roman"/>
                <w:szCs w:val="24"/>
                <w:lang w:val="bg-BG"/>
              </w:rPr>
            </w:pPr>
            <w:r w:rsidRPr="006F3533">
              <w:rPr>
                <w:lang w:val="bg-BG"/>
              </w:rPr>
              <w:t>1 008 764</w:t>
            </w:r>
          </w:p>
        </w:tc>
      </w:tr>
      <w:tr w:rsidR="000F16D5" w:rsidRPr="006F3533" w14:paraId="75712990" w14:textId="77777777" w:rsidTr="00C6526D">
        <w:tc>
          <w:tcPr>
            <w:tcW w:w="847" w:type="pct"/>
          </w:tcPr>
          <w:p w14:paraId="7759D12D" w14:textId="77777777" w:rsidR="000F16D5" w:rsidRPr="006F3533" w:rsidRDefault="000F16D5" w:rsidP="000F16D5">
            <w:pPr>
              <w:pStyle w:val="ListParagraph"/>
              <w:ind w:left="0"/>
              <w:jc w:val="both"/>
              <w:rPr>
                <w:rFonts w:cs="Times New Roman"/>
                <w:szCs w:val="24"/>
                <w:lang w:val="bg-BG"/>
              </w:rPr>
            </w:pPr>
            <w:r w:rsidRPr="006F3533">
              <w:rPr>
                <w:rFonts w:cs="Times New Roman"/>
                <w:szCs w:val="24"/>
                <w:lang w:val="bg-BG"/>
              </w:rPr>
              <w:t>G</w:t>
            </w:r>
          </w:p>
        </w:tc>
        <w:tc>
          <w:tcPr>
            <w:tcW w:w="2034" w:type="pct"/>
            <w:tcBorders>
              <w:top w:val="single" w:sz="4" w:space="0" w:color="auto"/>
              <w:left w:val="nil"/>
              <w:bottom w:val="single" w:sz="4" w:space="0" w:color="auto"/>
              <w:right w:val="single" w:sz="4" w:space="0" w:color="auto"/>
            </w:tcBorders>
            <w:vAlign w:val="bottom"/>
          </w:tcPr>
          <w:p w14:paraId="4BBA942C" w14:textId="289686BF" w:rsidR="000F16D5" w:rsidRPr="006F3533" w:rsidRDefault="000F16D5" w:rsidP="000F16D5">
            <w:pPr>
              <w:pStyle w:val="ListParagraph"/>
              <w:ind w:left="0"/>
              <w:jc w:val="both"/>
              <w:rPr>
                <w:rFonts w:cs="Times New Roman"/>
                <w:color w:val="000000" w:themeColor="text1"/>
                <w:szCs w:val="24"/>
                <w:lang w:val="bg-BG"/>
              </w:rPr>
            </w:pPr>
            <w:r w:rsidRPr="006F3533">
              <w:rPr>
                <w:rFonts w:cs="Times New Roman"/>
                <w:color w:val="000000" w:themeColor="text1"/>
                <w:szCs w:val="24"/>
                <w:lang w:val="bg-BG"/>
              </w:rPr>
              <w:t>641</w:t>
            </w:r>
          </w:p>
        </w:tc>
        <w:tc>
          <w:tcPr>
            <w:tcW w:w="2119" w:type="pct"/>
            <w:tcBorders>
              <w:top w:val="single" w:sz="4" w:space="0" w:color="auto"/>
              <w:left w:val="single" w:sz="4" w:space="0" w:color="auto"/>
              <w:bottom w:val="single" w:sz="4" w:space="0" w:color="auto"/>
              <w:right w:val="single" w:sz="4" w:space="0" w:color="auto"/>
            </w:tcBorders>
          </w:tcPr>
          <w:p w14:paraId="4FD33A52" w14:textId="6066D5A6" w:rsidR="000F16D5" w:rsidRPr="006F3533" w:rsidRDefault="000F16D5" w:rsidP="000F16D5">
            <w:pPr>
              <w:pStyle w:val="ListParagraph"/>
              <w:ind w:left="0" w:right="1030"/>
              <w:jc w:val="both"/>
              <w:rPr>
                <w:rFonts w:cs="Times New Roman"/>
                <w:szCs w:val="24"/>
                <w:lang w:val="bg-BG"/>
              </w:rPr>
            </w:pPr>
            <w:r w:rsidRPr="006F3533">
              <w:rPr>
                <w:lang w:val="bg-BG"/>
              </w:rPr>
              <w:t>1 179 680</w:t>
            </w:r>
          </w:p>
        </w:tc>
      </w:tr>
      <w:tr w:rsidR="000F16D5" w:rsidRPr="006F3533" w14:paraId="6E13D59E" w14:textId="77777777" w:rsidTr="00C6526D">
        <w:tc>
          <w:tcPr>
            <w:tcW w:w="847" w:type="pct"/>
          </w:tcPr>
          <w:p w14:paraId="115467FC" w14:textId="77777777" w:rsidR="000F16D5" w:rsidRPr="006F3533" w:rsidRDefault="000F16D5" w:rsidP="000F16D5">
            <w:pPr>
              <w:pStyle w:val="ListParagraph"/>
              <w:ind w:left="0"/>
              <w:jc w:val="both"/>
              <w:rPr>
                <w:rFonts w:cs="Times New Roman"/>
                <w:b/>
                <w:bCs/>
                <w:szCs w:val="24"/>
                <w:lang w:val="bg-BG"/>
              </w:rPr>
            </w:pPr>
            <w:r w:rsidRPr="006F3533">
              <w:rPr>
                <w:rFonts w:cs="Times New Roman"/>
                <w:b/>
                <w:bCs/>
                <w:szCs w:val="24"/>
                <w:lang w:val="bg-BG"/>
              </w:rPr>
              <w:t>Total</w:t>
            </w:r>
          </w:p>
        </w:tc>
        <w:tc>
          <w:tcPr>
            <w:tcW w:w="2034" w:type="pct"/>
            <w:tcBorders>
              <w:top w:val="single" w:sz="4" w:space="0" w:color="auto"/>
              <w:left w:val="nil"/>
              <w:bottom w:val="single" w:sz="4" w:space="0" w:color="auto"/>
              <w:right w:val="single" w:sz="4" w:space="0" w:color="auto"/>
            </w:tcBorders>
            <w:vAlign w:val="bottom"/>
          </w:tcPr>
          <w:p w14:paraId="6E25ECF6" w14:textId="6AB0C035" w:rsidR="000F16D5" w:rsidRPr="006F3533" w:rsidRDefault="000F16D5" w:rsidP="000F16D5">
            <w:pPr>
              <w:pStyle w:val="ListParagraph"/>
              <w:ind w:left="0"/>
              <w:jc w:val="both"/>
              <w:rPr>
                <w:rFonts w:cs="Times New Roman"/>
                <w:b/>
                <w:bCs/>
                <w:color w:val="000000" w:themeColor="text1"/>
                <w:szCs w:val="24"/>
                <w:lang w:val="bg-BG"/>
              </w:rPr>
            </w:pPr>
            <w:r w:rsidRPr="006F3533">
              <w:rPr>
                <w:rFonts w:cs="Times New Roman"/>
                <w:b/>
                <w:bCs/>
                <w:color w:val="000000" w:themeColor="text1"/>
                <w:szCs w:val="24"/>
                <w:lang w:val="bg-BG"/>
              </w:rPr>
              <w:t>6 586</w:t>
            </w:r>
          </w:p>
        </w:tc>
        <w:tc>
          <w:tcPr>
            <w:tcW w:w="2119" w:type="pct"/>
            <w:tcBorders>
              <w:top w:val="single" w:sz="4" w:space="0" w:color="auto"/>
              <w:left w:val="single" w:sz="4" w:space="0" w:color="auto"/>
              <w:bottom w:val="single" w:sz="4" w:space="0" w:color="auto"/>
              <w:right w:val="single" w:sz="4" w:space="0" w:color="auto"/>
            </w:tcBorders>
          </w:tcPr>
          <w:p w14:paraId="40007EF8" w14:textId="18FC6522" w:rsidR="000F16D5" w:rsidRPr="006F3533" w:rsidRDefault="000F16D5" w:rsidP="000F16D5">
            <w:pPr>
              <w:pStyle w:val="ListParagraph"/>
              <w:ind w:left="0" w:right="1030"/>
              <w:jc w:val="both"/>
              <w:rPr>
                <w:rFonts w:cs="Times New Roman"/>
                <w:b/>
                <w:bCs/>
                <w:szCs w:val="24"/>
                <w:lang w:val="bg-BG"/>
              </w:rPr>
            </w:pPr>
            <w:r w:rsidRPr="006F3533">
              <w:rPr>
                <w:b/>
                <w:bCs/>
                <w:lang w:val="bg-BG"/>
              </w:rPr>
              <w:t>19 815 329</w:t>
            </w:r>
          </w:p>
        </w:tc>
      </w:tr>
    </w:tbl>
    <w:p w14:paraId="5641943C" w14:textId="77777777" w:rsidR="001E2BC1" w:rsidRPr="006F3533" w:rsidRDefault="001E2BC1" w:rsidP="00077D42">
      <w:pPr>
        <w:spacing w:line="240" w:lineRule="auto"/>
        <w:jc w:val="both"/>
        <w:rPr>
          <w:rFonts w:cs="Times New Roman"/>
          <w:szCs w:val="24"/>
          <w:lang w:val="bg-BG"/>
        </w:rPr>
      </w:pPr>
    </w:p>
    <w:p w14:paraId="7649F92D" w14:textId="1C279C8F" w:rsidR="00420E20" w:rsidRPr="006F3533" w:rsidRDefault="00420E20"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lastRenderedPageBreak/>
        <w:t>Към настоящия етап България не предвижда прилагането на индикатор за брой на сертификатите за енергийни характеристики на сградите по възраст на сградата тъй като статистическа информация за възрастта на сградите не е налична за повечето категории сгради.</w:t>
      </w:r>
      <w:r w:rsidR="002D021A" w:rsidRPr="006F3533">
        <w:rPr>
          <w:rFonts w:eastAsia="Times New Roman" w:cs="Times New Roman"/>
          <w:szCs w:val="24"/>
          <w:lang w:val="bg-BG"/>
        </w:rPr>
        <w:t xml:space="preserve"> В повечето случаи са изпълнявани мерки при сертифицираните сгради, което прави такава статистика заблуждаваща.</w:t>
      </w:r>
    </w:p>
    <w:p w14:paraId="324885DD" w14:textId="77777777" w:rsidR="00DF0BE9" w:rsidRPr="006F3533" w:rsidRDefault="00DF0BE9" w:rsidP="00077D42">
      <w:pPr>
        <w:pStyle w:val="ListParagraph"/>
        <w:spacing w:line="240" w:lineRule="auto"/>
        <w:ind w:left="0"/>
        <w:jc w:val="both"/>
        <w:rPr>
          <w:rFonts w:eastAsia="Times New Roman" w:cs="Times New Roman"/>
          <w:szCs w:val="24"/>
          <w:lang w:val="bg-BG"/>
        </w:rPr>
      </w:pPr>
    </w:p>
    <w:p w14:paraId="14AEEB0A" w14:textId="2DCFEB50" w:rsidR="00CC15DB" w:rsidRPr="006F3533" w:rsidRDefault="000C44D1" w:rsidP="00077D42">
      <w:pPr>
        <w:pStyle w:val="Heading2"/>
        <w:jc w:val="both"/>
        <w:rPr>
          <w:lang w:val="bg-BG"/>
        </w:rPr>
      </w:pPr>
      <w:bookmarkStart w:id="125" w:name="_Toc217888782"/>
      <w:bookmarkStart w:id="126" w:name="_Hlk213847398"/>
      <w:r w:rsidRPr="006F3533">
        <w:rPr>
          <w:lang w:val="bg-BG"/>
        </w:rPr>
        <w:t>Годишни темпове на обновяване – нежилищни сгради</w:t>
      </w:r>
      <w:bookmarkEnd w:id="125"/>
    </w:p>
    <w:p w14:paraId="157B96FB" w14:textId="2D666803" w:rsidR="00CC15DB" w:rsidRPr="006F3533" w:rsidRDefault="00CC15DB" w:rsidP="00077D42">
      <w:pPr>
        <w:pStyle w:val="NormalWeb"/>
        <w:jc w:val="both"/>
        <w:rPr>
          <w:rFonts w:ascii="Aptos" w:hAnsi="Aptos"/>
          <w:lang w:val="bg-BG"/>
        </w:rPr>
      </w:pPr>
      <w:r w:rsidRPr="006F3533">
        <w:rPr>
          <w:rFonts w:ascii="Aptos" w:hAnsi="Aptos"/>
          <w:lang w:val="bg-BG"/>
        </w:rPr>
        <w:t xml:space="preserve">Информацията за годишните темпове на обновяване на нежилищните сгради се отнася до </w:t>
      </w:r>
      <w:r w:rsidRPr="006F3533">
        <w:rPr>
          <w:rStyle w:val="Strong"/>
          <w:rFonts w:ascii="Aptos" w:hAnsi="Aptos"/>
          <w:b w:val="0"/>
          <w:bCs w:val="0"/>
          <w:lang w:val="bg-BG"/>
        </w:rPr>
        <w:t>референтната година X-2</w:t>
      </w:r>
      <w:r w:rsidRPr="006F3533">
        <w:rPr>
          <w:rFonts w:ascii="Aptos" w:hAnsi="Aptos"/>
          <w:lang w:val="bg-BG"/>
        </w:rPr>
        <w:t xml:space="preserve">, в съответствие с изискванията на </w:t>
      </w:r>
      <w:r w:rsidR="00A446EE" w:rsidRPr="006F3533">
        <w:rPr>
          <w:rFonts w:ascii="Aptos" w:hAnsi="Aptos"/>
          <w:lang w:val="bg-BG"/>
        </w:rPr>
        <w:t>образеца</w:t>
      </w:r>
      <w:r w:rsidRPr="006F3533">
        <w:rPr>
          <w:rFonts w:ascii="Aptos" w:hAnsi="Aptos"/>
          <w:lang w:val="bg-BG"/>
        </w:rPr>
        <w:t xml:space="preserve"> за Националния план за обновяване на сградите.</w:t>
      </w:r>
    </w:p>
    <w:p w14:paraId="415BE570" w14:textId="07BC8416" w:rsidR="00CC15DB" w:rsidRPr="006F3533" w:rsidRDefault="00CC15DB" w:rsidP="00077D42">
      <w:pPr>
        <w:pStyle w:val="NormalWeb"/>
        <w:jc w:val="both"/>
        <w:rPr>
          <w:rFonts w:ascii="Aptos" w:hAnsi="Aptos"/>
          <w:lang w:val="bg-BG"/>
        </w:rPr>
      </w:pPr>
      <w:r w:rsidRPr="006F3533">
        <w:rPr>
          <w:rFonts w:ascii="Aptos" w:hAnsi="Aptos"/>
          <w:lang w:val="bg-BG"/>
        </w:rPr>
        <w:t xml:space="preserve">Към настоящия момент </w:t>
      </w:r>
      <w:r w:rsidRPr="006F3533">
        <w:rPr>
          <w:rStyle w:val="Strong"/>
          <w:rFonts w:ascii="Aptos" w:hAnsi="Aptos"/>
          <w:b w:val="0"/>
          <w:bCs w:val="0"/>
          <w:lang w:val="bg-BG"/>
        </w:rPr>
        <w:t>в България не съществува национална система за систематично отчитане на броя и разгънатата застроена площ на обновените нежилищни сгради по години</w:t>
      </w:r>
      <w:r w:rsidRPr="006F3533">
        <w:rPr>
          <w:rFonts w:ascii="Aptos" w:hAnsi="Aptos"/>
          <w:lang w:val="bg-BG"/>
        </w:rPr>
        <w:t xml:space="preserve">, която да позволява директно изчисляване на годишните темпове на обновяване в съответствие с методологията на </w:t>
      </w:r>
      <w:r w:rsidR="00A446EE" w:rsidRPr="006F3533">
        <w:rPr>
          <w:rFonts w:ascii="Aptos" w:hAnsi="Aptos"/>
          <w:lang w:val="bg-BG"/>
        </w:rPr>
        <w:t>образеца</w:t>
      </w:r>
      <w:r w:rsidRPr="006F3533">
        <w:rPr>
          <w:rFonts w:ascii="Aptos" w:hAnsi="Aptos"/>
          <w:lang w:val="bg-BG"/>
        </w:rPr>
        <w:t xml:space="preserve">. </w:t>
      </w:r>
    </w:p>
    <w:p w14:paraId="7D7DD3BF" w14:textId="77777777" w:rsidR="00CC15DB" w:rsidRPr="006F3533" w:rsidRDefault="00CC15DB" w:rsidP="00077D42">
      <w:pPr>
        <w:pStyle w:val="NormalWeb"/>
        <w:jc w:val="both"/>
        <w:rPr>
          <w:rFonts w:ascii="Aptos" w:hAnsi="Aptos"/>
          <w:lang w:val="bg-BG"/>
        </w:rPr>
      </w:pPr>
      <w:r w:rsidRPr="006F3533">
        <w:rPr>
          <w:rFonts w:ascii="Aptos" w:hAnsi="Aptos"/>
          <w:lang w:val="bg-BG"/>
        </w:rPr>
        <w:t xml:space="preserve">Годишният доклад за енергийната ефективност за 2024 г., изготвен въз основа на данни от прилагани политики и мерки, предоставя информация за </w:t>
      </w:r>
      <w:r w:rsidRPr="006F3533">
        <w:rPr>
          <w:rStyle w:val="Strong"/>
          <w:rFonts w:ascii="Aptos" w:hAnsi="Aptos"/>
          <w:b w:val="0"/>
          <w:bCs w:val="0"/>
          <w:lang w:val="bg-BG"/>
        </w:rPr>
        <w:t>постигнатите енергийни спестявания</w:t>
      </w:r>
      <w:r w:rsidRPr="006F3533">
        <w:rPr>
          <w:rFonts w:ascii="Aptos" w:hAnsi="Aptos"/>
          <w:lang w:val="bg-BG"/>
        </w:rPr>
        <w:t>, но не съдържа достатъчно детайлна информация относно броя на обновените нежилищни сгради, обновената площ или дълбочината на обновяването, за да се използва пряко за изчисляване на годишни темпове на обновяване.</w:t>
      </w:r>
    </w:p>
    <w:p w14:paraId="2C583E93" w14:textId="7E32BFC0" w:rsidR="00A446EE" w:rsidRPr="006F3533" w:rsidRDefault="00A446EE" w:rsidP="00077D42">
      <w:pPr>
        <w:pStyle w:val="NormalWeb"/>
        <w:jc w:val="both"/>
        <w:rPr>
          <w:rFonts w:ascii="Aptos" w:hAnsi="Aptos"/>
          <w:lang w:val="bg-BG"/>
        </w:rPr>
      </w:pPr>
      <w:r w:rsidRPr="006F3533">
        <w:rPr>
          <w:rFonts w:ascii="Aptos" w:hAnsi="Aptos"/>
          <w:lang w:val="bg-BG"/>
        </w:rPr>
        <w:t xml:space="preserve">Конкретна информация за броя и площта на обновени нежилищни сгради на годишна база, откъдето да се изчисли и годишен темп на обновяване е налична единствено в годишните отчети на общините на общинските програми за енергийна ефективност. Тази информация обаче обхваща единствено сградите общинска собственост и покрива малка част и не е представителна за целия сектор на нежилищни сградите в страната. За да не се получи изкривяване на информацията за темпа на обновяване на нежилищните сгради таблицата 7 съгласно образеца на плана е оставена </w:t>
      </w:r>
      <w:proofErr w:type="spellStart"/>
      <w:r w:rsidRPr="006F3533">
        <w:rPr>
          <w:rFonts w:ascii="Aptos" w:hAnsi="Aptos"/>
          <w:lang w:val="bg-BG"/>
        </w:rPr>
        <w:t>непопълнена</w:t>
      </w:r>
      <w:proofErr w:type="spellEnd"/>
      <w:r w:rsidRPr="006F3533">
        <w:rPr>
          <w:rFonts w:ascii="Aptos" w:hAnsi="Aptos"/>
          <w:lang w:val="bg-BG"/>
        </w:rPr>
        <w:t>.</w:t>
      </w:r>
    </w:p>
    <w:p w14:paraId="5F315353" w14:textId="77777777" w:rsidR="00CC15DB" w:rsidRPr="006F3533" w:rsidRDefault="00CC15DB" w:rsidP="00077D42">
      <w:pPr>
        <w:pStyle w:val="NormalWeb"/>
        <w:jc w:val="both"/>
        <w:rPr>
          <w:rFonts w:ascii="Aptos" w:hAnsi="Aptos"/>
          <w:lang w:val="bg-BG"/>
        </w:rPr>
      </w:pPr>
      <w:r w:rsidRPr="006F3533">
        <w:rPr>
          <w:rFonts w:ascii="Aptos" w:hAnsi="Aptos"/>
          <w:lang w:val="bg-BG"/>
        </w:rPr>
        <w:t xml:space="preserve">Поради това в настоящия план </w:t>
      </w:r>
      <w:r w:rsidRPr="006F3533">
        <w:rPr>
          <w:rStyle w:val="Strong"/>
          <w:rFonts w:ascii="Aptos" w:hAnsi="Aptos"/>
          <w:b w:val="0"/>
          <w:bCs w:val="0"/>
          <w:lang w:val="bg-BG"/>
        </w:rPr>
        <w:t>годишните темпове на обновяване за нежилищните сгради не са количествено отчетени</w:t>
      </w:r>
      <w:r w:rsidRPr="006F3533">
        <w:rPr>
          <w:rFonts w:ascii="Aptos" w:hAnsi="Aptos"/>
          <w:lang w:val="bg-BG"/>
        </w:rPr>
        <w:t>, като този недостиг на данни е отчетен като структурно ограничение. Вместо това анализът на напредъка в обновяването на нежилищния сграден фонд се основава на:</w:t>
      </w:r>
    </w:p>
    <w:p w14:paraId="02568A9F" w14:textId="77777777" w:rsidR="00CC15DB" w:rsidRPr="006F3533" w:rsidRDefault="00CC15DB">
      <w:pPr>
        <w:pStyle w:val="NormalWeb"/>
        <w:numPr>
          <w:ilvl w:val="0"/>
          <w:numId w:val="9"/>
        </w:numPr>
        <w:jc w:val="both"/>
        <w:rPr>
          <w:rFonts w:ascii="Aptos" w:hAnsi="Aptos"/>
          <w:lang w:val="bg-BG"/>
        </w:rPr>
      </w:pPr>
      <w:r w:rsidRPr="006F3533">
        <w:rPr>
          <w:rFonts w:ascii="Aptos" w:hAnsi="Aptos"/>
          <w:lang w:val="bg-BG"/>
        </w:rPr>
        <w:t>данните за разпределението на сградите по класове на енергопотребление;</w:t>
      </w:r>
    </w:p>
    <w:p w14:paraId="4D10A5B7" w14:textId="77777777" w:rsidR="00CC15DB" w:rsidRPr="006F3533" w:rsidRDefault="00CC15DB">
      <w:pPr>
        <w:pStyle w:val="NormalWeb"/>
        <w:numPr>
          <w:ilvl w:val="0"/>
          <w:numId w:val="9"/>
        </w:numPr>
        <w:jc w:val="both"/>
        <w:rPr>
          <w:rFonts w:ascii="Aptos" w:hAnsi="Aptos"/>
          <w:lang w:val="bg-BG"/>
        </w:rPr>
      </w:pPr>
      <w:r w:rsidRPr="006F3533">
        <w:rPr>
          <w:rFonts w:ascii="Aptos" w:hAnsi="Aptos"/>
          <w:lang w:val="bg-BG"/>
        </w:rPr>
        <w:t>броя и разпределението на валидните сертификати за енергийни характеристики;</w:t>
      </w:r>
    </w:p>
    <w:p w14:paraId="12B240EA" w14:textId="77777777" w:rsidR="00CC15DB" w:rsidRPr="006F3533" w:rsidRDefault="00CC15DB">
      <w:pPr>
        <w:pStyle w:val="NormalWeb"/>
        <w:numPr>
          <w:ilvl w:val="0"/>
          <w:numId w:val="9"/>
        </w:numPr>
        <w:jc w:val="both"/>
        <w:rPr>
          <w:rFonts w:ascii="Aptos" w:hAnsi="Aptos"/>
          <w:lang w:val="bg-BG"/>
        </w:rPr>
      </w:pPr>
      <w:r w:rsidRPr="006F3533">
        <w:rPr>
          <w:rFonts w:ascii="Aptos" w:hAnsi="Aptos"/>
          <w:lang w:val="bg-BG"/>
        </w:rPr>
        <w:t>анализа на сградите с най-лоши енергийни характеристики;</w:t>
      </w:r>
    </w:p>
    <w:p w14:paraId="5B711CE9" w14:textId="77777777" w:rsidR="00CC15DB" w:rsidRPr="006F3533" w:rsidRDefault="00CC15DB">
      <w:pPr>
        <w:pStyle w:val="NormalWeb"/>
        <w:numPr>
          <w:ilvl w:val="0"/>
          <w:numId w:val="9"/>
        </w:numPr>
        <w:jc w:val="both"/>
        <w:rPr>
          <w:rFonts w:ascii="Aptos" w:hAnsi="Aptos"/>
          <w:lang w:val="bg-BG"/>
        </w:rPr>
      </w:pPr>
      <w:r w:rsidRPr="006F3533">
        <w:rPr>
          <w:rFonts w:ascii="Aptos" w:hAnsi="Aptos"/>
          <w:lang w:val="bg-BG"/>
        </w:rPr>
        <w:t>оценката на очакваното въздействие от въвеждането на минимални стандарти за енергийни характеристики.</w:t>
      </w:r>
    </w:p>
    <w:p w14:paraId="2F1D19CD" w14:textId="404DF29B" w:rsidR="00616958" w:rsidRPr="006F3533" w:rsidRDefault="00CC15DB" w:rsidP="00DF0BE9">
      <w:pPr>
        <w:pStyle w:val="NormalWeb"/>
        <w:jc w:val="both"/>
        <w:rPr>
          <w:rFonts w:ascii="Aptos" w:hAnsi="Aptos"/>
          <w:lang w:val="bg-BG"/>
        </w:rPr>
      </w:pPr>
      <w:r w:rsidRPr="006F3533">
        <w:rPr>
          <w:rFonts w:ascii="Aptos" w:hAnsi="Aptos"/>
          <w:lang w:val="bg-BG"/>
        </w:rPr>
        <w:t>В следващите актуализации на плана се предвижда подобряване на отчетността за годишните темпове на обновяване чрез по-добро използване на административни данни, включително информация от базата данни за енергийните характеристики на сградите и други национални регистри.</w:t>
      </w:r>
      <w:bookmarkEnd w:id="126"/>
    </w:p>
    <w:p w14:paraId="566B5291" w14:textId="243216F6" w:rsidR="00E13B45" w:rsidRPr="006F3533" w:rsidRDefault="00E13B45" w:rsidP="00077D42">
      <w:pPr>
        <w:pStyle w:val="Heading2"/>
        <w:jc w:val="both"/>
        <w:rPr>
          <w:lang w:val="bg-BG"/>
        </w:rPr>
      </w:pPr>
      <w:bookmarkStart w:id="127" w:name="_Toc217888783"/>
      <w:r w:rsidRPr="006F3533">
        <w:rPr>
          <w:lang w:val="bg-BG"/>
        </w:rPr>
        <w:lastRenderedPageBreak/>
        <w:t xml:space="preserve">Първично и крайно потребление на енергия </w:t>
      </w:r>
      <w:r w:rsidR="00CE02C5" w:rsidRPr="006F3533">
        <w:rPr>
          <w:lang w:val="bg-BG"/>
        </w:rPr>
        <w:t xml:space="preserve">по типове сгради </w:t>
      </w:r>
      <w:r w:rsidRPr="006F3533">
        <w:rPr>
          <w:lang w:val="bg-BG"/>
        </w:rPr>
        <w:t>(</w:t>
      </w:r>
      <w:proofErr w:type="spellStart"/>
      <w:r w:rsidRPr="006F3533">
        <w:rPr>
          <w:lang w:val="bg-BG"/>
        </w:rPr>
        <w:t>ktoe</w:t>
      </w:r>
      <w:proofErr w:type="spellEnd"/>
      <w:r w:rsidRPr="006F3533">
        <w:rPr>
          <w:lang w:val="bg-BG"/>
        </w:rPr>
        <w:t>)</w:t>
      </w:r>
      <w:bookmarkEnd w:id="127"/>
      <w:r w:rsidR="00BE2B56" w:rsidRPr="006F3533">
        <w:rPr>
          <w:lang w:val="bg-BG"/>
        </w:rPr>
        <w:t xml:space="preserve"> </w:t>
      </w:r>
    </w:p>
    <w:p w14:paraId="43738E1E" w14:textId="4CFFAFC0" w:rsidR="00A634FE" w:rsidRPr="006F3533" w:rsidRDefault="00BE2B56"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Този раздел представя крайното и първичното потребление на енергия в сградния сектор, разграничено по основни типове сгради. Източник на данните </w:t>
      </w:r>
      <w:r w:rsidR="00986565" w:rsidRPr="006F3533">
        <w:rPr>
          <w:rFonts w:eastAsia="Times New Roman" w:cs="Times New Roman"/>
          <w:szCs w:val="24"/>
          <w:lang w:val="bg-BG"/>
        </w:rPr>
        <w:t xml:space="preserve">са </w:t>
      </w:r>
      <w:r w:rsidRPr="006F3533">
        <w:rPr>
          <w:rFonts w:eastAsia="Times New Roman" w:cs="Times New Roman"/>
          <w:szCs w:val="24"/>
          <w:lang w:val="bg-BG"/>
        </w:rPr>
        <w:t>годишн</w:t>
      </w:r>
      <w:r w:rsidR="00986565" w:rsidRPr="006F3533">
        <w:rPr>
          <w:rFonts w:eastAsia="Times New Roman" w:cs="Times New Roman"/>
          <w:szCs w:val="24"/>
          <w:lang w:val="bg-BG"/>
        </w:rPr>
        <w:t>ите</w:t>
      </w:r>
      <w:r w:rsidRPr="006F3533">
        <w:rPr>
          <w:rFonts w:eastAsia="Times New Roman" w:cs="Times New Roman"/>
          <w:szCs w:val="24"/>
          <w:lang w:val="bg-BG"/>
        </w:rPr>
        <w:t xml:space="preserve"> статистическ</w:t>
      </w:r>
      <w:r w:rsidR="00986565" w:rsidRPr="006F3533">
        <w:rPr>
          <w:rFonts w:eastAsia="Times New Roman" w:cs="Times New Roman"/>
          <w:szCs w:val="24"/>
          <w:lang w:val="bg-BG"/>
        </w:rPr>
        <w:t>и</w:t>
      </w:r>
      <w:r w:rsidRPr="006F3533">
        <w:rPr>
          <w:rFonts w:eastAsia="Times New Roman" w:cs="Times New Roman"/>
          <w:szCs w:val="24"/>
          <w:lang w:val="bg-BG"/>
        </w:rPr>
        <w:t xml:space="preserve"> издани</w:t>
      </w:r>
      <w:r w:rsidR="00F81030" w:rsidRPr="006F3533">
        <w:rPr>
          <w:rFonts w:eastAsia="Times New Roman" w:cs="Times New Roman"/>
          <w:szCs w:val="24"/>
          <w:lang w:val="bg-BG"/>
        </w:rPr>
        <w:t>е</w:t>
      </w:r>
      <w:r w:rsidRPr="006F3533">
        <w:rPr>
          <w:rFonts w:eastAsia="Times New Roman" w:cs="Times New Roman"/>
          <w:szCs w:val="24"/>
          <w:lang w:val="bg-BG"/>
        </w:rPr>
        <w:t xml:space="preserve"> на Националния статистически институт (НСИ) – </w:t>
      </w:r>
      <w:r w:rsidRPr="006F3533">
        <w:rPr>
          <w:rFonts w:eastAsia="Times New Roman" w:cs="Times New Roman"/>
          <w:i/>
          <w:iCs/>
          <w:szCs w:val="24"/>
          <w:lang w:val="bg-BG"/>
        </w:rPr>
        <w:t>Е</w:t>
      </w:r>
      <w:r w:rsidR="00986565" w:rsidRPr="006F3533">
        <w:rPr>
          <w:rFonts w:eastAsia="Times New Roman" w:cs="Times New Roman"/>
          <w:i/>
          <w:iCs/>
          <w:szCs w:val="24"/>
          <w:lang w:val="bg-BG"/>
        </w:rPr>
        <w:t>не</w:t>
      </w:r>
      <w:r w:rsidRPr="006F3533">
        <w:rPr>
          <w:rFonts w:eastAsia="Times New Roman" w:cs="Times New Roman"/>
          <w:i/>
          <w:iCs/>
          <w:szCs w:val="24"/>
          <w:lang w:val="bg-BG"/>
        </w:rPr>
        <w:t>ргийн</w:t>
      </w:r>
      <w:r w:rsidR="00986565" w:rsidRPr="006F3533">
        <w:rPr>
          <w:rFonts w:eastAsia="Times New Roman" w:cs="Times New Roman"/>
          <w:i/>
          <w:iCs/>
          <w:szCs w:val="24"/>
          <w:lang w:val="bg-BG"/>
        </w:rPr>
        <w:t>и</w:t>
      </w:r>
      <w:r w:rsidRPr="006F3533">
        <w:rPr>
          <w:rFonts w:eastAsia="Times New Roman" w:cs="Times New Roman"/>
          <w:i/>
          <w:iCs/>
          <w:szCs w:val="24"/>
          <w:lang w:val="bg-BG"/>
        </w:rPr>
        <w:t xml:space="preserve"> </w:t>
      </w:r>
      <w:r w:rsidR="00986565" w:rsidRPr="006F3533">
        <w:rPr>
          <w:rFonts w:eastAsia="Times New Roman" w:cs="Times New Roman"/>
          <w:i/>
          <w:iCs/>
          <w:szCs w:val="24"/>
          <w:lang w:val="bg-BG"/>
        </w:rPr>
        <w:t xml:space="preserve">баланси. </w:t>
      </w:r>
      <w:r w:rsidR="00986565" w:rsidRPr="006F3533">
        <w:rPr>
          <w:rFonts w:eastAsia="Times New Roman" w:cs="Times New Roman"/>
          <w:szCs w:val="24"/>
          <w:lang w:val="bg-BG"/>
        </w:rPr>
        <w:t xml:space="preserve">В най-актуалното издание – </w:t>
      </w:r>
      <w:r w:rsidR="00986565" w:rsidRPr="006F3533">
        <w:rPr>
          <w:rFonts w:eastAsia="Times New Roman" w:cs="Times New Roman"/>
          <w:i/>
          <w:iCs/>
          <w:szCs w:val="24"/>
          <w:lang w:val="bg-BG"/>
        </w:rPr>
        <w:t>Енергийни баланси 2023 г</w:t>
      </w:r>
      <w:r w:rsidR="00986565" w:rsidRPr="006F3533">
        <w:rPr>
          <w:rFonts w:eastAsia="Times New Roman" w:cs="Times New Roman"/>
          <w:szCs w:val="24"/>
          <w:lang w:val="bg-BG"/>
        </w:rPr>
        <w:t xml:space="preserve">. се съдържа информация за крайното и първичното потребление на енергия сектор „Домакинства“ и в сектор „Търговия услуги“ за 2023 г., както и коригирана и окончателна информация за 2022 г. Данните за 2023 г. са използвани като представителни за годината </w:t>
      </w:r>
      <w:r w:rsidR="00986565" w:rsidRPr="006F3533">
        <w:rPr>
          <w:rFonts w:eastAsia="Times New Roman" w:cs="Times New Roman"/>
          <w:i/>
          <w:iCs/>
          <w:szCs w:val="24"/>
          <w:lang w:val="bg-BG"/>
        </w:rPr>
        <w:t>Х-2</w:t>
      </w:r>
      <w:r w:rsidR="00986565" w:rsidRPr="006F3533">
        <w:rPr>
          <w:rFonts w:eastAsia="Times New Roman" w:cs="Times New Roman"/>
          <w:szCs w:val="24"/>
          <w:lang w:val="bg-BG"/>
        </w:rPr>
        <w:t xml:space="preserve">. Аналогично, в изданието Енергийни баланси 2020 г. се съдържа съответната информация за 2020 г. и коригирана и окончателна информация за 2019 г. Тъй като данните за 2020 г. видимо изглеждат изкривени под влиянието на </w:t>
      </w:r>
      <w:r w:rsidR="001A2D23" w:rsidRPr="006F3533">
        <w:rPr>
          <w:rFonts w:eastAsia="Times New Roman" w:cs="Times New Roman"/>
          <w:szCs w:val="24"/>
          <w:lang w:val="bg-BG"/>
        </w:rPr>
        <w:t>ограниченията, наложени заради епидемията от</w:t>
      </w:r>
      <w:r w:rsidR="00986565" w:rsidRPr="006F3533">
        <w:rPr>
          <w:rFonts w:eastAsia="Times New Roman" w:cs="Times New Roman"/>
          <w:szCs w:val="24"/>
          <w:lang w:val="bg-BG"/>
        </w:rPr>
        <w:t xml:space="preserve"> Ковид-19, когато много от нежилищните сгради бяха с ограничен достъп през голяма част от годината</w:t>
      </w:r>
      <w:r w:rsidR="001A2D23" w:rsidRPr="006F3533">
        <w:rPr>
          <w:rFonts w:eastAsia="Times New Roman" w:cs="Times New Roman"/>
          <w:szCs w:val="24"/>
          <w:lang w:val="bg-BG"/>
        </w:rPr>
        <w:t xml:space="preserve"> – </w:t>
      </w:r>
      <w:r w:rsidR="00986565" w:rsidRPr="006F3533">
        <w:rPr>
          <w:rFonts w:eastAsia="Times New Roman" w:cs="Times New Roman"/>
          <w:szCs w:val="24"/>
          <w:lang w:val="bg-BG"/>
        </w:rPr>
        <w:t>което</w:t>
      </w:r>
      <w:r w:rsidR="001A2D23" w:rsidRPr="006F3533">
        <w:rPr>
          <w:rFonts w:eastAsia="Times New Roman" w:cs="Times New Roman"/>
          <w:szCs w:val="24"/>
          <w:lang w:val="bg-BG"/>
        </w:rPr>
        <w:t xml:space="preserve"> съответно</w:t>
      </w:r>
      <w:r w:rsidR="00986565" w:rsidRPr="006F3533">
        <w:rPr>
          <w:rFonts w:eastAsia="Times New Roman" w:cs="Times New Roman"/>
          <w:szCs w:val="24"/>
          <w:lang w:val="bg-BG"/>
        </w:rPr>
        <w:t xml:space="preserve"> се отрази и върху разхода на енергия, за базовата година са използвани данните за 2019 г. Прието е, че данните за енергопотреблението в сектор </w:t>
      </w:r>
      <w:r w:rsidR="00A634FE" w:rsidRPr="006F3533">
        <w:rPr>
          <w:rFonts w:eastAsia="Times New Roman" w:cs="Times New Roman"/>
          <w:szCs w:val="24"/>
          <w:lang w:val="bg-BG"/>
        </w:rPr>
        <w:t>„Търговия услуги“</w:t>
      </w:r>
      <w:r w:rsidR="00986565" w:rsidRPr="006F3533">
        <w:rPr>
          <w:rFonts w:eastAsia="Times New Roman" w:cs="Times New Roman"/>
          <w:szCs w:val="24"/>
          <w:lang w:val="bg-BG"/>
        </w:rPr>
        <w:t xml:space="preserve"> </w:t>
      </w:r>
      <w:r w:rsidR="00A634FE" w:rsidRPr="006F3533">
        <w:rPr>
          <w:rFonts w:eastAsia="Times New Roman" w:cs="Times New Roman"/>
          <w:szCs w:val="24"/>
          <w:lang w:val="bg-BG"/>
        </w:rPr>
        <w:t xml:space="preserve">съответства на енергопотреблението на нежилищните сгради. </w:t>
      </w:r>
    </w:p>
    <w:p w14:paraId="47C2D496" w14:textId="77777777" w:rsidR="00A634FE" w:rsidRPr="006F3533" w:rsidRDefault="00A634FE"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Представените данни за първичното и крайното потребление на енергия в нежилищните сгради отразяват </w:t>
      </w:r>
      <w:proofErr w:type="spellStart"/>
      <w:r w:rsidRPr="006F3533">
        <w:rPr>
          <w:rFonts w:eastAsia="Times New Roman" w:cs="Times New Roman"/>
          <w:szCs w:val="24"/>
          <w:lang w:val="bg-BG"/>
        </w:rPr>
        <w:t>агрегирано</w:t>
      </w:r>
      <w:proofErr w:type="spellEnd"/>
      <w:r w:rsidRPr="006F3533">
        <w:rPr>
          <w:rFonts w:eastAsia="Times New Roman" w:cs="Times New Roman"/>
          <w:szCs w:val="24"/>
          <w:lang w:val="bg-BG"/>
        </w:rPr>
        <w:t xml:space="preserve"> потребление за целия сегмент, без допълнителна разбивка по функционални подтипове (напр. административни сгради, търговски обекти, образователни и здравни заведения, хотели, спортни съоръжения и др.).</w:t>
      </w:r>
    </w:p>
    <w:p w14:paraId="26134C88" w14:textId="590E76A5" w:rsidR="00BE2B56" w:rsidRPr="006F3533" w:rsidRDefault="00A634FE"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Това ограничение произтича от факта, че към момента официалните национални енергийни баланси на НСИ предоставят данни за нежилищните сгради само на обобщено ниво, без систематично разделение по вид сгради. Аналогично, наличните административни бази данни (включително регистрите за енергийни характеристики на сградите) не позволяват надеждно агрегиране на енергийното потребление по подтипове нежилищни сгради в мащаб, съпоставим с националния енергиен баланс. Данните са представени в Таблица 8.</w:t>
      </w:r>
    </w:p>
    <w:p w14:paraId="0CBF49E3" w14:textId="6AD36E21" w:rsidR="00BE2B56" w:rsidRPr="006F3533" w:rsidRDefault="00BE2B56" w:rsidP="00077D42">
      <w:pPr>
        <w:spacing w:line="240" w:lineRule="auto"/>
        <w:jc w:val="both"/>
        <w:rPr>
          <w:rFonts w:cs="Times New Roman"/>
          <w:i/>
          <w:iCs/>
          <w:color w:val="0070C0"/>
          <w:szCs w:val="24"/>
          <w:lang w:val="bg-BG"/>
        </w:rPr>
      </w:pPr>
      <w:r w:rsidRPr="006F3533">
        <w:rPr>
          <w:rFonts w:cs="Times New Roman"/>
          <w:i/>
          <w:iCs/>
          <w:color w:val="0070C0"/>
          <w:szCs w:val="24"/>
          <w:lang w:val="bg-BG"/>
        </w:rPr>
        <w:t>Таблица 8. Първично и крайно потребление на енергия в различните типове сгради през 2023 г. (</w:t>
      </w:r>
      <w:proofErr w:type="spellStart"/>
      <w:r w:rsidRPr="006F3533">
        <w:rPr>
          <w:rFonts w:cs="Times New Roman"/>
          <w:i/>
          <w:iCs/>
          <w:color w:val="0070C0"/>
          <w:szCs w:val="24"/>
          <w:lang w:val="bg-BG"/>
        </w:rPr>
        <w:t>ktoe</w:t>
      </w:r>
      <w:proofErr w:type="spellEnd"/>
      <w:r w:rsidRPr="006F3533">
        <w:rPr>
          <w:rFonts w:cs="Times New Roman"/>
          <w:i/>
          <w:iCs/>
          <w:color w:val="0070C0"/>
          <w:szCs w:val="24"/>
          <w:lang w:val="bg-BG"/>
        </w:rPr>
        <w:t>)</w:t>
      </w:r>
    </w:p>
    <w:tbl>
      <w:tblPr>
        <w:tblStyle w:val="TableGrid"/>
        <w:tblW w:w="5000" w:type="pct"/>
        <w:tblLook w:val="04A0" w:firstRow="1" w:lastRow="0" w:firstColumn="1" w:lastColumn="0" w:noHBand="0" w:noVBand="1"/>
      </w:tblPr>
      <w:tblGrid>
        <w:gridCol w:w="756"/>
        <w:gridCol w:w="3021"/>
        <w:gridCol w:w="879"/>
        <w:gridCol w:w="1071"/>
        <w:gridCol w:w="1071"/>
        <w:gridCol w:w="1133"/>
        <w:gridCol w:w="1131"/>
      </w:tblGrid>
      <w:tr w:rsidR="00A944AB" w:rsidRPr="006F3533" w14:paraId="5A94F86A" w14:textId="77777777" w:rsidTr="00552DC2">
        <w:trPr>
          <w:trHeight w:val="300"/>
        </w:trPr>
        <w:tc>
          <w:tcPr>
            <w:tcW w:w="417" w:type="pct"/>
            <w:vMerge w:val="restart"/>
            <w:shd w:val="clear" w:color="auto" w:fill="D0CECE" w:themeFill="background2" w:themeFillShade="E6"/>
          </w:tcPr>
          <w:p w14:paraId="39315DE8" w14:textId="77777777"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Code</w:t>
            </w:r>
            <w:proofErr w:type="spellEnd"/>
          </w:p>
        </w:tc>
        <w:tc>
          <w:tcPr>
            <w:tcW w:w="1667" w:type="pct"/>
            <w:vMerge w:val="restart"/>
            <w:shd w:val="clear" w:color="auto" w:fill="D0CECE" w:themeFill="background2" w:themeFillShade="E6"/>
          </w:tcPr>
          <w:p w14:paraId="35EC6F70"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Building</w:t>
            </w:r>
          </w:p>
          <w:p w14:paraId="4A7BF394" w14:textId="77777777"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Type</w:t>
            </w:r>
            <w:proofErr w:type="spellEnd"/>
          </w:p>
        </w:tc>
        <w:tc>
          <w:tcPr>
            <w:tcW w:w="485" w:type="pct"/>
            <w:vMerge w:val="restart"/>
            <w:shd w:val="clear" w:color="auto" w:fill="D0CECE" w:themeFill="background2" w:themeFillShade="E6"/>
          </w:tcPr>
          <w:p w14:paraId="103C5115"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M/</w:t>
            </w:r>
          </w:p>
          <w:p w14:paraId="74FF3DB6" w14:textId="77777777"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182" w:type="pct"/>
            <w:gridSpan w:val="2"/>
            <w:shd w:val="clear" w:color="auto" w:fill="D0CECE" w:themeFill="background2" w:themeFillShade="E6"/>
          </w:tcPr>
          <w:p w14:paraId="28D25B3C" w14:textId="246C015D"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Final</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00986565" w:rsidRPr="006F3533">
              <w:rPr>
                <w:rFonts w:cs="Times New Roman"/>
                <w:szCs w:val="24"/>
                <w:lang w:val="bg-BG"/>
              </w:rPr>
              <w:t>,</w:t>
            </w:r>
            <w:r w:rsidRPr="006F3533">
              <w:rPr>
                <w:rFonts w:cs="Times New Roman"/>
                <w:szCs w:val="24"/>
                <w:lang w:val="bg-BG"/>
              </w:rPr>
              <w:t xml:space="preserve"> </w:t>
            </w:r>
            <w:proofErr w:type="spellStart"/>
            <w:r w:rsidRPr="006F3533">
              <w:rPr>
                <w:rFonts w:cs="Times New Roman"/>
                <w:szCs w:val="24"/>
                <w:lang w:val="bg-BG"/>
              </w:rPr>
              <w:t>ktoe</w:t>
            </w:r>
            <w:proofErr w:type="spellEnd"/>
          </w:p>
        </w:tc>
        <w:tc>
          <w:tcPr>
            <w:tcW w:w="1250" w:type="pct"/>
            <w:gridSpan w:val="2"/>
            <w:shd w:val="clear" w:color="auto" w:fill="D0CECE" w:themeFill="background2" w:themeFillShade="E6"/>
          </w:tcPr>
          <w:p w14:paraId="2902E211" w14:textId="00095347"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Primary</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w:t>
            </w:r>
            <w:proofErr w:type="spellEnd"/>
            <w:r w:rsidR="00986565" w:rsidRPr="006F3533">
              <w:rPr>
                <w:rFonts w:cs="Times New Roman"/>
                <w:szCs w:val="24"/>
                <w:lang w:val="bg-BG"/>
              </w:rPr>
              <w:t>,</w:t>
            </w:r>
            <w:r w:rsidRPr="006F3533">
              <w:rPr>
                <w:rFonts w:cs="Times New Roman"/>
                <w:szCs w:val="24"/>
                <w:lang w:val="bg-BG"/>
              </w:rPr>
              <w:t xml:space="preserve"> </w:t>
            </w:r>
          </w:p>
          <w:p w14:paraId="2937BE87" w14:textId="77777777"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ktoe</w:t>
            </w:r>
            <w:proofErr w:type="spellEnd"/>
          </w:p>
        </w:tc>
      </w:tr>
      <w:tr w:rsidR="00A944AB" w:rsidRPr="006F3533" w14:paraId="2770C1C3" w14:textId="77777777" w:rsidTr="00552DC2">
        <w:trPr>
          <w:trHeight w:val="300"/>
        </w:trPr>
        <w:tc>
          <w:tcPr>
            <w:tcW w:w="417" w:type="pct"/>
            <w:vMerge/>
            <w:shd w:val="clear" w:color="auto" w:fill="D0CECE" w:themeFill="background2" w:themeFillShade="E6"/>
          </w:tcPr>
          <w:p w14:paraId="200ADD44" w14:textId="77777777" w:rsidR="00A944AB" w:rsidRPr="006F3533" w:rsidRDefault="00A944AB" w:rsidP="00077D42">
            <w:pPr>
              <w:pStyle w:val="ListParagraph"/>
              <w:ind w:left="0"/>
              <w:jc w:val="both"/>
              <w:rPr>
                <w:rFonts w:cs="Times New Roman"/>
                <w:szCs w:val="24"/>
                <w:lang w:val="bg-BG"/>
              </w:rPr>
            </w:pPr>
          </w:p>
        </w:tc>
        <w:tc>
          <w:tcPr>
            <w:tcW w:w="1667" w:type="pct"/>
            <w:vMerge/>
            <w:shd w:val="clear" w:color="auto" w:fill="D0CECE" w:themeFill="background2" w:themeFillShade="E6"/>
          </w:tcPr>
          <w:p w14:paraId="5BD73C9D" w14:textId="77777777" w:rsidR="00A944AB" w:rsidRPr="006F3533" w:rsidRDefault="00A944AB" w:rsidP="00077D42">
            <w:pPr>
              <w:pStyle w:val="ListParagraph"/>
              <w:ind w:left="0"/>
              <w:jc w:val="both"/>
              <w:rPr>
                <w:rFonts w:cs="Times New Roman"/>
                <w:szCs w:val="24"/>
                <w:lang w:val="bg-BG"/>
              </w:rPr>
            </w:pPr>
          </w:p>
        </w:tc>
        <w:tc>
          <w:tcPr>
            <w:tcW w:w="485" w:type="pct"/>
            <w:vMerge/>
            <w:shd w:val="clear" w:color="auto" w:fill="D0CECE" w:themeFill="background2" w:themeFillShade="E6"/>
          </w:tcPr>
          <w:p w14:paraId="6B3D34BD" w14:textId="77777777" w:rsidR="00A944AB" w:rsidRPr="006F3533" w:rsidRDefault="00A944AB" w:rsidP="00077D42">
            <w:pPr>
              <w:pStyle w:val="ListParagraph"/>
              <w:ind w:left="0"/>
              <w:jc w:val="both"/>
              <w:rPr>
                <w:rFonts w:cs="Times New Roman"/>
                <w:szCs w:val="24"/>
                <w:lang w:val="bg-BG"/>
              </w:rPr>
            </w:pPr>
          </w:p>
        </w:tc>
        <w:tc>
          <w:tcPr>
            <w:tcW w:w="591" w:type="pct"/>
            <w:shd w:val="clear" w:color="auto" w:fill="D0CECE" w:themeFill="background2" w:themeFillShade="E6"/>
          </w:tcPr>
          <w:p w14:paraId="261D3178" w14:textId="20D85600"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Year</w:t>
            </w:r>
            <w:proofErr w:type="spellEnd"/>
            <w:r w:rsidRPr="006F3533">
              <w:rPr>
                <w:rFonts w:cs="Times New Roman"/>
                <w:szCs w:val="24"/>
                <w:lang w:val="bg-BG"/>
              </w:rPr>
              <w:t xml:space="preserve"> </w:t>
            </w:r>
            <w:r w:rsidR="002D021A" w:rsidRPr="006F3533">
              <w:rPr>
                <w:rFonts w:cs="Times New Roman"/>
                <w:szCs w:val="24"/>
                <w:lang w:val="bg-BG"/>
              </w:rPr>
              <w:t>2023</w:t>
            </w:r>
          </w:p>
        </w:tc>
        <w:tc>
          <w:tcPr>
            <w:tcW w:w="591" w:type="pct"/>
            <w:shd w:val="clear" w:color="auto" w:fill="D0CECE" w:themeFill="background2" w:themeFillShade="E6"/>
          </w:tcPr>
          <w:p w14:paraId="29BC4F1C"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2020</w:t>
            </w:r>
          </w:p>
          <w:p w14:paraId="48FF9758" w14:textId="29E735C3" w:rsidR="00DF044C" w:rsidRPr="006F3533" w:rsidRDefault="00DF044C" w:rsidP="00077D42">
            <w:pPr>
              <w:pStyle w:val="ListParagraph"/>
              <w:ind w:left="0"/>
              <w:jc w:val="both"/>
              <w:rPr>
                <w:rFonts w:cs="Times New Roman"/>
                <w:szCs w:val="24"/>
                <w:lang w:val="bg-BG"/>
              </w:rPr>
            </w:pPr>
            <w:r w:rsidRPr="006F3533">
              <w:rPr>
                <w:rFonts w:cs="Times New Roman"/>
                <w:szCs w:val="24"/>
                <w:lang w:val="bg-BG"/>
              </w:rPr>
              <w:t>2019</w:t>
            </w:r>
          </w:p>
        </w:tc>
        <w:tc>
          <w:tcPr>
            <w:tcW w:w="625" w:type="pct"/>
            <w:shd w:val="clear" w:color="auto" w:fill="D0CECE" w:themeFill="background2" w:themeFillShade="E6"/>
          </w:tcPr>
          <w:p w14:paraId="105DE124" w14:textId="7F08B72E"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Year</w:t>
            </w:r>
            <w:proofErr w:type="spellEnd"/>
            <w:r w:rsidRPr="006F3533">
              <w:rPr>
                <w:rFonts w:cs="Times New Roman"/>
                <w:szCs w:val="24"/>
                <w:lang w:val="bg-BG"/>
              </w:rPr>
              <w:t xml:space="preserve"> </w:t>
            </w:r>
            <w:r w:rsidR="002D021A" w:rsidRPr="006F3533">
              <w:rPr>
                <w:rFonts w:cs="Times New Roman"/>
                <w:szCs w:val="24"/>
                <w:lang w:val="bg-BG"/>
              </w:rPr>
              <w:t>2023</w:t>
            </w:r>
          </w:p>
        </w:tc>
        <w:tc>
          <w:tcPr>
            <w:tcW w:w="625" w:type="pct"/>
            <w:shd w:val="clear" w:color="auto" w:fill="D0CECE" w:themeFill="background2" w:themeFillShade="E6"/>
          </w:tcPr>
          <w:p w14:paraId="7586DA2D"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2020</w:t>
            </w:r>
          </w:p>
          <w:p w14:paraId="7C92D134" w14:textId="626576B4" w:rsidR="00DF044C" w:rsidRPr="006F3533" w:rsidRDefault="00DF044C" w:rsidP="00077D42">
            <w:pPr>
              <w:pStyle w:val="ListParagraph"/>
              <w:ind w:left="0"/>
              <w:jc w:val="both"/>
              <w:rPr>
                <w:rFonts w:cs="Times New Roman"/>
                <w:szCs w:val="24"/>
                <w:lang w:val="bg-BG"/>
              </w:rPr>
            </w:pPr>
            <w:r w:rsidRPr="006F3533">
              <w:rPr>
                <w:rFonts w:cs="Times New Roman"/>
                <w:szCs w:val="24"/>
                <w:lang w:val="bg-BG"/>
              </w:rPr>
              <w:t>2019</w:t>
            </w:r>
          </w:p>
        </w:tc>
      </w:tr>
      <w:tr w:rsidR="00A944AB" w:rsidRPr="006F3533" w14:paraId="0677B298" w14:textId="77777777" w:rsidTr="00552DC2">
        <w:trPr>
          <w:trHeight w:val="300"/>
        </w:trPr>
        <w:tc>
          <w:tcPr>
            <w:tcW w:w="417" w:type="pct"/>
          </w:tcPr>
          <w:p w14:paraId="2BC611B6"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 xml:space="preserve">R </w:t>
            </w:r>
          </w:p>
        </w:tc>
        <w:tc>
          <w:tcPr>
            <w:tcW w:w="1667" w:type="pct"/>
          </w:tcPr>
          <w:p w14:paraId="68A22B9C" w14:textId="77777777" w:rsidR="00A944AB" w:rsidRPr="006F3533" w:rsidRDefault="00A944AB" w:rsidP="00077D42">
            <w:pPr>
              <w:jc w:val="both"/>
              <w:rPr>
                <w:rFonts w:cs="Times New Roman"/>
                <w:szCs w:val="24"/>
                <w:lang w:val="bg-BG"/>
              </w:rPr>
            </w:pPr>
            <w:proofErr w:type="spellStart"/>
            <w:r w:rsidRPr="006F3533">
              <w:rPr>
                <w:rFonts w:cs="Times New Roman"/>
                <w:szCs w:val="24"/>
                <w:lang w:val="bg-BG"/>
              </w:rPr>
              <w:t>Residential</w:t>
            </w:r>
            <w:proofErr w:type="spellEnd"/>
            <w:r w:rsidRPr="006F3533">
              <w:rPr>
                <w:rFonts w:cs="Times New Roman"/>
                <w:szCs w:val="24"/>
                <w:lang w:val="bg-BG"/>
              </w:rPr>
              <w:t xml:space="preserve"> </w:t>
            </w:r>
          </w:p>
          <w:p w14:paraId="306FFE3A" w14:textId="77777777" w:rsidR="00A944AB" w:rsidRPr="006F3533" w:rsidRDefault="00A944AB" w:rsidP="00077D42">
            <w:pPr>
              <w:jc w:val="both"/>
              <w:rPr>
                <w:rFonts w:cs="Times New Roman"/>
                <w:color w:val="0070C0"/>
                <w:szCs w:val="24"/>
                <w:lang w:val="bg-BG"/>
              </w:rPr>
            </w:pPr>
            <w:r w:rsidRPr="006F3533">
              <w:rPr>
                <w:rFonts w:cs="Times New Roman"/>
                <w:color w:val="0070C0"/>
                <w:szCs w:val="24"/>
                <w:lang w:val="bg-BG"/>
              </w:rPr>
              <w:t>R= (a) + (b1)</w:t>
            </w:r>
          </w:p>
          <w:p w14:paraId="5378C8E4" w14:textId="77777777" w:rsidR="00A944AB" w:rsidRPr="006F3533" w:rsidRDefault="00A944AB" w:rsidP="00077D42">
            <w:pPr>
              <w:jc w:val="both"/>
              <w:rPr>
                <w:rFonts w:cs="Times New Roman"/>
                <w:color w:val="0070C0"/>
                <w:szCs w:val="24"/>
                <w:lang w:val="bg-BG"/>
              </w:rPr>
            </w:pPr>
            <w:proofErr w:type="spellStart"/>
            <w:r w:rsidRPr="006F3533">
              <w:rPr>
                <w:rFonts w:cs="Times New Roman"/>
                <w:color w:val="0070C0"/>
                <w:szCs w:val="24"/>
                <w:lang w:val="bg-BG"/>
              </w:rPr>
              <w:t>Or</w:t>
            </w:r>
            <w:proofErr w:type="spellEnd"/>
          </w:p>
          <w:p w14:paraId="5BBFBA27" w14:textId="77777777" w:rsidR="00A944AB" w:rsidRPr="006F3533" w:rsidRDefault="00A944AB" w:rsidP="00077D42">
            <w:pPr>
              <w:jc w:val="both"/>
              <w:rPr>
                <w:rFonts w:cs="Times New Roman"/>
                <w:color w:val="0070C0"/>
                <w:szCs w:val="24"/>
                <w:lang w:val="bg-BG"/>
              </w:rPr>
            </w:pPr>
            <w:r w:rsidRPr="006F3533">
              <w:rPr>
                <w:rFonts w:cs="Times New Roman"/>
                <w:color w:val="0070C0"/>
                <w:szCs w:val="24"/>
                <w:lang w:val="bg-BG"/>
              </w:rPr>
              <w:t>R = (a) + (b2)</w:t>
            </w:r>
          </w:p>
          <w:p w14:paraId="65555683" w14:textId="77777777" w:rsidR="00A944AB" w:rsidRPr="006F3533" w:rsidRDefault="00A944AB" w:rsidP="00077D42">
            <w:pPr>
              <w:jc w:val="both"/>
              <w:rPr>
                <w:rFonts w:cs="Times New Roman"/>
                <w:szCs w:val="24"/>
                <w:lang w:val="bg-BG"/>
              </w:rPr>
            </w:pP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p>
        </w:tc>
        <w:tc>
          <w:tcPr>
            <w:tcW w:w="485" w:type="pct"/>
          </w:tcPr>
          <w:p w14:paraId="15E4D275"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M</w:t>
            </w:r>
          </w:p>
        </w:tc>
        <w:tc>
          <w:tcPr>
            <w:tcW w:w="591" w:type="pct"/>
          </w:tcPr>
          <w:p w14:paraId="066A9771" w14:textId="77777777" w:rsidR="00A944AB" w:rsidRPr="006F3533" w:rsidRDefault="00A944AB" w:rsidP="00077D42">
            <w:pPr>
              <w:jc w:val="both"/>
              <w:rPr>
                <w:rFonts w:cs="Times New Roman"/>
                <w:color w:val="0070C0"/>
                <w:szCs w:val="24"/>
                <w:lang w:val="bg-BG"/>
              </w:rPr>
            </w:pPr>
          </w:p>
        </w:tc>
        <w:tc>
          <w:tcPr>
            <w:tcW w:w="591" w:type="pct"/>
          </w:tcPr>
          <w:p w14:paraId="424081B9" w14:textId="77777777" w:rsidR="00A944AB" w:rsidRPr="006F3533" w:rsidRDefault="00A944AB" w:rsidP="00077D42">
            <w:pPr>
              <w:jc w:val="both"/>
              <w:rPr>
                <w:rFonts w:cs="Times New Roman"/>
                <w:color w:val="0070C0"/>
                <w:szCs w:val="24"/>
                <w:lang w:val="bg-BG"/>
              </w:rPr>
            </w:pPr>
          </w:p>
        </w:tc>
        <w:tc>
          <w:tcPr>
            <w:tcW w:w="625" w:type="pct"/>
          </w:tcPr>
          <w:p w14:paraId="3FBD6E79" w14:textId="77777777" w:rsidR="00A944AB" w:rsidRPr="006F3533" w:rsidRDefault="00A944AB" w:rsidP="00077D42">
            <w:pPr>
              <w:jc w:val="both"/>
              <w:rPr>
                <w:rFonts w:cs="Times New Roman"/>
                <w:color w:val="0070C0"/>
                <w:szCs w:val="24"/>
                <w:lang w:val="bg-BG"/>
              </w:rPr>
            </w:pPr>
          </w:p>
        </w:tc>
        <w:tc>
          <w:tcPr>
            <w:tcW w:w="625" w:type="pct"/>
          </w:tcPr>
          <w:p w14:paraId="6143F0BF" w14:textId="77777777" w:rsidR="00A944AB" w:rsidRPr="006F3533" w:rsidRDefault="00A944AB" w:rsidP="00077D42">
            <w:pPr>
              <w:jc w:val="both"/>
              <w:rPr>
                <w:rFonts w:cs="Times New Roman"/>
                <w:color w:val="0070C0"/>
                <w:szCs w:val="24"/>
                <w:lang w:val="bg-BG"/>
              </w:rPr>
            </w:pPr>
          </w:p>
        </w:tc>
      </w:tr>
      <w:tr w:rsidR="00A944AB" w:rsidRPr="006F3533" w14:paraId="48BD8054" w14:textId="77777777" w:rsidTr="00552DC2">
        <w:trPr>
          <w:trHeight w:val="300"/>
        </w:trPr>
        <w:tc>
          <w:tcPr>
            <w:tcW w:w="417" w:type="pct"/>
          </w:tcPr>
          <w:p w14:paraId="390B3794" w14:textId="77777777" w:rsidR="00A944AB" w:rsidRPr="006F3533" w:rsidRDefault="00A944AB" w:rsidP="00077D42">
            <w:pPr>
              <w:jc w:val="both"/>
              <w:rPr>
                <w:rFonts w:cs="Times New Roman"/>
                <w:i/>
                <w:iCs/>
                <w:szCs w:val="24"/>
                <w:lang w:val="bg-BG"/>
              </w:rPr>
            </w:pPr>
            <w:r w:rsidRPr="006F3533">
              <w:rPr>
                <w:rFonts w:cs="Times New Roman"/>
                <w:i/>
                <w:iCs/>
                <w:szCs w:val="24"/>
                <w:lang w:val="bg-BG"/>
              </w:rPr>
              <w:t>(a)</w:t>
            </w:r>
          </w:p>
        </w:tc>
        <w:tc>
          <w:tcPr>
            <w:tcW w:w="1667" w:type="pct"/>
          </w:tcPr>
          <w:p w14:paraId="7E5FF1BE" w14:textId="77777777" w:rsidR="00A944AB" w:rsidRPr="006F3533" w:rsidRDefault="00A944AB" w:rsidP="00077D42">
            <w:pPr>
              <w:pStyle w:val="ListParagraph"/>
              <w:ind w:left="0"/>
              <w:jc w:val="both"/>
              <w:rPr>
                <w:rFonts w:cs="Times New Roman"/>
                <w:i/>
                <w:iCs/>
                <w:szCs w:val="24"/>
                <w:lang w:val="bg-BG"/>
              </w:rPr>
            </w:pPr>
            <w:proofErr w:type="spellStart"/>
            <w:r w:rsidRPr="006F3533">
              <w:rPr>
                <w:rFonts w:cs="Times New Roman"/>
                <w:i/>
                <w:iCs/>
                <w:szCs w:val="24"/>
                <w:lang w:val="bg-BG"/>
              </w:rPr>
              <w:t>single-family</w:t>
            </w:r>
            <w:proofErr w:type="spellEnd"/>
            <w:r w:rsidRPr="006F3533">
              <w:rPr>
                <w:rFonts w:cs="Times New Roman"/>
                <w:i/>
                <w:iCs/>
                <w:szCs w:val="24"/>
                <w:lang w:val="bg-BG"/>
              </w:rPr>
              <w:t xml:space="preserve"> </w:t>
            </w:r>
            <w:proofErr w:type="spellStart"/>
            <w:r w:rsidRPr="006F3533">
              <w:rPr>
                <w:rFonts w:cs="Times New Roman"/>
                <w:i/>
                <w:iCs/>
                <w:szCs w:val="24"/>
                <w:lang w:val="bg-BG"/>
              </w:rPr>
              <w:t>houses</w:t>
            </w:r>
            <w:proofErr w:type="spellEnd"/>
          </w:p>
          <w:p w14:paraId="41CA0314" w14:textId="77777777" w:rsidR="00A944AB" w:rsidRPr="006F3533" w:rsidRDefault="00A944AB" w:rsidP="00077D42">
            <w:pPr>
              <w:pStyle w:val="ListParagraph"/>
              <w:ind w:left="0"/>
              <w:jc w:val="both"/>
              <w:rPr>
                <w:rFonts w:cs="Times New Roman"/>
                <w:i/>
                <w:iCs/>
                <w:szCs w:val="24"/>
                <w:lang w:val="bg-BG"/>
              </w:rPr>
            </w:pP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different</w:t>
            </w:r>
            <w:proofErr w:type="spellEnd"/>
            <w:r w:rsidRPr="006F3533">
              <w:rPr>
                <w:rFonts w:cs="Times New Roman"/>
                <w:i/>
                <w:iCs/>
                <w:szCs w:val="24"/>
                <w:lang w:val="bg-BG"/>
              </w:rPr>
              <w:t xml:space="preserve"> </w:t>
            </w:r>
            <w:proofErr w:type="spellStart"/>
            <w:r w:rsidRPr="006F3533">
              <w:rPr>
                <w:rFonts w:cs="Times New Roman"/>
                <w:i/>
                <w:iCs/>
                <w:szCs w:val="24"/>
                <w:lang w:val="bg-BG"/>
              </w:rPr>
              <w:t>types</w:t>
            </w:r>
            <w:proofErr w:type="spellEnd"/>
          </w:p>
        </w:tc>
        <w:tc>
          <w:tcPr>
            <w:tcW w:w="485" w:type="pct"/>
          </w:tcPr>
          <w:p w14:paraId="7DE4F63F" w14:textId="77777777"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591" w:type="pct"/>
          </w:tcPr>
          <w:p w14:paraId="53C7C2E0" w14:textId="77777777" w:rsidR="00A944AB" w:rsidRPr="006F3533" w:rsidRDefault="00A944AB" w:rsidP="00077D42">
            <w:pPr>
              <w:pStyle w:val="ListParagraph"/>
              <w:ind w:left="0"/>
              <w:jc w:val="both"/>
              <w:rPr>
                <w:rFonts w:cs="Times New Roman"/>
                <w:color w:val="0070C0"/>
                <w:szCs w:val="24"/>
                <w:lang w:val="bg-BG"/>
              </w:rPr>
            </w:pPr>
          </w:p>
        </w:tc>
        <w:tc>
          <w:tcPr>
            <w:tcW w:w="591" w:type="pct"/>
          </w:tcPr>
          <w:p w14:paraId="318BEC1C" w14:textId="77777777" w:rsidR="00A944AB" w:rsidRPr="006F3533" w:rsidRDefault="00A944AB" w:rsidP="00077D42">
            <w:pPr>
              <w:pStyle w:val="ListParagraph"/>
              <w:ind w:left="0"/>
              <w:jc w:val="both"/>
              <w:rPr>
                <w:rFonts w:cs="Times New Roman"/>
                <w:color w:val="0070C0"/>
                <w:szCs w:val="24"/>
                <w:lang w:val="bg-BG"/>
              </w:rPr>
            </w:pPr>
          </w:p>
        </w:tc>
        <w:tc>
          <w:tcPr>
            <w:tcW w:w="625" w:type="pct"/>
          </w:tcPr>
          <w:p w14:paraId="5FEDB4C1" w14:textId="77777777" w:rsidR="00A944AB" w:rsidRPr="006F3533" w:rsidRDefault="00A944AB" w:rsidP="00077D42">
            <w:pPr>
              <w:pStyle w:val="ListParagraph"/>
              <w:ind w:left="0"/>
              <w:jc w:val="both"/>
              <w:rPr>
                <w:rFonts w:cs="Times New Roman"/>
                <w:color w:val="0070C0"/>
                <w:szCs w:val="24"/>
                <w:lang w:val="bg-BG"/>
              </w:rPr>
            </w:pPr>
          </w:p>
        </w:tc>
        <w:tc>
          <w:tcPr>
            <w:tcW w:w="625" w:type="pct"/>
          </w:tcPr>
          <w:p w14:paraId="3D3C2E00" w14:textId="77777777" w:rsidR="00A944AB" w:rsidRPr="006F3533" w:rsidRDefault="00A944AB" w:rsidP="00077D42">
            <w:pPr>
              <w:pStyle w:val="ListParagraph"/>
              <w:ind w:left="0"/>
              <w:jc w:val="both"/>
              <w:rPr>
                <w:rFonts w:cs="Times New Roman"/>
                <w:color w:val="0070C0"/>
                <w:szCs w:val="24"/>
                <w:lang w:val="bg-BG"/>
              </w:rPr>
            </w:pPr>
          </w:p>
        </w:tc>
      </w:tr>
      <w:tr w:rsidR="00A944AB" w:rsidRPr="006F3533" w14:paraId="5F899245" w14:textId="77777777" w:rsidTr="00552DC2">
        <w:trPr>
          <w:trHeight w:val="300"/>
        </w:trPr>
        <w:tc>
          <w:tcPr>
            <w:tcW w:w="417" w:type="pct"/>
          </w:tcPr>
          <w:p w14:paraId="28F0F78D" w14:textId="77777777" w:rsidR="00A944AB" w:rsidRPr="006F3533" w:rsidRDefault="00A944AB" w:rsidP="00077D42">
            <w:pPr>
              <w:pStyle w:val="ListParagraph"/>
              <w:ind w:left="0"/>
              <w:jc w:val="both"/>
              <w:rPr>
                <w:rFonts w:cs="Times New Roman"/>
                <w:i/>
                <w:iCs/>
                <w:szCs w:val="24"/>
                <w:lang w:val="bg-BG"/>
              </w:rPr>
            </w:pPr>
            <w:r w:rsidRPr="006F3533">
              <w:rPr>
                <w:rFonts w:cs="Times New Roman"/>
                <w:i/>
                <w:iCs/>
                <w:szCs w:val="24"/>
                <w:lang w:val="bg-BG"/>
              </w:rPr>
              <w:t>(b1)</w:t>
            </w:r>
          </w:p>
          <w:p w14:paraId="3F559851" w14:textId="77777777" w:rsidR="00A944AB" w:rsidRPr="006F3533" w:rsidRDefault="00A944AB" w:rsidP="00077D42">
            <w:pPr>
              <w:pStyle w:val="ListParagraph"/>
              <w:ind w:left="0"/>
              <w:jc w:val="both"/>
              <w:rPr>
                <w:rFonts w:cs="Times New Roman"/>
                <w:i/>
                <w:iCs/>
                <w:szCs w:val="24"/>
                <w:lang w:val="bg-BG"/>
              </w:rPr>
            </w:pPr>
          </w:p>
          <w:p w14:paraId="51C128D3" w14:textId="77777777" w:rsidR="00A944AB" w:rsidRPr="006F3533" w:rsidRDefault="00A944AB" w:rsidP="00077D42">
            <w:pPr>
              <w:pStyle w:val="ListParagraph"/>
              <w:ind w:left="0"/>
              <w:jc w:val="both"/>
              <w:rPr>
                <w:rFonts w:cs="Times New Roman"/>
                <w:i/>
                <w:iCs/>
                <w:szCs w:val="24"/>
                <w:lang w:val="bg-BG"/>
              </w:rPr>
            </w:pPr>
          </w:p>
          <w:p w14:paraId="7A4818D7" w14:textId="77777777" w:rsidR="00A944AB" w:rsidRPr="006F3533" w:rsidRDefault="00A944AB" w:rsidP="00077D42">
            <w:pPr>
              <w:pStyle w:val="ListParagraph"/>
              <w:ind w:left="0"/>
              <w:jc w:val="both"/>
              <w:rPr>
                <w:rFonts w:cs="Times New Roman"/>
                <w:i/>
                <w:iCs/>
                <w:szCs w:val="24"/>
                <w:lang w:val="bg-BG"/>
              </w:rPr>
            </w:pPr>
          </w:p>
        </w:tc>
        <w:tc>
          <w:tcPr>
            <w:tcW w:w="1667" w:type="pct"/>
          </w:tcPr>
          <w:p w14:paraId="3AEDE96A" w14:textId="77777777" w:rsidR="00A944AB" w:rsidRPr="006F3533" w:rsidRDefault="00A944AB" w:rsidP="00077D42">
            <w:pPr>
              <w:pStyle w:val="ListParagraph"/>
              <w:ind w:left="0"/>
              <w:jc w:val="both"/>
              <w:rPr>
                <w:rFonts w:cs="Times New Roman"/>
                <w:i/>
                <w:iCs/>
                <w:szCs w:val="24"/>
                <w:lang w:val="bg-BG"/>
              </w:rPr>
            </w:pPr>
            <w:proofErr w:type="spellStart"/>
            <w:r w:rsidRPr="006F3533">
              <w:rPr>
                <w:rFonts w:cs="Times New Roman"/>
                <w:i/>
                <w:iCs/>
                <w:szCs w:val="24"/>
                <w:lang w:val="bg-BG"/>
              </w:rPr>
              <w:lastRenderedPageBreak/>
              <w:t>apartment</w:t>
            </w:r>
            <w:proofErr w:type="spellEnd"/>
            <w:r w:rsidRPr="006F3533">
              <w:rPr>
                <w:rFonts w:cs="Times New Roman"/>
                <w:i/>
                <w:iCs/>
                <w:szCs w:val="24"/>
                <w:lang w:val="bg-BG"/>
              </w:rPr>
              <w:t xml:space="preserve"> </w:t>
            </w:r>
            <w:proofErr w:type="spellStart"/>
            <w:r w:rsidRPr="006F3533">
              <w:rPr>
                <w:rFonts w:cs="Times New Roman"/>
                <w:i/>
                <w:iCs/>
                <w:szCs w:val="24"/>
                <w:lang w:val="bg-BG"/>
              </w:rPr>
              <w:t>blocks</w:t>
            </w:r>
            <w:proofErr w:type="spellEnd"/>
            <w:r w:rsidRPr="006F3533">
              <w:rPr>
                <w:rFonts w:cs="Times New Roman"/>
                <w:i/>
                <w:iCs/>
                <w:szCs w:val="24"/>
                <w:lang w:val="bg-BG"/>
              </w:rPr>
              <w:t xml:space="preserve"> </w:t>
            </w:r>
            <w:proofErr w:type="spellStart"/>
            <w:r w:rsidRPr="006F3533">
              <w:rPr>
                <w:rFonts w:cs="Times New Roman"/>
                <w:i/>
                <w:iCs/>
                <w:szCs w:val="24"/>
                <w:lang w:val="bg-BG"/>
              </w:rPr>
              <w:t>or</w:t>
            </w:r>
            <w:proofErr w:type="spellEnd"/>
            <w:r w:rsidRPr="006F3533">
              <w:rPr>
                <w:rFonts w:cs="Times New Roman"/>
                <w:i/>
                <w:iCs/>
                <w:szCs w:val="24"/>
                <w:lang w:val="bg-BG"/>
              </w:rPr>
              <w:t xml:space="preserve"> </w:t>
            </w:r>
            <w:proofErr w:type="spellStart"/>
            <w:r w:rsidRPr="006F3533">
              <w:rPr>
                <w:rFonts w:cs="Times New Roman"/>
                <w:i/>
                <w:iCs/>
                <w:szCs w:val="24"/>
                <w:lang w:val="bg-BG"/>
              </w:rPr>
              <w:t>multi-family</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r w:rsidRPr="006F3533">
              <w:rPr>
                <w:rFonts w:cs="Times New Roman"/>
                <w:i/>
                <w:iCs/>
                <w:szCs w:val="24"/>
                <w:lang w:val="bg-BG"/>
              </w:rPr>
              <w:t xml:space="preserve"> </w:t>
            </w:r>
          </w:p>
          <w:p w14:paraId="54206458" w14:textId="77777777" w:rsidR="00A944AB" w:rsidRPr="006F3533" w:rsidRDefault="00A944AB" w:rsidP="00077D42">
            <w:pPr>
              <w:pStyle w:val="ListParagraph"/>
              <w:ind w:left="0"/>
              <w:jc w:val="both"/>
              <w:rPr>
                <w:rFonts w:cs="Times New Roman"/>
                <w:i/>
                <w:iCs/>
                <w:szCs w:val="24"/>
                <w:lang w:val="bg-BG"/>
              </w:rPr>
            </w:pPr>
          </w:p>
          <w:p w14:paraId="79B65FD4" w14:textId="77777777" w:rsidR="00A944AB" w:rsidRPr="006F3533" w:rsidRDefault="00A944AB" w:rsidP="00077D42">
            <w:pPr>
              <w:pStyle w:val="ListParagraph"/>
              <w:ind w:left="0"/>
              <w:jc w:val="both"/>
              <w:rPr>
                <w:rFonts w:cs="Times New Roman"/>
                <w:i/>
                <w:iCs/>
                <w:szCs w:val="24"/>
                <w:lang w:val="bg-BG"/>
              </w:rPr>
            </w:pPr>
          </w:p>
        </w:tc>
        <w:tc>
          <w:tcPr>
            <w:tcW w:w="485" w:type="pct"/>
          </w:tcPr>
          <w:p w14:paraId="64873C61" w14:textId="77777777"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lastRenderedPageBreak/>
              <w:t>Miav</w:t>
            </w:r>
            <w:proofErr w:type="spellEnd"/>
          </w:p>
          <w:p w14:paraId="33243286" w14:textId="77777777" w:rsidR="00A944AB" w:rsidRPr="006F3533" w:rsidRDefault="00A944AB" w:rsidP="00077D42">
            <w:pPr>
              <w:pStyle w:val="ListParagraph"/>
              <w:ind w:left="0"/>
              <w:jc w:val="both"/>
              <w:rPr>
                <w:rFonts w:cs="Times New Roman"/>
                <w:szCs w:val="24"/>
                <w:lang w:val="bg-BG"/>
              </w:rPr>
            </w:pPr>
          </w:p>
          <w:p w14:paraId="0EB31DFE" w14:textId="77777777" w:rsidR="00A944AB" w:rsidRPr="006F3533" w:rsidRDefault="00A944AB" w:rsidP="00077D42">
            <w:pPr>
              <w:pStyle w:val="ListParagraph"/>
              <w:ind w:left="0"/>
              <w:jc w:val="both"/>
              <w:rPr>
                <w:rFonts w:cs="Times New Roman"/>
                <w:szCs w:val="24"/>
                <w:lang w:val="bg-BG"/>
              </w:rPr>
            </w:pPr>
          </w:p>
          <w:p w14:paraId="08924E8D" w14:textId="77777777" w:rsidR="00A944AB" w:rsidRPr="006F3533" w:rsidRDefault="00A944AB" w:rsidP="00077D42">
            <w:pPr>
              <w:pStyle w:val="ListParagraph"/>
              <w:ind w:left="0"/>
              <w:jc w:val="both"/>
              <w:rPr>
                <w:rFonts w:cs="Times New Roman"/>
                <w:szCs w:val="24"/>
                <w:lang w:val="bg-BG"/>
              </w:rPr>
            </w:pPr>
          </w:p>
        </w:tc>
        <w:tc>
          <w:tcPr>
            <w:tcW w:w="591" w:type="pct"/>
          </w:tcPr>
          <w:p w14:paraId="6FDC3051" w14:textId="77777777" w:rsidR="00A944AB" w:rsidRPr="006F3533" w:rsidRDefault="00A944AB" w:rsidP="00077D42">
            <w:pPr>
              <w:pStyle w:val="ListParagraph"/>
              <w:ind w:left="0"/>
              <w:jc w:val="both"/>
              <w:rPr>
                <w:rFonts w:cs="Times New Roman"/>
                <w:color w:val="0070C0"/>
                <w:szCs w:val="24"/>
                <w:lang w:val="bg-BG"/>
              </w:rPr>
            </w:pPr>
          </w:p>
        </w:tc>
        <w:tc>
          <w:tcPr>
            <w:tcW w:w="591" w:type="pct"/>
          </w:tcPr>
          <w:p w14:paraId="6D367CFF" w14:textId="77777777" w:rsidR="00A944AB" w:rsidRPr="006F3533" w:rsidRDefault="00A944AB" w:rsidP="00077D42">
            <w:pPr>
              <w:pStyle w:val="ListParagraph"/>
              <w:ind w:left="0"/>
              <w:jc w:val="both"/>
              <w:rPr>
                <w:rFonts w:cs="Times New Roman"/>
                <w:color w:val="0070C0"/>
                <w:szCs w:val="24"/>
                <w:lang w:val="bg-BG"/>
              </w:rPr>
            </w:pPr>
          </w:p>
        </w:tc>
        <w:tc>
          <w:tcPr>
            <w:tcW w:w="625" w:type="pct"/>
          </w:tcPr>
          <w:p w14:paraId="5E66404A" w14:textId="77777777" w:rsidR="00A944AB" w:rsidRPr="006F3533" w:rsidRDefault="00A944AB" w:rsidP="00077D42">
            <w:pPr>
              <w:pStyle w:val="ListParagraph"/>
              <w:ind w:left="0"/>
              <w:jc w:val="both"/>
              <w:rPr>
                <w:rFonts w:cs="Times New Roman"/>
                <w:color w:val="0070C0"/>
                <w:szCs w:val="24"/>
                <w:lang w:val="bg-BG"/>
              </w:rPr>
            </w:pPr>
          </w:p>
        </w:tc>
        <w:tc>
          <w:tcPr>
            <w:tcW w:w="625" w:type="pct"/>
          </w:tcPr>
          <w:p w14:paraId="13BD4841" w14:textId="77777777" w:rsidR="00A944AB" w:rsidRPr="006F3533" w:rsidRDefault="00A944AB" w:rsidP="00077D42">
            <w:pPr>
              <w:pStyle w:val="ListParagraph"/>
              <w:ind w:left="0"/>
              <w:jc w:val="both"/>
              <w:rPr>
                <w:rFonts w:cs="Times New Roman"/>
                <w:color w:val="0070C0"/>
                <w:szCs w:val="24"/>
                <w:lang w:val="bg-BG"/>
              </w:rPr>
            </w:pPr>
          </w:p>
        </w:tc>
      </w:tr>
      <w:tr w:rsidR="00A944AB" w:rsidRPr="006F3533" w14:paraId="166C1E15" w14:textId="77777777" w:rsidTr="00552DC2">
        <w:trPr>
          <w:trHeight w:val="300"/>
        </w:trPr>
        <w:tc>
          <w:tcPr>
            <w:tcW w:w="417" w:type="pct"/>
          </w:tcPr>
          <w:p w14:paraId="3BBD44CC" w14:textId="77777777" w:rsidR="00A944AB" w:rsidRPr="006F3533" w:rsidRDefault="00A944AB" w:rsidP="00077D42">
            <w:pPr>
              <w:pStyle w:val="ListParagraph"/>
              <w:ind w:left="0"/>
              <w:jc w:val="both"/>
              <w:rPr>
                <w:rFonts w:cs="Times New Roman"/>
                <w:i/>
                <w:iCs/>
                <w:szCs w:val="24"/>
                <w:lang w:val="bg-BG"/>
              </w:rPr>
            </w:pPr>
            <w:r w:rsidRPr="006F3533">
              <w:rPr>
                <w:rFonts w:cs="Times New Roman"/>
                <w:i/>
                <w:iCs/>
                <w:szCs w:val="24"/>
                <w:lang w:val="bg-BG"/>
              </w:rPr>
              <w:t>(b2)</w:t>
            </w:r>
          </w:p>
        </w:tc>
        <w:tc>
          <w:tcPr>
            <w:tcW w:w="1667" w:type="pct"/>
          </w:tcPr>
          <w:p w14:paraId="670516E1" w14:textId="77777777" w:rsidR="00A944AB" w:rsidRPr="006F3533" w:rsidRDefault="00A944AB" w:rsidP="00077D42">
            <w:pPr>
              <w:pStyle w:val="ListParagraph"/>
              <w:ind w:left="0"/>
              <w:jc w:val="both"/>
              <w:rPr>
                <w:rFonts w:cs="Times New Roman"/>
                <w:i/>
                <w:iCs/>
                <w:szCs w:val="24"/>
                <w:lang w:val="bg-BG"/>
              </w:rPr>
            </w:pPr>
            <w:proofErr w:type="spellStart"/>
            <w:r w:rsidRPr="006F3533">
              <w:rPr>
                <w:rFonts w:cs="Times New Roman"/>
                <w:i/>
                <w:iCs/>
                <w:szCs w:val="24"/>
                <w:lang w:val="bg-BG"/>
              </w:rPr>
              <w:t>residential</w:t>
            </w:r>
            <w:proofErr w:type="spellEnd"/>
            <w:r w:rsidRPr="006F3533">
              <w:rPr>
                <w:rFonts w:cs="Times New Roman"/>
                <w:i/>
                <w:iCs/>
                <w:szCs w:val="24"/>
                <w:lang w:val="bg-BG"/>
              </w:rPr>
              <w:t xml:space="preserve"> </w:t>
            </w:r>
            <w:proofErr w:type="spellStart"/>
            <w:r w:rsidRPr="006F3533">
              <w:rPr>
                <w:rFonts w:cs="Times New Roman"/>
                <w:i/>
                <w:iCs/>
                <w:szCs w:val="24"/>
                <w:lang w:val="bg-BG"/>
              </w:rPr>
              <w:t>building</w:t>
            </w:r>
            <w:proofErr w:type="spellEnd"/>
            <w:r w:rsidRPr="006F3533">
              <w:rPr>
                <w:rFonts w:cs="Times New Roman"/>
                <w:i/>
                <w:iCs/>
                <w:szCs w:val="24"/>
                <w:lang w:val="bg-BG"/>
              </w:rPr>
              <w:t xml:space="preserve"> </w:t>
            </w:r>
            <w:proofErr w:type="spellStart"/>
            <w:r w:rsidRPr="006F3533">
              <w:rPr>
                <w:rFonts w:cs="Times New Roman"/>
                <w:i/>
                <w:iCs/>
                <w:szCs w:val="24"/>
                <w:lang w:val="bg-BG"/>
              </w:rPr>
              <w:t>unit</w:t>
            </w:r>
            <w:proofErr w:type="spellEnd"/>
            <w:r w:rsidRPr="006F3533">
              <w:rPr>
                <w:rFonts w:cs="Times New Roman"/>
                <w:i/>
                <w:iCs/>
                <w:szCs w:val="24"/>
                <w:lang w:val="bg-BG"/>
              </w:rPr>
              <w:t xml:space="preserve"> </w:t>
            </w:r>
            <w:proofErr w:type="spellStart"/>
            <w:r w:rsidRPr="006F3533">
              <w:rPr>
                <w:rFonts w:cs="Times New Roman"/>
                <w:i/>
                <w:iCs/>
                <w:szCs w:val="24"/>
                <w:lang w:val="bg-BG"/>
              </w:rPr>
              <w:t>in</w:t>
            </w:r>
            <w:proofErr w:type="spellEnd"/>
          </w:p>
          <w:p w14:paraId="494BAE99" w14:textId="77777777" w:rsidR="00A944AB" w:rsidRPr="006F3533" w:rsidRDefault="00A944AB" w:rsidP="00077D42">
            <w:pPr>
              <w:pStyle w:val="ListParagraph"/>
              <w:ind w:left="0"/>
              <w:jc w:val="both"/>
              <w:rPr>
                <w:rFonts w:cs="Times New Roman"/>
                <w:i/>
                <w:iCs/>
                <w:szCs w:val="24"/>
                <w:lang w:val="bg-BG"/>
              </w:rPr>
            </w:pPr>
            <w:proofErr w:type="spellStart"/>
            <w:r w:rsidRPr="006F3533">
              <w:rPr>
                <w:rFonts w:cs="Times New Roman"/>
                <w:i/>
                <w:iCs/>
                <w:szCs w:val="24"/>
                <w:lang w:val="bg-BG"/>
              </w:rPr>
              <w:t>apartment</w:t>
            </w:r>
            <w:proofErr w:type="spellEnd"/>
            <w:r w:rsidRPr="006F3533">
              <w:rPr>
                <w:rFonts w:cs="Times New Roman"/>
                <w:i/>
                <w:iCs/>
                <w:szCs w:val="24"/>
                <w:lang w:val="bg-BG"/>
              </w:rPr>
              <w:t xml:space="preserve"> </w:t>
            </w:r>
            <w:proofErr w:type="spellStart"/>
            <w:r w:rsidRPr="006F3533">
              <w:rPr>
                <w:rFonts w:cs="Times New Roman"/>
                <w:i/>
                <w:iCs/>
                <w:szCs w:val="24"/>
                <w:lang w:val="bg-BG"/>
              </w:rPr>
              <w:t>blocks</w:t>
            </w:r>
            <w:proofErr w:type="spellEnd"/>
            <w:r w:rsidRPr="006F3533">
              <w:rPr>
                <w:rFonts w:cs="Times New Roman"/>
                <w:i/>
                <w:iCs/>
                <w:szCs w:val="24"/>
                <w:lang w:val="bg-BG"/>
              </w:rPr>
              <w:t xml:space="preserve"> </w:t>
            </w:r>
            <w:proofErr w:type="spellStart"/>
            <w:r w:rsidRPr="006F3533">
              <w:rPr>
                <w:rFonts w:cs="Times New Roman"/>
                <w:i/>
                <w:iCs/>
                <w:szCs w:val="24"/>
                <w:lang w:val="bg-BG"/>
              </w:rPr>
              <w:t>or</w:t>
            </w:r>
            <w:proofErr w:type="spellEnd"/>
            <w:r w:rsidRPr="006F3533">
              <w:rPr>
                <w:rFonts w:cs="Times New Roman"/>
                <w:i/>
                <w:iCs/>
                <w:szCs w:val="24"/>
                <w:lang w:val="bg-BG"/>
              </w:rPr>
              <w:t xml:space="preserve"> </w:t>
            </w:r>
            <w:proofErr w:type="spellStart"/>
            <w:r w:rsidRPr="006F3533">
              <w:rPr>
                <w:rFonts w:cs="Times New Roman"/>
                <w:i/>
                <w:iCs/>
                <w:szCs w:val="24"/>
                <w:lang w:val="bg-BG"/>
              </w:rPr>
              <w:t>multi-family</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p w14:paraId="7775FCE5" w14:textId="77777777" w:rsidR="00A944AB" w:rsidRPr="006F3533" w:rsidRDefault="00A944AB" w:rsidP="00077D42">
            <w:pPr>
              <w:pStyle w:val="ListParagraph"/>
              <w:ind w:left="0"/>
              <w:jc w:val="both"/>
              <w:rPr>
                <w:rFonts w:cs="Times New Roman"/>
                <w:i/>
                <w:iCs/>
                <w:szCs w:val="24"/>
                <w:lang w:val="bg-BG"/>
              </w:rPr>
            </w:pPr>
          </w:p>
        </w:tc>
        <w:tc>
          <w:tcPr>
            <w:tcW w:w="485" w:type="pct"/>
          </w:tcPr>
          <w:p w14:paraId="0473CAD1" w14:textId="77777777" w:rsidR="00A944AB" w:rsidRPr="006F3533" w:rsidRDefault="00A944AB"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591" w:type="pct"/>
          </w:tcPr>
          <w:p w14:paraId="69385D82" w14:textId="77777777" w:rsidR="00A944AB" w:rsidRPr="006F3533" w:rsidRDefault="00A944AB" w:rsidP="00077D42">
            <w:pPr>
              <w:pStyle w:val="ListParagraph"/>
              <w:ind w:left="0"/>
              <w:jc w:val="both"/>
              <w:rPr>
                <w:rFonts w:cs="Times New Roman"/>
                <w:color w:val="0070C0"/>
                <w:szCs w:val="24"/>
                <w:lang w:val="bg-BG"/>
              </w:rPr>
            </w:pPr>
          </w:p>
        </w:tc>
        <w:tc>
          <w:tcPr>
            <w:tcW w:w="591" w:type="pct"/>
          </w:tcPr>
          <w:p w14:paraId="32683D29" w14:textId="77777777" w:rsidR="00A944AB" w:rsidRPr="006F3533" w:rsidRDefault="00A944AB" w:rsidP="00077D42">
            <w:pPr>
              <w:pStyle w:val="ListParagraph"/>
              <w:ind w:left="0"/>
              <w:jc w:val="both"/>
              <w:rPr>
                <w:rFonts w:cs="Times New Roman"/>
                <w:color w:val="0070C0"/>
                <w:szCs w:val="24"/>
                <w:lang w:val="bg-BG"/>
              </w:rPr>
            </w:pPr>
          </w:p>
        </w:tc>
        <w:tc>
          <w:tcPr>
            <w:tcW w:w="625" w:type="pct"/>
          </w:tcPr>
          <w:p w14:paraId="63FF2E2D" w14:textId="77777777" w:rsidR="00A944AB" w:rsidRPr="006F3533" w:rsidRDefault="00A944AB" w:rsidP="00077D42">
            <w:pPr>
              <w:pStyle w:val="ListParagraph"/>
              <w:ind w:left="0"/>
              <w:jc w:val="both"/>
              <w:rPr>
                <w:rFonts w:cs="Times New Roman"/>
                <w:color w:val="0070C0"/>
                <w:szCs w:val="24"/>
                <w:lang w:val="bg-BG"/>
              </w:rPr>
            </w:pPr>
          </w:p>
        </w:tc>
        <w:tc>
          <w:tcPr>
            <w:tcW w:w="625" w:type="pct"/>
          </w:tcPr>
          <w:p w14:paraId="4F9B5DD9" w14:textId="77777777" w:rsidR="00A944AB" w:rsidRPr="006F3533" w:rsidRDefault="00A944AB" w:rsidP="00077D42">
            <w:pPr>
              <w:pStyle w:val="ListParagraph"/>
              <w:ind w:left="0"/>
              <w:jc w:val="both"/>
              <w:rPr>
                <w:rFonts w:cs="Times New Roman"/>
                <w:color w:val="0070C0"/>
                <w:szCs w:val="24"/>
                <w:lang w:val="bg-BG"/>
              </w:rPr>
            </w:pPr>
          </w:p>
        </w:tc>
      </w:tr>
      <w:tr w:rsidR="00A944AB" w:rsidRPr="006F3533" w14:paraId="2467A3CD" w14:textId="77777777" w:rsidTr="00552DC2">
        <w:trPr>
          <w:trHeight w:val="300"/>
        </w:trPr>
        <w:tc>
          <w:tcPr>
            <w:tcW w:w="417" w:type="pct"/>
          </w:tcPr>
          <w:p w14:paraId="4CCAD3B6"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NR</w:t>
            </w:r>
          </w:p>
        </w:tc>
        <w:tc>
          <w:tcPr>
            <w:tcW w:w="1667" w:type="pct"/>
          </w:tcPr>
          <w:p w14:paraId="1C28BCEB" w14:textId="77777777" w:rsidR="00A944AB" w:rsidRPr="006F3533" w:rsidRDefault="00A944AB" w:rsidP="00077D42">
            <w:pPr>
              <w:jc w:val="both"/>
              <w:rPr>
                <w:rFonts w:cs="Times New Roman"/>
                <w:szCs w:val="24"/>
                <w:lang w:val="bg-BG"/>
              </w:rPr>
            </w:pPr>
            <w:proofErr w:type="spellStart"/>
            <w:r w:rsidRPr="006F3533">
              <w:rPr>
                <w:rFonts w:cs="Times New Roman"/>
                <w:szCs w:val="24"/>
                <w:lang w:val="bg-BG"/>
              </w:rPr>
              <w:t>Non-residential</w:t>
            </w:r>
            <w:proofErr w:type="spellEnd"/>
          </w:p>
          <w:p w14:paraId="61E44801" w14:textId="77777777" w:rsidR="00A944AB" w:rsidRPr="006F3533" w:rsidRDefault="00A944AB" w:rsidP="00077D42">
            <w:pPr>
              <w:jc w:val="both"/>
              <w:rPr>
                <w:rFonts w:cs="Times New Roman"/>
                <w:szCs w:val="24"/>
                <w:lang w:val="bg-BG"/>
              </w:rPr>
            </w:pPr>
            <w:r w:rsidRPr="006F3533">
              <w:rPr>
                <w:rFonts w:cs="Times New Roman"/>
                <w:color w:val="0070C0"/>
                <w:szCs w:val="24"/>
                <w:lang w:val="bg-BG"/>
              </w:rPr>
              <w:t>NR = (c) + (d) + (e) + (f) +(g) + (h) +(i)</w:t>
            </w:r>
          </w:p>
          <w:p w14:paraId="0DAB36E4" w14:textId="56D8D69B" w:rsidR="00A944AB" w:rsidRPr="006F3533" w:rsidRDefault="00A944AB" w:rsidP="00077D42">
            <w:pPr>
              <w:jc w:val="both"/>
              <w:rPr>
                <w:rFonts w:cs="Times New Roman"/>
                <w:szCs w:val="24"/>
                <w:lang w:val="bg-BG"/>
              </w:rPr>
            </w:pP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p>
        </w:tc>
        <w:tc>
          <w:tcPr>
            <w:tcW w:w="485" w:type="pct"/>
          </w:tcPr>
          <w:p w14:paraId="7C658B36"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M</w:t>
            </w:r>
          </w:p>
        </w:tc>
        <w:tc>
          <w:tcPr>
            <w:tcW w:w="591" w:type="pct"/>
          </w:tcPr>
          <w:p w14:paraId="5E9A9445" w14:textId="18111012" w:rsidR="00A944AB" w:rsidRPr="006F3533" w:rsidRDefault="008E5348" w:rsidP="00077D42">
            <w:pPr>
              <w:pStyle w:val="ListParagraph"/>
              <w:ind w:left="0"/>
              <w:jc w:val="both"/>
              <w:rPr>
                <w:rFonts w:cs="Times New Roman"/>
                <w:color w:val="0070C0"/>
                <w:szCs w:val="24"/>
                <w:lang w:val="bg-BG"/>
              </w:rPr>
            </w:pPr>
            <w:r w:rsidRPr="006F3533">
              <w:rPr>
                <w:rFonts w:cs="Times New Roman"/>
                <w:color w:val="0070C0"/>
                <w:szCs w:val="24"/>
                <w:lang w:val="bg-BG"/>
              </w:rPr>
              <w:t>1263.08</w:t>
            </w:r>
          </w:p>
        </w:tc>
        <w:tc>
          <w:tcPr>
            <w:tcW w:w="591" w:type="pct"/>
          </w:tcPr>
          <w:p w14:paraId="6B370C6E" w14:textId="1CEAEC64" w:rsidR="00A944AB" w:rsidRPr="006F3533" w:rsidRDefault="008E5348" w:rsidP="00077D42">
            <w:pPr>
              <w:pStyle w:val="ListParagraph"/>
              <w:ind w:left="0"/>
              <w:jc w:val="both"/>
              <w:rPr>
                <w:rFonts w:cs="Times New Roman"/>
                <w:color w:val="0070C0"/>
                <w:szCs w:val="24"/>
                <w:lang w:val="bg-BG"/>
              </w:rPr>
            </w:pPr>
            <w:r w:rsidRPr="006F3533">
              <w:rPr>
                <w:rFonts w:cs="Times New Roman"/>
                <w:color w:val="0070C0"/>
                <w:szCs w:val="24"/>
                <w:lang w:val="bg-BG"/>
              </w:rPr>
              <w:t>1</w:t>
            </w:r>
            <w:r w:rsidR="00DF044C" w:rsidRPr="006F3533">
              <w:rPr>
                <w:rFonts w:cs="Times New Roman"/>
                <w:color w:val="0070C0"/>
                <w:szCs w:val="24"/>
                <w:lang w:val="bg-BG"/>
              </w:rPr>
              <w:t>267</w:t>
            </w:r>
            <w:r w:rsidRPr="006F3533">
              <w:rPr>
                <w:rFonts w:cs="Times New Roman"/>
                <w:color w:val="0070C0"/>
                <w:szCs w:val="24"/>
                <w:lang w:val="bg-BG"/>
              </w:rPr>
              <w:t>.</w:t>
            </w:r>
            <w:r w:rsidR="00DF044C" w:rsidRPr="006F3533">
              <w:rPr>
                <w:rFonts w:cs="Times New Roman"/>
                <w:color w:val="0070C0"/>
                <w:szCs w:val="24"/>
                <w:lang w:val="bg-BG"/>
              </w:rPr>
              <w:t>79</w:t>
            </w:r>
          </w:p>
        </w:tc>
        <w:tc>
          <w:tcPr>
            <w:tcW w:w="625" w:type="pct"/>
          </w:tcPr>
          <w:p w14:paraId="39E4D158" w14:textId="36BA0C8B" w:rsidR="00A944AB" w:rsidRPr="006F3533" w:rsidRDefault="001F409A" w:rsidP="00077D42">
            <w:pPr>
              <w:pStyle w:val="ListParagraph"/>
              <w:ind w:left="0"/>
              <w:jc w:val="both"/>
              <w:rPr>
                <w:rFonts w:cs="Times New Roman"/>
                <w:color w:val="0070C0"/>
                <w:szCs w:val="24"/>
                <w:lang w:val="bg-BG"/>
              </w:rPr>
            </w:pPr>
            <w:r w:rsidRPr="006F3533">
              <w:rPr>
                <w:rFonts w:cs="Times New Roman"/>
                <w:color w:val="0070C0"/>
                <w:szCs w:val="24"/>
                <w:lang w:val="bg-BG"/>
              </w:rPr>
              <w:t>2371.09</w:t>
            </w:r>
          </w:p>
        </w:tc>
        <w:tc>
          <w:tcPr>
            <w:tcW w:w="625" w:type="pct"/>
          </w:tcPr>
          <w:p w14:paraId="1A4000B3" w14:textId="375A3CEB" w:rsidR="00A944AB" w:rsidRPr="006F3533" w:rsidRDefault="001F409A" w:rsidP="00077D42">
            <w:pPr>
              <w:pStyle w:val="ListParagraph"/>
              <w:ind w:left="0"/>
              <w:jc w:val="both"/>
              <w:rPr>
                <w:rFonts w:cs="Times New Roman"/>
                <w:color w:val="0070C0"/>
                <w:szCs w:val="24"/>
                <w:lang w:val="bg-BG"/>
              </w:rPr>
            </w:pPr>
            <w:r w:rsidRPr="006F3533">
              <w:rPr>
                <w:rFonts w:cs="Times New Roman"/>
                <w:color w:val="0070C0"/>
                <w:szCs w:val="24"/>
                <w:lang w:val="bg-BG"/>
              </w:rPr>
              <w:t>2</w:t>
            </w:r>
            <w:r w:rsidR="00DF044C" w:rsidRPr="006F3533">
              <w:rPr>
                <w:rFonts w:cs="Times New Roman"/>
                <w:color w:val="0070C0"/>
                <w:szCs w:val="24"/>
                <w:lang w:val="bg-BG"/>
              </w:rPr>
              <w:t>469</w:t>
            </w:r>
            <w:r w:rsidRPr="006F3533">
              <w:rPr>
                <w:rFonts w:cs="Times New Roman"/>
                <w:color w:val="0070C0"/>
                <w:szCs w:val="24"/>
                <w:lang w:val="bg-BG"/>
              </w:rPr>
              <w:t>.</w:t>
            </w:r>
            <w:r w:rsidR="00DF044C" w:rsidRPr="006F3533">
              <w:rPr>
                <w:rFonts w:cs="Times New Roman"/>
                <w:color w:val="0070C0"/>
                <w:szCs w:val="24"/>
                <w:lang w:val="bg-BG"/>
              </w:rPr>
              <w:t>00</w:t>
            </w:r>
          </w:p>
        </w:tc>
      </w:tr>
      <w:tr w:rsidR="00A944AB" w:rsidRPr="006F3533" w14:paraId="5E83F9B2" w14:textId="77777777" w:rsidTr="00552DC2">
        <w:trPr>
          <w:trHeight w:val="300"/>
        </w:trPr>
        <w:tc>
          <w:tcPr>
            <w:tcW w:w="417" w:type="pct"/>
          </w:tcPr>
          <w:p w14:paraId="6C40C7EE"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T</w:t>
            </w:r>
          </w:p>
        </w:tc>
        <w:tc>
          <w:tcPr>
            <w:tcW w:w="1667" w:type="pct"/>
          </w:tcPr>
          <w:p w14:paraId="0C42DAC4"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Total</w:t>
            </w:r>
          </w:p>
          <w:p w14:paraId="7BCF5ADB" w14:textId="77777777" w:rsidR="00A944AB" w:rsidRPr="006F3533" w:rsidRDefault="00A944AB" w:rsidP="00077D42">
            <w:pPr>
              <w:pStyle w:val="ListParagraph"/>
              <w:ind w:left="0"/>
              <w:jc w:val="both"/>
              <w:rPr>
                <w:rFonts w:cs="Times New Roman"/>
                <w:szCs w:val="24"/>
                <w:lang w:val="bg-BG"/>
              </w:rPr>
            </w:pPr>
            <w:r w:rsidRPr="006F3533">
              <w:rPr>
                <w:rFonts w:cs="Times New Roman"/>
                <w:color w:val="0070C0"/>
                <w:szCs w:val="24"/>
                <w:lang w:val="bg-BG"/>
              </w:rPr>
              <w:t>T=R + NR</w:t>
            </w:r>
          </w:p>
        </w:tc>
        <w:tc>
          <w:tcPr>
            <w:tcW w:w="485" w:type="pct"/>
          </w:tcPr>
          <w:p w14:paraId="5CDD729A" w14:textId="77777777" w:rsidR="00A944AB" w:rsidRPr="006F3533" w:rsidRDefault="00A944AB" w:rsidP="00077D42">
            <w:pPr>
              <w:pStyle w:val="ListParagraph"/>
              <w:ind w:left="0"/>
              <w:jc w:val="both"/>
              <w:rPr>
                <w:rFonts w:cs="Times New Roman"/>
                <w:szCs w:val="24"/>
                <w:lang w:val="bg-BG"/>
              </w:rPr>
            </w:pPr>
            <w:r w:rsidRPr="006F3533">
              <w:rPr>
                <w:rFonts w:cs="Times New Roman"/>
                <w:szCs w:val="24"/>
                <w:lang w:val="bg-BG"/>
              </w:rPr>
              <w:t>M</w:t>
            </w:r>
          </w:p>
        </w:tc>
        <w:tc>
          <w:tcPr>
            <w:tcW w:w="591" w:type="pct"/>
          </w:tcPr>
          <w:p w14:paraId="36825F47" w14:textId="77777777" w:rsidR="00A944AB" w:rsidRPr="006F3533" w:rsidRDefault="00A944AB" w:rsidP="00077D42">
            <w:pPr>
              <w:pStyle w:val="ListParagraph"/>
              <w:ind w:left="0"/>
              <w:jc w:val="both"/>
              <w:rPr>
                <w:rFonts w:cs="Times New Roman"/>
                <w:szCs w:val="24"/>
                <w:lang w:val="bg-BG"/>
              </w:rPr>
            </w:pPr>
          </w:p>
        </w:tc>
        <w:tc>
          <w:tcPr>
            <w:tcW w:w="591" w:type="pct"/>
          </w:tcPr>
          <w:p w14:paraId="428DFEC2" w14:textId="77777777" w:rsidR="00A944AB" w:rsidRPr="006F3533" w:rsidRDefault="00A944AB" w:rsidP="00077D42">
            <w:pPr>
              <w:pStyle w:val="ListParagraph"/>
              <w:ind w:left="0"/>
              <w:jc w:val="both"/>
              <w:rPr>
                <w:rFonts w:cs="Times New Roman"/>
                <w:szCs w:val="24"/>
                <w:lang w:val="bg-BG"/>
              </w:rPr>
            </w:pPr>
          </w:p>
        </w:tc>
        <w:tc>
          <w:tcPr>
            <w:tcW w:w="625" w:type="pct"/>
          </w:tcPr>
          <w:p w14:paraId="5C733BC1" w14:textId="77777777" w:rsidR="00A944AB" w:rsidRPr="006F3533" w:rsidRDefault="00A944AB" w:rsidP="00077D42">
            <w:pPr>
              <w:pStyle w:val="ListParagraph"/>
              <w:ind w:left="0"/>
              <w:jc w:val="both"/>
              <w:rPr>
                <w:rFonts w:cs="Times New Roman"/>
                <w:color w:val="0070C0"/>
                <w:szCs w:val="24"/>
                <w:lang w:val="bg-BG"/>
              </w:rPr>
            </w:pPr>
          </w:p>
        </w:tc>
        <w:tc>
          <w:tcPr>
            <w:tcW w:w="625" w:type="pct"/>
          </w:tcPr>
          <w:p w14:paraId="4BC84ECD" w14:textId="77777777" w:rsidR="00A944AB" w:rsidRPr="006F3533" w:rsidRDefault="00A944AB" w:rsidP="00077D42">
            <w:pPr>
              <w:pStyle w:val="ListParagraph"/>
              <w:ind w:left="0"/>
              <w:jc w:val="both"/>
              <w:rPr>
                <w:rFonts w:cs="Times New Roman"/>
                <w:color w:val="0070C0"/>
                <w:szCs w:val="24"/>
                <w:lang w:val="bg-BG"/>
              </w:rPr>
            </w:pPr>
          </w:p>
        </w:tc>
      </w:tr>
    </w:tbl>
    <w:p w14:paraId="2F0013D5" w14:textId="77777777" w:rsidR="00A634FE" w:rsidRPr="006F3533" w:rsidRDefault="00A634FE" w:rsidP="00077D42">
      <w:pPr>
        <w:pStyle w:val="NormalWeb"/>
        <w:jc w:val="both"/>
        <w:rPr>
          <w:rFonts w:ascii="Aptos" w:hAnsi="Aptos"/>
          <w:lang w:val="bg-BG"/>
        </w:rPr>
      </w:pPr>
      <w:r w:rsidRPr="006F3533">
        <w:rPr>
          <w:rFonts w:ascii="Aptos" w:hAnsi="Aptos"/>
          <w:lang w:val="bg-BG"/>
        </w:rPr>
        <w:t xml:space="preserve">Липсата на детайлна разбивка по типове нежилищни сгради е отчетена като </w:t>
      </w:r>
      <w:r w:rsidRPr="006F3533">
        <w:rPr>
          <w:rStyle w:val="Strong"/>
          <w:rFonts w:ascii="Aptos" w:hAnsi="Aptos"/>
          <w:b w:val="0"/>
          <w:bCs w:val="0"/>
          <w:lang w:val="bg-BG"/>
        </w:rPr>
        <w:t>структурен недостиг на данни</w:t>
      </w:r>
      <w:r w:rsidRPr="006F3533">
        <w:rPr>
          <w:rFonts w:ascii="Aptos" w:hAnsi="Aptos"/>
          <w:lang w:val="bg-BG"/>
        </w:rPr>
        <w:t>, който следва да бъде адресиран в бъдеще чрез:</w:t>
      </w:r>
    </w:p>
    <w:p w14:paraId="3105972A" w14:textId="77777777" w:rsidR="00A634FE" w:rsidRPr="006F3533" w:rsidRDefault="00A634FE">
      <w:pPr>
        <w:pStyle w:val="NormalWeb"/>
        <w:numPr>
          <w:ilvl w:val="0"/>
          <w:numId w:val="10"/>
        </w:numPr>
        <w:jc w:val="both"/>
        <w:rPr>
          <w:rFonts w:ascii="Aptos" w:hAnsi="Aptos"/>
          <w:lang w:val="bg-BG"/>
        </w:rPr>
      </w:pPr>
      <w:r w:rsidRPr="006F3533">
        <w:rPr>
          <w:rFonts w:ascii="Aptos" w:hAnsi="Aptos"/>
          <w:lang w:val="bg-BG"/>
        </w:rPr>
        <w:t>по-целенасочено използване на данните от енергийните сертификати;</w:t>
      </w:r>
    </w:p>
    <w:p w14:paraId="3E84F65B" w14:textId="77777777" w:rsidR="00A634FE" w:rsidRPr="006F3533" w:rsidRDefault="00A634FE">
      <w:pPr>
        <w:pStyle w:val="NormalWeb"/>
        <w:numPr>
          <w:ilvl w:val="0"/>
          <w:numId w:val="10"/>
        </w:numPr>
        <w:jc w:val="both"/>
        <w:rPr>
          <w:rFonts w:ascii="Aptos" w:hAnsi="Aptos"/>
          <w:lang w:val="bg-BG"/>
        </w:rPr>
      </w:pPr>
      <w:r w:rsidRPr="006F3533">
        <w:rPr>
          <w:rFonts w:ascii="Aptos" w:hAnsi="Aptos"/>
          <w:lang w:val="bg-BG"/>
        </w:rPr>
        <w:t>развитие на аналитичните функции на националните регистри;</w:t>
      </w:r>
    </w:p>
    <w:p w14:paraId="0DEBE192" w14:textId="7AACF095" w:rsidR="00A634FE" w:rsidRPr="006F3533" w:rsidRDefault="00A634FE">
      <w:pPr>
        <w:pStyle w:val="NormalWeb"/>
        <w:numPr>
          <w:ilvl w:val="0"/>
          <w:numId w:val="10"/>
        </w:numPr>
        <w:jc w:val="both"/>
        <w:rPr>
          <w:rFonts w:ascii="Aptos" w:hAnsi="Aptos"/>
          <w:lang w:val="bg-BG"/>
        </w:rPr>
      </w:pPr>
      <w:r w:rsidRPr="006F3533">
        <w:rPr>
          <w:rFonts w:ascii="Aptos" w:hAnsi="Aptos"/>
          <w:lang w:val="bg-BG"/>
        </w:rPr>
        <w:t xml:space="preserve">постепенно въвеждане на по-детайлен мониторинг в контекста на прилагането на </w:t>
      </w:r>
      <w:r w:rsidR="00950338" w:rsidRPr="006F3533">
        <w:rPr>
          <w:rFonts w:ascii="Aptos" w:hAnsi="Aptos"/>
          <w:lang w:val="bg-BG"/>
        </w:rPr>
        <w:t>МСЕХ</w:t>
      </w:r>
      <w:r w:rsidRPr="006F3533">
        <w:rPr>
          <w:rFonts w:ascii="Aptos" w:hAnsi="Aptos"/>
          <w:lang w:val="bg-BG"/>
        </w:rPr>
        <w:t xml:space="preserve"> и задълженията за публичните сгради.</w:t>
      </w:r>
    </w:p>
    <w:p w14:paraId="2D394FB8" w14:textId="77777777" w:rsidR="00A634FE" w:rsidRPr="006F3533" w:rsidRDefault="00A634FE" w:rsidP="00077D42">
      <w:pPr>
        <w:pStyle w:val="NormalWeb"/>
        <w:jc w:val="both"/>
        <w:rPr>
          <w:rFonts w:ascii="Aptos" w:hAnsi="Aptos"/>
          <w:lang w:val="bg-BG"/>
        </w:rPr>
      </w:pPr>
      <w:r w:rsidRPr="006F3533">
        <w:rPr>
          <w:rFonts w:ascii="Aptos" w:hAnsi="Aptos"/>
          <w:lang w:val="bg-BG"/>
        </w:rPr>
        <w:t xml:space="preserve">До реализирането на такива подобрения, </w:t>
      </w:r>
      <w:proofErr w:type="spellStart"/>
      <w:r w:rsidRPr="006F3533">
        <w:rPr>
          <w:rStyle w:val="Strong"/>
          <w:rFonts w:ascii="Aptos" w:hAnsi="Aptos"/>
          <w:b w:val="0"/>
          <w:bCs w:val="0"/>
          <w:lang w:val="bg-BG"/>
        </w:rPr>
        <w:t>агрегираните</w:t>
      </w:r>
      <w:proofErr w:type="spellEnd"/>
      <w:r w:rsidRPr="006F3533">
        <w:rPr>
          <w:rStyle w:val="Strong"/>
          <w:rFonts w:ascii="Aptos" w:hAnsi="Aptos"/>
          <w:b w:val="0"/>
          <w:bCs w:val="0"/>
          <w:lang w:val="bg-BG"/>
        </w:rPr>
        <w:t xml:space="preserve"> данни</w:t>
      </w:r>
      <w:r w:rsidRPr="006F3533">
        <w:rPr>
          <w:rFonts w:ascii="Aptos" w:hAnsi="Aptos"/>
          <w:lang w:val="bg-BG"/>
        </w:rPr>
        <w:t>, представени в таблицата, се използват като официална референтна основа за целите на настоящия план и за последващото разработване на пътната карта и набора от политики и мерки.</w:t>
      </w:r>
    </w:p>
    <w:p w14:paraId="588ACA66" w14:textId="2B7D664F" w:rsidR="00CE02C5" w:rsidRPr="006F3533" w:rsidRDefault="00CE02C5" w:rsidP="00077D42">
      <w:pPr>
        <w:pStyle w:val="Heading2"/>
        <w:jc w:val="both"/>
        <w:rPr>
          <w:lang w:val="bg-BG"/>
        </w:rPr>
      </w:pPr>
      <w:bookmarkStart w:id="128" w:name="_Toc217888784"/>
      <w:r w:rsidRPr="006F3533">
        <w:rPr>
          <w:lang w:val="bg-BG"/>
        </w:rPr>
        <w:t>Първично и крайно потребление на енергия по вид крайно потребление (</w:t>
      </w:r>
      <w:proofErr w:type="spellStart"/>
      <w:r w:rsidRPr="006F3533">
        <w:rPr>
          <w:lang w:val="bg-BG"/>
        </w:rPr>
        <w:t>ktoe</w:t>
      </w:r>
      <w:proofErr w:type="spellEnd"/>
      <w:r w:rsidRPr="006F3533">
        <w:rPr>
          <w:lang w:val="bg-BG"/>
        </w:rPr>
        <w:t>)</w:t>
      </w:r>
      <w:bookmarkEnd w:id="128"/>
      <w:r w:rsidRPr="006F3533">
        <w:rPr>
          <w:lang w:val="bg-BG"/>
        </w:rPr>
        <w:t xml:space="preserve"> </w:t>
      </w:r>
    </w:p>
    <w:p w14:paraId="6C6CFE95" w14:textId="178DCA66" w:rsidR="00665E9E" w:rsidRPr="006F3533" w:rsidRDefault="00CE02C5" w:rsidP="00077D42">
      <w:pPr>
        <w:spacing w:line="240" w:lineRule="auto"/>
        <w:jc w:val="both"/>
        <w:rPr>
          <w:rFonts w:eastAsia="Times New Roman" w:cs="Times New Roman"/>
          <w:szCs w:val="24"/>
          <w:lang w:val="bg-BG"/>
        </w:rPr>
      </w:pPr>
      <w:r w:rsidRPr="006F3533">
        <w:rPr>
          <w:rFonts w:eastAsia="Times New Roman" w:cs="Times New Roman"/>
          <w:szCs w:val="24"/>
          <w:lang w:val="bg-BG"/>
        </w:rPr>
        <w:t>Този раздел представя крайното и първичното потребление на енергия в сградния сектор</w:t>
      </w:r>
      <w:r w:rsidR="00F81030" w:rsidRPr="006F3533">
        <w:rPr>
          <w:rFonts w:eastAsia="Times New Roman" w:cs="Times New Roman"/>
          <w:szCs w:val="24"/>
          <w:lang w:val="bg-BG"/>
        </w:rPr>
        <w:t xml:space="preserve"> за 2023 г.</w:t>
      </w:r>
      <w:r w:rsidRPr="006F3533">
        <w:rPr>
          <w:rFonts w:eastAsia="Times New Roman" w:cs="Times New Roman"/>
          <w:szCs w:val="24"/>
          <w:lang w:val="bg-BG"/>
        </w:rPr>
        <w:t xml:space="preserve">, разграничено по вида на крайното потребление. Стойностите за нежилищните сгради са получени по аналитичен път, тъй като не съществува официален статистически източник на такава информация за този сектор. В Енергийните баланси на НСИ е публикувана сходна информация единствено за </w:t>
      </w:r>
      <w:r w:rsidR="00665E9E" w:rsidRPr="006F3533">
        <w:rPr>
          <w:rFonts w:eastAsia="Times New Roman" w:cs="Times New Roman"/>
          <w:szCs w:val="24"/>
          <w:lang w:val="bg-BG"/>
        </w:rPr>
        <w:t>сектор</w:t>
      </w:r>
      <w:r w:rsidRPr="006F3533">
        <w:rPr>
          <w:rFonts w:eastAsia="Times New Roman" w:cs="Times New Roman"/>
          <w:szCs w:val="24"/>
          <w:lang w:val="bg-BG"/>
        </w:rPr>
        <w:t xml:space="preserve"> „Домакинства“, но не и за сектор „Търговия и</w:t>
      </w:r>
      <w:r w:rsidR="00665E9E" w:rsidRPr="006F3533">
        <w:rPr>
          <w:rFonts w:eastAsia="Times New Roman" w:cs="Times New Roman"/>
          <w:szCs w:val="24"/>
          <w:lang w:val="bg-BG"/>
        </w:rPr>
        <w:t xml:space="preserve"> услуги“. </w:t>
      </w:r>
      <w:r w:rsidR="00F81030" w:rsidRPr="006F3533">
        <w:rPr>
          <w:rFonts w:eastAsia="Times New Roman" w:cs="Times New Roman"/>
          <w:szCs w:val="24"/>
          <w:lang w:val="bg-BG"/>
        </w:rPr>
        <w:t>За изчисленията са използвани данни от Националната база данни за енергийните характеристики на сградите на АУЕР, където се съдържа информация за разпределението на потреблението на енергия по различните видове крайни нужди за всяка една въведена сграда. Първоизточникът на данните са извършените обследвания за енергийна ефективност на сградите и издадените в съответствие с тях сертификати за енергийните характеристики. За всички налични нежилищни сгради въведени в базата данни е изчислено процентното разпределение на крайното потребление на енергия за различните видове крайни нужди. Така определените процентни стойности са умножени по общото крайно потребление на енергия и по общото първично потребление на енергия за 2023 г., които са представени по-горе в Таблица 8 и са взети от официалната статистика на НСИ. Получените резултатни стойности са представени в Таблица 9.</w:t>
      </w:r>
    </w:p>
    <w:p w14:paraId="278B09C9" w14:textId="5770F1F9" w:rsidR="00F81030" w:rsidRPr="006F3533" w:rsidRDefault="00F81030" w:rsidP="00077D42">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w:t>
      </w:r>
      <w:r w:rsidR="00192EAA" w:rsidRPr="006F3533">
        <w:rPr>
          <w:rFonts w:cs="Times New Roman"/>
          <w:i/>
          <w:iCs/>
          <w:color w:val="0070C0"/>
          <w:szCs w:val="24"/>
          <w:lang w:val="bg-BG"/>
        </w:rPr>
        <w:t>9</w:t>
      </w:r>
      <w:r w:rsidRPr="006F3533">
        <w:rPr>
          <w:rFonts w:cs="Times New Roman"/>
          <w:i/>
          <w:iCs/>
          <w:color w:val="0070C0"/>
          <w:szCs w:val="24"/>
          <w:lang w:val="bg-BG"/>
        </w:rPr>
        <w:t xml:space="preserve">. Първично и крайно потребление на </w:t>
      </w:r>
      <w:r w:rsidR="00192EAA" w:rsidRPr="006F3533">
        <w:rPr>
          <w:rFonts w:cs="Times New Roman"/>
          <w:i/>
          <w:iCs/>
          <w:color w:val="0070C0"/>
          <w:szCs w:val="24"/>
          <w:lang w:val="bg-BG"/>
        </w:rPr>
        <w:t xml:space="preserve">е енергия в </w:t>
      </w:r>
      <w:r w:rsidRPr="006F3533">
        <w:rPr>
          <w:rFonts w:cs="Times New Roman"/>
          <w:i/>
          <w:iCs/>
          <w:color w:val="0070C0"/>
          <w:szCs w:val="24"/>
          <w:lang w:val="bg-BG"/>
        </w:rPr>
        <w:t>сградите по видове крайно потребление за 2023 г. (</w:t>
      </w:r>
      <w:proofErr w:type="spellStart"/>
      <w:r w:rsidRPr="006F3533">
        <w:rPr>
          <w:rFonts w:cs="Times New Roman"/>
          <w:i/>
          <w:iCs/>
          <w:color w:val="0070C0"/>
          <w:szCs w:val="24"/>
          <w:lang w:val="bg-BG"/>
        </w:rPr>
        <w:t>ktoe</w:t>
      </w:r>
      <w:proofErr w:type="spellEnd"/>
      <w:r w:rsidRPr="006F3533">
        <w:rPr>
          <w:rFonts w:cs="Times New Roman"/>
          <w:i/>
          <w:iCs/>
          <w:color w:val="0070C0"/>
          <w:szCs w:val="24"/>
          <w:lang w:val="bg-BG"/>
        </w:rPr>
        <w:t>)</w:t>
      </w:r>
    </w:p>
    <w:tbl>
      <w:tblPr>
        <w:tblStyle w:val="TableGrid"/>
        <w:tblW w:w="5000" w:type="pct"/>
        <w:tblLook w:val="04A0" w:firstRow="1" w:lastRow="0" w:firstColumn="1" w:lastColumn="0" w:noHBand="0" w:noVBand="1"/>
      </w:tblPr>
      <w:tblGrid>
        <w:gridCol w:w="2488"/>
        <w:gridCol w:w="1671"/>
        <w:gridCol w:w="1635"/>
        <w:gridCol w:w="1635"/>
        <w:gridCol w:w="1633"/>
      </w:tblGrid>
      <w:tr w:rsidR="008E5348" w:rsidRPr="006F3533" w14:paraId="51026D60" w14:textId="77777777" w:rsidTr="00552DC2">
        <w:tc>
          <w:tcPr>
            <w:tcW w:w="1373" w:type="pct"/>
            <w:vMerge w:val="restart"/>
            <w:shd w:val="clear" w:color="auto" w:fill="D9D9D9" w:themeFill="background1" w:themeFillShade="D9"/>
          </w:tcPr>
          <w:p w14:paraId="0D124145" w14:textId="2787DB1D"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lastRenderedPageBreak/>
              <w:t>End</w:t>
            </w:r>
            <w:proofErr w:type="spellEnd"/>
            <w:r w:rsidRPr="006F3533">
              <w:rPr>
                <w:rFonts w:cs="Times New Roman"/>
                <w:szCs w:val="24"/>
                <w:lang w:val="bg-BG"/>
              </w:rPr>
              <w:t xml:space="preserve"> </w:t>
            </w:r>
            <w:proofErr w:type="spellStart"/>
            <w:r w:rsidRPr="006F3533">
              <w:rPr>
                <w:rFonts w:cs="Times New Roman"/>
                <w:szCs w:val="24"/>
                <w:lang w:val="bg-BG"/>
              </w:rPr>
              <w:t>use</w:t>
            </w:r>
            <w:proofErr w:type="spellEnd"/>
          </w:p>
        </w:tc>
        <w:tc>
          <w:tcPr>
            <w:tcW w:w="1823" w:type="pct"/>
            <w:gridSpan w:val="2"/>
            <w:shd w:val="clear" w:color="auto" w:fill="D9D9D9" w:themeFill="background1" w:themeFillShade="D9"/>
          </w:tcPr>
          <w:p w14:paraId="1900E02C" w14:textId="52D80376"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Residential</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tc>
        <w:tc>
          <w:tcPr>
            <w:tcW w:w="1803" w:type="pct"/>
            <w:gridSpan w:val="2"/>
            <w:shd w:val="clear" w:color="auto" w:fill="D9D9D9" w:themeFill="background1" w:themeFillShade="D9"/>
          </w:tcPr>
          <w:p w14:paraId="37E7C1CB" w14:textId="3778199E"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Non-residential</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tc>
      </w:tr>
      <w:tr w:rsidR="008E5348" w:rsidRPr="006F3533" w14:paraId="0309E7FB" w14:textId="12300EF5" w:rsidTr="00552DC2">
        <w:tc>
          <w:tcPr>
            <w:tcW w:w="1373" w:type="pct"/>
            <w:vMerge/>
            <w:shd w:val="clear" w:color="auto" w:fill="D9D9D9" w:themeFill="background1" w:themeFillShade="D9"/>
          </w:tcPr>
          <w:p w14:paraId="27888046" w14:textId="336E3F87" w:rsidR="008E5348" w:rsidRPr="006F3533" w:rsidRDefault="008E5348" w:rsidP="00077D42">
            <w:pPr>
              <w:pStyle w:val="ListParagraph"/>
              <w:ind w:left="0"/>
              <w:jc w:val="both"/>
              <w:rPr>
                <w:rFonts w:cs="Times New Roman"/>
                <w:szCs w:val="24"/>
                <w:lang w:val="bg-BG"/>
              </w:rPr>
            </w:pPr>
          </w:p>
        </w:tc>
        <w:tc>
          <w:tcPr>
            <w:tcW w:w="922" w:type="pct"/>
            <w:shd w:val="clear" w:color="auto" w:fill="D9D9D9" w:themeFill="background1" w:themeFillShade="D9"/>
          </w:tcPr>
          <w:p w14:paraId="4AE99963" w14:textId="57B1CF11"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Primary</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2023</w:t>
            </w:r>
          </w:p>
          <w:p w14:paraId="360C3313" w14:textId="003BCD24"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ktoe</w:t>
            </w:r>
            <w:proofErr w:type="spellEnd"/>
          </w:p>
        </w:tc>
        <w:tc>
          <w:tcPr>
            <w:tcW w:w="902" w:type="pct"/>
            <w:shd w:val="clear" w:color="auto" w:fill="D9D9D9" w:themeFill="background1" w:themeFillShade="D9"/>
          </w:tcPr>
          <w:p w14:paraId="22AE0D19" w14:textId="52922CAF"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Final</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2023</w:t>
            </w:r>
          </w:p>
          <w:p w14:paraId="0D101F12" w14:textId="0A3949FB"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ktoe</w:t>
            </w:r>
            <w:proofErr w:type="spellEnd"/>
          </w:p>
        </w:tc>
        <w:tc>
          <w:tcPr>
            <w:tcW w:w="902" w:type="pct"/>
            <w:shd w:val="clear" w:color="auto" w:fill="D9D9D9" w:themeFill="background1" w:themeFillShade="D9"/>
          </w:tcPr>
          <w:p w14:paraId="565D4091" w14:textId="77777777"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Primary</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2023</w:t>
            </w:r>
          </w:p>
          <w:p w14:paraId="58BA7F48" w14:textId="5282EF43"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ktoe</w:t>
            </w:r>
            <w:proofErr w:type="spellEnd"/>
          </w:p>
        </w:tc>
        <w:tc>
          <w:tcPr>
            <w:tcW w:w="901" w:type="pct"/>
            <w:shd w:val="clear" w:color="auto" w:fill="D9D9D9" w:themeFill="background1" w:themeFillShade="D9"/>
          </w:tcPr>
          <w:p w14:paraId="0421CF76" w14:textId="77777777"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Final</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2023</w:t>
            </w:r>
          </w:p>
          <w:p w14:paraId="05B1C26E" w14:textId="2020877C" w:rsidR="008E5348" w:rsidRPr="006F3533" w:rsidRDefault="008E5348" w:rsidP="00077D42">
            <w:pPr>
              <w:pStyle w:val="ListParagraph"/>
              <w:ind w:left="0"/>
              <w:jc w:val="both"/>
              <w:rPr>
                <w:rFonts w:cs="Times New Roman"/>
                <w:szCs w:val="24"/>
                <w:lang w:val="bg-BG"/>
              </w:rPr>
            </w:pPr>
            <w:proofErr w:type="spellStart"/>
            <w:r w:rsidRPr="006F3533">
              <w:rPr>
                <w:rFonts w:cs="Times New Roman"/>
                <w:szCs w:val="24"/>
                <w:lang w:val="bg-BG"/>
              </w:rPr>
              <w:t>ktoe</w:t>
            </w:r>
            <w:proofErr w:type="spellEnd"/>
          </w:p>
        </w:tc>
      </w:tr>
      <w:tr w:rsidR="00E57A13" w:rsidRPr="006F3533" w14:paraId="17BB1B4E" w14:textId="0F7C9E33" w:rsidTr="00552DC2">
        <w:tc>
          <w:tcPr>
            <w:tcW w:w="1373" w:type="pct"/>
          </w:tcPr>
          <w:p w14:paraId="2E154421" w14:textId="04293949" w:rsidR="00E57A13" w:rsidRPr="006F3533" w:rsidRDefault="00E57A13" w:rsidP="00077D42">
            <w:pPr>
              <w:pStyle w:val="ListParagraph"/>
              <w:ind w:left="0"/>
              <w:jc w:val="both"/>
              <w:rPr>
                <w:rFonts w:cs="Times New Roman"/>
                <w:szCs w:val="24"/>
                <w:lang w:val="bg-BG"/>
              </w:rPr>
            </w:pPr>
            <w:bookmarkStart w:id="129" w:name="_Hlk213848397"/>
            <w:proofErr w:type="spellStart"/>
            <w:r w:rsidRPr="006F3533">
              <w:rPr>
                <w:rFonts w:cs="Times New Roman"/>
                <w:szCs w:val="24"/>
                <w:lang w:val="bg-BG"/>
              </w:rPr>
              <w:t>Space</w:t>
            </w:r>
            <w:proofErr w:type="spellEnd"/>
            <w:r w:rsidRPr="006F3533">
              <w:rPr>
                <w:rFonts w:cs="Times New Roman"/>
                <w:szCs w:val="24"/>
                <w:lang w:val="bg-BG"/>
              </w:rPr>
              <w:t xml:space="preserve"> </w:t>
            </w:r>
            <w:proofErr w:type="spellStart"/>
            <w:r w:rsidRPr="006F3533">
              <w:rPr>
                <w:rFonts w:cs="Times New Roman"/>
                <w:szCs w:val="24"/>
                <w:lang w:val="bg-BG"/>
              </w:rPr>
              <w:t>heating</w:t>
            </w:r>
            <w:proofErr w:type="spellEnd"/>
          </w:p>
        </w:tc>
        <w:tc>
          <w:tcPr>
            <w:tcW w:w="922" w:type="pct"/>
          </w:tcPr>
          <w:p w14:paraId="00E36576" w14:textId="77777777" w:rsidR="00E57A13" w:rsidRPr="006F3533" w:rsidRDefault="00E57A13" w:rsidP="00077D42">
            <w:pPr>
              <w:pStyle w:val="ListParagraph"/>
              <w:ind w:left="0"/>
              <w:jc w:val="both"/>
              <w:rPr>
                <w:rFonts w:cs="Times New Roman"/>
                <w:szCs w:val="24"/>
                <w:lang w:val="bg-BG"/>
              </w:rPr>
            </w:pPr>
          </w:p>
        </w:tc>
        <w:tc>
          <w:tcPr>
            <w:tcW w:w="902" w:type="pct"/>
          </w:tcPr>
          <w:p w14:paraId="2EB7FE37" w14:textId="0510E389" w:rsidR="00E57A13" w:rsidRPr="006F3533" w:rsidRDefault="00E57A13" w:rsidP="00077D42">
            <w:pPr>
              <w:pStyle w:val="ListParagraph"/>
              <w:ind w:left="0"/>
              <w:jc w:val="both"/>
              <w:rPr>
                <w:rFonts w:cs="Times New Roman"/>
                <w:szCs w:val="24"/>
                <w:lang w:val="bg-BG"/>
              </w:rPr>
            </w:pPr>
          </w:p>
        </w:tc>
        <w:tc>
          <w:tcPr>
            <w:tcW w:w="902" w:type="pct"/>
          </w:tcPr>
          <w:p w14:paraId="3ACDD2C2" w14:textId="30F8FC35"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1353,85</w:t>
            </w:r>
          </w:p>
        </w:tc>
        <w:tc>
          <w:tcPr>
            <w:tcW w:w="901" w:type="pct"/>
          </w:tcPr>
          <w:p w14:paraId="051B3A37" w14:textId="7308F171"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721.37</w:t>
            </w:r>
          </w:p>
        </w:tc>
      </w:tr>
      <w:tr w:rsidR="00E57A13" w:rsidRPr="006F3533" w14:paraId="006FE16A" w14:textId="00950C60" w:rsidTr="00552DC2">
        <w:tc>
          <w:tcPr>
            <w:tcW w:w="1373" w:type="pct"/>
          </w:tcPr>
          <w:p w14:paraId="00133F54" w14:textId="56D06B98" w:rsidR="00E57A13" w:rsidRPr="006F3533" w:rsidRDefault="00E57A13" w:rsidP="00077D42">
            <w:pPr>
              <w:pStyle w:val="ListParagraph"/>
              <w:ind w:left="0"/>
              <w:jc w:val="both"/>
              <w:rPr>
                <w:rFonts w:cs="Times New Roman"/>
                <w:szCs w:val="24"/>
                <w:lang w:val="bg-BG"/>
              </w:rPr>
            </w:pPr>
            <w:proofErr w:type="spellStart"/>
            <w:r w:rsidRPr="006F3533">
              <w:rPr>
                <w:rFonts w:cs="Times New Roman"/>
                <w:szCs w:val="24"/>
                <w:lang w:val="bg-BG"/>
              </w:rPr>
              <w:t>Space</w:t>
            </w:r>
            <w:proofErr w:type="spellEnd"/>
            <w:r w:rsidRPr="006F3533">
              <w:rPr>
                <w:rFonts w:cs="Times New Roman"/>
                <w:szCs w:val="24"/>
                <w:lang w:val="bg-BG"/>
              </w:rPr>
              <w:t xml:space="preserve"> </w:t>
            </w:r>
            <w:proofErr w:type="spellStart"/>
            <w:r w:rsidRPr="006F3533">
              <w:rPr>
                <w:rFonts w:cs="Times New Roman"/>
                <w:szCs w:val="24"/>
                <w:lang w:val="bg-BG"/>
              </w:rPr>
              <w:t>cooling</w:t>
            </w:r>
            <w:proofErr w:type="spellEnd"/>
          </w:p>
        </w:tc>
        <w:tc>
          <w:tcPr>
            <w:tcW w:w="922" w:type="pct"/>
          </w:tcPr>
          <w:p w14:paraId="7D7131A2" w14:textId="77777777" w:rsidR="00E57A13" w:rsidRPr="006F3533" w:rsidRDefault="00E57A13" w:rsidP="00077D42">
            <w:pPr>
              <w:pStyle w:val="ListParagraph"/>
              <w:ind w:left="0"/>
              <w:jc w:val="both"/>
              <w:rPr>
                <w:rFonts w:cs="Times New Roman"/>
                <w:szCs w:val="24"/>
                <w:lang w:val="bg-BG"/>
              </w:rPr>
            </w:pPr>
          </w:p>
        </w:tc>
        <w:tc>
          <w:tcPr>
            <w:tcW w:w="902" w:type="pct"/>
          </w:tcPr>
          <w:p w14:paraId="7A8A15ED" w14:textId="73F5A3B5" w:rsidR="00E57A13" w:rsidRPr="006F3533" w:rsidRDefault="00E57A13" w:rsidP="00077D42">
            <w:pPr>
              <w:pStyle w:val="ListParagraph"/>
              <w:ind w:left="0"/>
              <w:jc w:val="both"/>
              <w:rPr>
                <w:rFonts w:cs="Times New Roman"/>
                <w:szCs w:val="24"/>
                <w:lang w:val="bg-BG"/>
              </w:rPr>
            </w:pPr>
          </w:p>
        </w:tc>
        <w:tc>
          <w:tcPr>
            <w:tcW w:w="902" w:type="pct"/>
          </w:tcPr>
          <w:p w14:paraId="710881C9" w14:textId="50A06D05"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324,24</w:t>
            </w:r>
          </w:p>
        </w:tc>
        <w:tc>
          <w:tcPr>
            <w:tcW w:w="901" w:type="pct"/>
          </w:tcPr>
          <w:p w14:paraId="6E67DDBA" w14:textId="1DF8C2AD"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172.76</w:t>
            </w:r>
          </w:p>
        </w:tc>
      </w:tr>
      <w:tr w:rsidR="00E57A13" w:rsidRPr="006F3533" w14:paraId="4461B03B" w14:textId="21B2088E" w:rsidTr="00552DC2">
        <w:tc>
          <w:tcPr>
            <w:tcW w:w="1373" w:type="pct"/>
          </w:tcPr>
          <w:p w14:paraId="5F2760B2" w14:textId="4B629466" w:rsidR="00E57A13" w:rsidRPr="006F3533" w:rsidRDefault="00E57A13" w:rsidP="00077D42">
            <w:pPr>
              <w:pStyle w:val="ListParagraph"/>
              <w:ind w:left="0"/>
              <w:jc w:val="both"/>
              <w:rPr>
                <w:rFonts w:cs="Times New Roman"/>
                <w:szCs w:val="24"/>
                <w:lang w:val="bg-BG"/>
              </w:rPr>
            </w:pPr>
            <w:proofErr w:type="spellStart"/>
            <w:r w:rsidRPr="006F3533">
              <w:rPr>
                <w:rFonts w:cs="Times New Roman"/>
                <w:szCs w:val="24"/>
                <w:lang w:val="bg-BG"/>
              </w:rPr>
              <w:t>Domestic</w:t>
            </w:r>
            <w:proofErr w:type="spellEnd"/>
            <w:r w:rsidRPr="006F3533">
              <w:rPr>
                <w:rFonts w:cs="Times New Roman"/>
                <w:szCs w:val="24"/>
                <w:lang w:val="bg-BG"/>
              </w:rPr>
              <w:t xml:space="preserve"> </w:t>
            </w:r>
            <w:proofErr w:type="spellStart"/>
            <w:r w:rsidRPr="006F3533">
              <w:rPr>
                <w:rFonts w:cs="Times New Roman"/>
                <w:szCs w:val="24"/>
                <w:lang w:val="bg-BG"/>
              </w:rPr>
              <w:t>hot</w:t>
            </w:r>
            <w:proofErr w:type="spellEnd"/>
            <w:r w:rsidRPr="006F3533">
              <w:rPr>
                <w:rFonts w:cs="Times New Roman"/>
                <w:szCs w:val="24"/>
                <w:lang w:val="bg-BG"/>
              </w:rPr>
              <w:t xml:space="preserve"> </w:t>
            </w:r>
            <w:proofErr w:type="spellStart"/>
            <w:r w:rsidRPr="006F3533">
              <w:rPr>
                <w:rFonts w:cs="Times New Roman"/>
                <w:szCs w:val="24"/>
                <w:lang w:val="bg-BG"/>
              </w:rPr>
              <w:t>water</w:t>
            </w:r>
            <w:proofErr w:type="spellEnd"/>
          </w:p>
        </w:tc>
        <w:tc>
          <w:tcPr>
            <w:tcW w:w="922" w:type="pct"/>
          </w:tcPr>
          <w:p w14:paraId="04B5678F" w14:textId="77777777" w:rsidR="00E57A13" w:rsidRPr="006F3533" w:rsidRDefault="00E57A13" w:rsidP="00077D42">
            <w:pPr>
              <w:pStyle w:val="ListParagraph"/>
              <w:ind w:left="0"/>
              <w:jc w:val="both"/>
              <w:rPr>
                <w:rFonts w:cs="Times New Roman"/>
                <w:szCs w:val="24"/>
                <w:lang w:val="bg-BG"/>
              </w:rPr>
            </w:pPr>
          </w:p>
        </w:tc>
        <w:tc>
          <w:tcPr>
            <w:tcW w:w="902" w:type="pct"/>
          </w:tcPr>
          <w:p w14:paraId="3E527E30" w14:textId="319645A6" w:rsidR="00E57A13" w:rsidRPr="006F3533" w:rsidRDefault="00E57A13" w:rsidP="00077D42">
            <w:pPr>
              <w:pStyle w:val="ListParagraph"/>
              <w:ind w:left="0"/>
              <w:jc w:val="both"/>
              <w:rPr>
                <w:rFonts w:cs="Times New Roman"/>
                <w:szCs w:val="24"/>
                <w:lang w:val="bg-BG"/>
              </w:rPr>
            </w:pPr>
          </w:p>
        </w:tc>
        <w:tc>
          <w:tcPr>
            <w:tcW w:w="902" w:type="pct"/>
          </w:tcPr>
          <w:p w14:paraId="45FEFD49" w14:textId="071B331C"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136,19</w:t>
            </w:r>
          </w:p>
        </w:tc>
        <w:tc>
          <w:tcPr>
            <w:tcW w:w="901" w:type="pct"/>
          </w:tcPr>
          <w:p w14:paraId="6247C138" w14:textId="262B9D1F"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72.56</w:t>
            </w:r>
          </w:p>
        </w:tc>
      </w:tr>
      <w:tr w:rsidR="00E57A13" w:rsidRPr="006F3533" w14:paraId="067C43BF" w14:textId="75CC6A2A" w:rsidTr="00552DC2">
        <w:tc>
          <w:tcPr>
            <w:tcW w:w="1373" w:type="pct"/>
          </w:tcPr>
          <w:p w14:paraId="36E67B2A" w14:textId="559360F0" w:rsidR="00E57A13" w:rsidRPr="006F3533" w:rsidRDefault="00E57A13" w:rsidP="00077D42">
            <w:pPr>
              <w:pStyle w:val="ListParagraph"/>
              <w:ind w:left="0"/>
              <w:jc w:val="both"/>
              <w:rPr>
                <w:rFonts w:cs="Times New Roman"/>
                <w:szCs w:val="24"/>
                <w:lang w:val="bg-BG"/>
              </w:rPr>
            </w:pPr>
            <w:proofErr w:type="spellStart"/>
            <w:r w:rsidRPr="006F3533">
              <w:rPr>
                <w:rFonts w:cs="Times New Roman"/>
                <w:szCs w:val="24"/>
                <w:lang w:val="bg-BG"/>
              </w:rPr>
              <w:t>Ventilation</w:t>
            </w:r>
            <w:proofErr w:type="spellEnd"/>
          </w:p>
        </w:tc>
        <w:tc>
          <w:tcPr>
            <w:tcW w:w="922" w:type="pct"/>
          </w:tcPr>
          <w:p w14:paraId="430FC21D" w14:textId="77777777" w:rsidR="00E57A13" w:rsidRPr="006F3533" w:rsidRDefault="00E57A13" w:rsidP="00077D42">
            <w:pPr>
              <w:pStyle w:val="ListParagraph"/>
              <w:ind w:left="0"/>
              <w:jc w:val="both"/>
              <w:rPr>
                <w:rFonts w:cs="Times New Roman"/>
                <w:szCs w:val="24"/>
                <w:lang w:val="bg-BG"/>
              </w:rPr>
            </w:pPr>
          </w:p>
        </w:tc>
        <w:tc>
          <w:tcPr>
            <w:tcW w:w="902" w:type="pct"/>
          </w:tcPr>
          <w:p w14:paraId="4E96B3CB" w14:textId="6CFAC48C" w:rsidR="00E57A13" w:rsidRPr="006F3533" w:rsidRDefault="00E57A13" w:rsidP="00077D42">
            <w:pPr>
              <w:pStyle w:val="ListParagraph"/>
              <w:ind w:left="0"/>
              <w:jc w:val="both"/>
              <w:rPr>
                <w:rFonts w:cs="Times New Roman"/>
                <w:szCs w:val="24"/>
                <w:lang w:val="bg-BG"/>
              </w:rPr>
            </w:pPr>
          </w:p>
        </w:tc>
        <w:tc>
          <w:tcPr>
            <w:tcW w:w="902" w:type="pct"/>
          </w:tcPr>
          <w:p w14:paraId="3E11D1E2" w14:textId="2890CABF"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46,90</w:t>
            </w:r>
          </w:p>
        </w:tc>
        <w:tc>
          <w:tcPr>
            <w:tcW w:w="901" w:type="pct"/>
          </w:tcPr>
          <w:p w14:paraId="4CAD920F" w14:textId="54D7FCDC"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24.99</w:t>
            </w:r>
          </w:p>
        </w:tc>
      </w:tr>
      <w:tr w:rsidR="00E57A13" w:rsidRPr="006F3533" w14:paraId="31E8B8CD" w14:textId="39C923D0" w:rsidTr="00552DC2">
        <w:tc>
          <w:tcPr>
            <w:tcW w:w="1373" w:type="pct"/>
          </w:tcPr>
          <w:p w14:paraId="4D7695E3" w14:textId="0B5B75BD" w:rsidR="00E57A13" w:rsidRPr="006F3533" w:rsidRDefault="00E57A13" w:rsidP="00077D42">
            <w:pPr>
              <w:pStyle w:val="ListParagraph"/>
              <w:ind w:left="0"/>
              <w:jc w:val="both"/>
              <w:rPr>
                <w:rFonts w:cs="Times New Roman"/>
                <w:szCs w:val="24"/>
                <w:lang w:val="bg-BG"/>
              </w:rPr>
            </w:pPr>
            <w:proofErr w:type="spellStart"/>
            <w:r w:rsidRPr="006F3533">
              <w:rPr>
                <w:rFonts w:cs="Times New Roman"/>
                <w:szCs w:val="24"/>
                <w:lang w:val="bg-BG"/>
              </w:rPr>
              <w:t>Built-in</w:t>
            </w:r>
            <w:proofErr w:type="spellEnd"/>
            <w:r w:rsidRPr="006F3533">
              <w:rPr>
                <w:rFonts w:cs="Times New Roman"/>
                <w:szCs w:val="24"/>
                <w:lang w:val="bg-BG"/>
              </w:rPr>
              <w:t xml:space="preserve"> </w:t>
            </w:r>
            <w:proofErr w:type="spellStart"/>
            <w:r w:rsidRPr="006F3533">
              <w:rPr>
                <w:rFonts w:cs="Times New Roman"/>
                <w:szCs w:val="24"/>
                <w:lang w:val="bg-BG"/>
              </w:rPr>
              <w:t>Lighting</w:t>
            </w:r>
            <w:proofErr w:type="spellEnd"/>
          </w:p>
        </w:tc>
        <w:tc>
          <w:tcPr>
            <w:tcW w:w="922" w:type="pct"/>
          </w:tcPr>
          <w:p w14:paraId="596112B6" w14:textId="77777777" w:rsidR="00E57A13" w:rsidRPr="006F3533" w:rsidRDefault="00E57A13" w:rsidP="00077D42">
            <w:pPr>
              <w:pStyle w:val="ListParagraph"/>
              <w:ind w:left="0"/>
              <w:jc w:val="both"/>
              <w:rPr>
                <w:rFonts w:cs="Times New Roman"/>
                <w:szCs w:val="24"/>
                <w:lang w:val="bg-BG"/>
              </w:rPr>
            </w:pPr>
          </w:p>
        </w:tc>
        <w:tc>
          <w:tcPr>
            <w:tcW w:w="902" w:type="pct"/>
          </w:tcPr>
          <w:p w14:paraId="7C17A382" w14:textId="6B53277E" w:rsidR="00E57A13" w:rsidRPr="006F3533" w:rsidRDefault="00E57A13" w:rsidP="00077D42">
            <w:pPr>
              <w:pStyle w:val="ListParagraph"/>
              <w:ind w:left="0"/>
              <w:jc w:val="both"/>
              <w:rPr>
                <w:rFonts w:cs="Times New Roman"/>
                <w:szCs w:val="24"/>
                <w:lang w:val="bg-BG"/>
              </w:rPr>
            </w:pPr>
          </w:p>
        </w:tc>
        <w:tc>
          <w:tcPr>
            <w:tcW w:w="902" w:type="pct"/>
          </w:tcPr>
          <w:p w14:paraId="746FBEA6" w14:textId="11EADFEA"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337,21</w:t>
            </w:r>
          </w:p>
        </w:tc>
        <w:tc>
          <w:tcPr>
            <w:tcW w:w="901" w:type="pct"/>
          </w:tcPr>
          <w:p w14:paraId="7DF1C935" w14:textId="62752578"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179.67</w:t>
            </w:r>
          </w:p>
        </w:tc>
      </w:tr>
      <w:tr w:rsidR="00E57A13" w:rsidRPr="006F3533" w14:paraId="2323427F" w14:textId="3FC0ED77" w:rsidTr="00552DC2">
        <w:tc>
          <w:tcPr>
            <w:tcW w:w="1373" w:type="pct"/>
          </w:tcPr>
          <w:p w14:paraId="64AA2C5E" w14:textId="050DAA39" w:rsidR="00E57A13" w:rsidRPr="006F3533" w:rsidRDefault="00E57A13" w:rsidP="00077D42">
            <w:pPr>
              <w:pStyle w:val="ListParagraph"/>
              <w:ind w:left="0"/>
              <w:jc w:val="both"/>
              <w:rPr>
                <w:rFonts w:cs="Times New Roman"/>
                <w:szCs w:val="24"/>
                <w:lang w:val="bg-BG"/>
              </w:rPr>
            </w:pPr>
            <w:proofErr w:type="spellStart"/>
            <w:r w:rsidRPr="006F3533">
              <w:rPr>
                <w:rFonts w:cs="Times New Roman"/>
                <w:szCs w:val="24"/>
                <w:lang w:val="bg-BG"/>
              </w:rPr>
              <w:t>Other</w:t>
            </w:r>
            <w:proofErr w:type="spellEnd"/>
            <w:r w:rsidRPr="006F3533">
              <w:rPr>
                <w:rFonts w:cs="Times New Roman"/>
                <w:szCs w:val="24"/>
                <w:lang w:val="bg-BG"/>
              </w:rPr>
              <w:t xml:space="preserve"> </w:t>
            </w:r>
            <w:proofErr w:type="spellStart"/>
            <w:r w:rsidRPr="006F3533">
              <w:rPr>
                <w:rFonts w:cs="Times New Roman"/>
                <w:szCs w:val="24"/>
                <w:lang w:val="bg-BG"/>
              </w:rPr>
              <w:t>technical</w:t>
            </w:r>
            <w:proofErr w:type="spellEnd"/>
            <w:r w:rsidRPr="006F3533">
              <w:rPr>
                <w:rFonts w:cs="Times New Roman"/>
                <w:szCs w:val="24"/>
                <w:lang w:val="bg-BG"/>
              </w:rPr>
              <w:t xml:space="preserve"> </w:t>
            </w:r>
            <w:proofErr w:type="spellStart"/>
            <w:r w:rsidRPr="006F3533">
              <w:rPr>
                <w:rFonts w:cs="Times New Roman"/>
                <w:szCs w:val="24"/>
                <w:lang w:val="bg-BG"/>
              </w:rPr>
              <w:t>building</w:t>
            </w:r>
            <w:proofErr w:type="spellEnd"/>
            <w:r w:rsidRPr="006F3533">
              <w:rPr>
                <w:rFonts w:cs="Times New Roman"/>
                <w:szCs w:val="24"/>
                <w:lang w:val="bg-BG"/>
              </w:rPr>
              <w:t xml:space="preserve"> </w:t>
            </w:r>
            <w:proofErr w:type="spellStart"/>
            <w:r w:rsidRPr="006F3533">
              <w:rPr>
                <w:rFonts w:cs="Times New Roman"/>
                <w:szCs w:val="24"/>
                <w:lang w:val="bg-BG"/>
              </w:rPr>
              <w:t>systems</w:t>
            </w:r>
            <w:proofErr w:type="spellEnd"/>
          </w:p>
        </w:tc>
        <w:tc>
          <w:tcPr>
            <w:tcW w:w="922" w:type="pct"/>
          </w:tcPr>
          <w:p w14:paraId="6F750576" w14:textId="77777777" w:rsidR="00E57A13" w:rsidRPr="006F3533" w:rsidRDefault="00E57A13" w:rsidP="00077D42">
            <w:pPr>
              <w:pStyle w:val="ListParagraph"/>
              <w:ind w:left="0"/>
              <w:jc w:val="both"/>
              <w:rPr>
                <w:rFonts w:cs="Times New Roman"/>
                <w:szCs w:val="24"/>
                <w:lang w:val="bg-BG"/>
              </w:rPr>
            </w:pPr>
          </w:p>
        </w:tc>
        <w:tc>
          <w:tcPr>
            <w:tcW w:w="902" w:type="pct"/>
          </w:tcPr>
          <w:p w14:paraId="775F6E9C" w14:textId="701EF7B2" w:rsidR="00E57A13" w:rsidRPr="006F3533" w:rsidRDefault="00E57A13" w:rsidP="00077D42">
            <w:pPr>
              <w:pStyle w:val="ListParagraph"/>
              <w:ind w:left="0"/>
              <w:jc w:val="both"/>
              <w:rPr>
                <w:rFonts w:cs="Times New Roman"/>
                <w:szCs w:val="24"/>
                <w:lang w:val="bg-BG"/>
              </w:rPr>
            </w:pPr>
          </w:p>
        </w:tc>
        <w:tc>
          <w:tcPr>
            <w:tcW w:w="902" w:type="pct"/>
          </w:tcPr>
          <w:p w14:paraId="6762C7C5" w14:textId="6D8EFB58"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172,70</w:t>
            </w:r>
          </w:p>
        </w:tc>
        <w:tc>
          <w:tcPr>
            <w:tcW w:w="901" w:type="pct"/>
          </w:tcPr>
          <w:p w14:paraId="5396ACBA" w14:textId="7289B055"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92.02</w:t>
            </w:r>
          </w:p>
        </w:tc>
      </w:tr>
      <w:tr w:rsidR="00E57A13" w:rsidRPr="006F3533" w14:paraId="4916A91C" w14:textId="566D4571" w:rsidTr="00552DC2">
        <w:tc>
          <w:tcPr>
            <w:tcW w:w="1373" w:type="pct"/>
          </w:tcPr>
          <w:p w14:paraId="72B29B47" w14:textId="5F077B8D" w:rsidR="00E57A13" w:rsidRPr="006F3533" w:rsidRDefault="00E57A13" w:rsidP="00077D42">
            <w:pPr>
              <w:pStyle w:val="ListParagraph"/>
              <w:ind w:left="0"/>
              <w:jc w:val="both"/>
              <w:rPr>
                <w:rFonts w:cs="Times New Roman"/>
                <w:szCs w:val="24"/>
                <w:lang w:val="bg-BG"/>
              </w:rPr>
            </w:pPr>
            <w:r w:rsidRPr="006F3533">
              <w:rPr>
                <w:rFonts w:cs="Times New Roman"/>
                <w:szCs w:val="24"/>
                <w:lang w:val="bg-BG"/>
              </w:rPr>
              <w:t xml:space="preserve">Total </w:t>
            </w:r>
          </w:p>
        </w:tc>
        <w:tc>
          <w:tcPr>
            <w:tcW w:w="922" w:type="pct"/>
          </w:tcPr>
          <w:p w14:paraId="48FBD673" w14:textId="0E7A5848" w:rsidR="00E57A13" w:rsidRPr="006F3533" w:rsidRDefault="00E57A13" w:rsidP="00077D42">
            <w:pPr>
              <w:pStyle w:val="ListParagraph"/>
              <w:ind w:left="0"/>
              <w:jc w:val="both"/>
              <w:rPr>
                <w:rFonts w:cs="Times New Roman"/>
                <w:i/>
                <w:iCs/>
                <w:color w:val="0070C0"/>
                <w:szCs w:val="24"/>
                <w:lang w:val="bg-BG"/>
              </w:rPr>
            </w:pPr>
            <w:r w:rsidRPr="006F3533">
              <w:rPr>
                <w:rFonts w:cs="Times New Roman"/>
                <w:i/>
                <w:iCs/>
                <w:color w:val="0070C0"/>
                <w:szCs w:val="24"/>
                <w:lang w:val="bg-BG"/>
              </w:rPr>
              <w:t>[</w:t>
            </w:r>
            <w:proofErr w:type="spellStart"/>
            <w:r w:rsidRPr="006F3533">
              <w:rPr>
                <w:rFonts w:cs="Times New Roman"/>
                <w:i/>
                <w:iCs/>
                <w:color w:val="0070C0"/>
                <w:szCs w:val="24"/>
                <w:lang w:val="bg-BG"/>
              </w:rPr>
              <w:t>Should</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match</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preceding</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table</w:t>
            </w:r>
            <w:proofErr w:type="spellEnd"/>
            <w:r w:rsidRPr="006F3533">
              <w:rPr>
                <w:rFonts w:cs="Times New Roman"/>
                <w:i/>
                <w:iCs/>
                <w:color w:val="0070C0"/>
                <w:szCs w:val="24"/>
                <w:lang w:val="bg-BG"/>
              </w:rPr>
              <w:t>]</w:t>
            </w:r>
          </w:p>
        </w:tc>
        <w:tc>
          <w:tcPr>
            <w:tcW w:w="902" w:type="pct"/>
          </w:tcPr>
          <w:p w14:paraId="005EC3BC" w14:textId="0535B62A" w:rsidR="00E57A13" w:rsidRPr="006F3533" w:rsidRDefault="00E57A13" w:rsidP="00077D42">
            <w:pPr>
              <w:pStyle w:val="ListParagraph"/>
              <w:ind w:left="0"/>
              <w:jc w:val="both"/>
              <w:rPr>
                <w:rFonts w:cs="Times New Roman"/>
                <w:i/>
                <w:iCs/>
                <w:color w:val="0070C0"/>
                <w:szCs w:val="24"/>
                <w:lang w:val="bg-BG"/>
              </w:rPr>
            </w:pPr>
            <w:r w:rsidRPr="006F3533">
              <w:rPr>
                <w:rFonts w:cs="Times New Roman"/>
                <w:i/>
                <w:iCs/>
                <w:color w:val="0070C0"/>
                <w:szCs w:val="24"/>
                <w:lang w:val="bg-BG"/>
              </w:rPr>
              <w:t>[</w:t>
            </w:r>
            <w:proofErr w:type="spellStart"/>
            <w:r w:rsidRPr="006F3533">
              <w:rPr>
                <w:rFonts w:cs="Times New Roman"/>
                <w:i/>
                <w:iCs/>
                <w:color w:val="0070C0"/>
                <w:szCs w:val="24"/>
                <w:lang w:val="bg-BG"/>
              </w:rPr>
              <w:t>Should</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match</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preceding</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table</w:t>
            </w:r>
            <w:proofErr w:type="spellEnd"/>
            <w:r w:rsidRPr="006F3533">
              <w:rPr>
                <w:rFonts w:cs="Times New Roman"/>
                <w:i/>
                <w:iCs/>
                <w:color w:val="0070C0"/>
                <w:szCs w:val="24"/>
                <w:lang w:val="bg-BG"/>
              </w:rPr>
              <w:t>]</w:t>
            </w:r>
          </w:p>
        </w:tc>
        <w:tc>
          <w:tcPr>
            <w:tcW w:w="902" w:type="pct"/>
          </w:tcPr>
          <w:p w14:paraId="390DF324" w14:textId="2CDF140C" w:rsidR="00E57A13" w:rsidRPr="006F3533" w:rsidRDefault="00E57A13" w:rsidP="00077D42">
            <w:pPr>
              <w:pStyle w:val="ListParagraph"/>
              <w:ind w:left="0"/>
              <w:jc w:val="both"/>
              <w:rPr>
                <w:rFonts w:cs="Times New Roman"/>
                <w:i/>
                <w:iCs/>
                <w:color w:val="0070C0"/>
                <w:szCs w:val="24"/>
                <w:lang w:val="bg-BG"/>
              </w:rPr>
            </w:pPr>
            <w:r w:rsidRPr="006F3533">
              <w:rPr>
                <w:rFonts w:cs="Times New Roman"/>
                <w:szCs w:val="24"/>
                <w:lang w:val="bg-BG"/>
              </w:rPr>
              <w:t>2371.09</w:t>
            </w:r>
            <w:r w:rsidRPr="006F3533">
              <w:rPr>
                <w:rFonts w:cs="Times New Roman"/>
                <w:i/>
                <w:iCs/>
                <w:color w:val="0070C0"/>
                <w:szCs w:val="24"/>
                <w:lang w:val="bg-BG"/>
              </w:rPr>
              <w:br/>
              <w:t>[</w:t>
            </w:r>
            <w:proofErr w:type="spellStart"/>
            <w:r w:rsidRPr="006F3533">
              <w:rPr>
                <w:rFonts w:cs="Times New Roman"/>
                <w:i/>
                <w:iCs/>
                <w:color w:val="0070C0"/>
                <w:szCs w:val="24"/>
                <w:lang w:val="bg-BG"/>
              </w:rPr>
              <w:t>Should</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match</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preceding</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table</w:t>
            </w:r>
            <w:proofErr w:type="spellEnd"/>
            <w:r w:rsidRPr="006F3533">
              <w:rPr>
                <w:rFonts w:cs="Times New Roman"/>
                <w:i/>
                <w:iCs/>
                <w:color w:val="0070C0"/>
                <w:szCs w:val="24"/>
                <w:lang w:val="bg-BG"/>
              </w:rPr>
              <w:t>]</w:t>
            </w:r>
          </w:p>
        </w:tc>
        <w:tc>
          <w:tcPr>
            <w:tcW w:w="901" w:type="pct"/>
          </w:tcPr>
          <w:p w14:paraId="673585EA" w14:textId="403BBAB8" w:rsidR="00E57A13" w:rsidRPr="006F3533" w:rsidRDefault="00E57A13" w:rsidP="00077D42">
            <w:pPr>
              <w:pStyle w:val="ListParagraph"/>
              <w:ind w:left="0"/>
              <w:jc w:val="both"/>
              <w:rPr>
                <w:rFonts w:cs="Times New Roman"/>
                <w:i/>
                <w:iCs/>
                <w:color w:val="0070C0"/>
                <w:szCs w:val="24"/>
                <w:lang w:val="bg-BG"/>
              </w:rPr>
            </w:pPr>
            <w:r w:rsidRPr="006F3533">
              <w:rPr>
                <w:rFonts w:cs="Times New Roman"/>
                <w:szCs w:val="24"/>
                <w:lang w:val="bg-BG"/>
              </w:rPr>
              <w:t>1263.38</w:t>
            </w:r>
            <w:r w:rsidRPr="006F3533">
              <w:rPr>
                <w:rFonts w:cs="Times New Roman"/>
                <w:i/>
                <w:iCs/>
                <w:color w:val="0070C0"/>
                <w:szCs w:val="24"/>
                <w:lang w:val="bg-BG"/>
              </w:rPr>
              <w:br/>
              <w:t>[</w:t>
            </w:r>
            <w:proofErr w:type="spellStart"/>
            <w:r w:rsidRPr="006F3533">
              <w:rPr>
                <w:rFonts w:cs="Times New Roman"/>
                <w:i/>
                <w:iCs/>
                <w:color w:val="0070C0"/>
                <w:szCs w:val="24"/>
                <w:lang w:val="bg-BG"/>
              </w:rPr>
              <w:t>Should</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match</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preceding</w:t>
            </w:r>
            <w:proofErr w:type="spellEnd"/>
            <w:r w:rsidRPr="006F3533">
              <w:rPr>
                <w:rFonts w:cs="Times New Roman"/>
                <w:i/>
                <w:iCs/>
                <w:color w:val="0070C0"/>
                <w:szCs w:val="24"/>
                <w:lang w:val="bg-BG"/>
              </w:rPr>
              <w:t xml:space="preserve"> </w:t>
            </w:r>
            <w:proofErr w:type="spellStart"/>
            <w:r w:rsidRPr="006F3533">
              <w:rPr>
                <w:rFonts w:cs="Times New Roman"/>
                <w:i/>
                <w:iCs/>
                <w:color w:val="0070C0"/>
                <w:szCs w:val="24"/>
                <w:lang w:val="bg-BG"/>
              </w:rPr>
              <w:t>table</w:t>
            </w:r>
            <w:proofErr w:type="spellEnd"/>
            <w:r w:rsidRPr="006F3533">
              <w:rPr>
                <w:rFonts w:cs="Times New Roman"/>
                <w:i/>
                <w:iCs/>
                <w:color w:val="0070C0"/>
                <w:szCs w:val="24"/>
                <w:lang w:val="bg-BG"/>
              </w:rPr>
              <w:t>]</w:t>
            </w:r>
          </w:p>
        </w:tc>
      </w:tr>
      <w:bookmarkEnd w:id="129"/>
    </w:tbl>
    <w:p w14:paraId="303367B7" w14:textId="77777777" w:rsidR="008D7A41" w:rsidRPr="006F3533" w:rsidRDefault="008D7A41" w:rsidP="00077D42">
      <w:pPr>
        <w:pStyle w:val="ListParagraph"/>
        <w:spacing w:line="240" w:lineRule="auto"/>
        <w:ind w:left="1440"/>
        <w:jc w:val="both"/>
        <w:rPr>
          <w:rFonts w:cs="Times New Roman"/>
          <w:szCs w:val="24"/>
          <w:lang w:val="bg-BG"/>
        </w:rPr>
      </w:pPr>
    </w:p>
    <w:p w14:paraId="4D359E68" w14:textId="77777777" w:rsidR="00192EAA" w:rsidRPr="006F3533" w:rsidRDefault="00192EAA" w:rsidP="00077D42">
      <w:pPr>
        <w:pStyle w:val="Heading2"/>
        <w:jc w:val="both"/>
        <w:rPr>
          <w:lang w:val="bg-BG"/>
        </w:rPr>
      </w:pPr>
      <w:bookmarkStart w:id="130" w:name="_Toc217888785"/>
      <w:r w:rsidRPr="006F3533">
        <w:rPr>
          <w:lang w:val="bg-BG"/>
        </w:rPr>
        <w:t>Спестявания на енергия (</w:t>
      </w:r>
      <w:proofErr w:type="spellStart"/>
      <w:r w:rsidRPr="006F3533">
        <w:rPr>
          <w:lang w:val="bg-BG"/>
        </w:rPr>
        <w:t>ktoe</w:t>
      </w:r>
      <w:proofErr w:type="spellEnd"/>
      <w:r w:rsidRPr="006F3533">
        <w:rPr>
          <w:lang w:val="bg-BG"/>
        </w:rPr>
        <w:t>)</w:t>
      </w:r>
      <w:bookmarkEnd w:id="130"/>
    </w:p>
    <w:p w14:paraId="44D4595F" w14:textId="77777777" w:rsidR="00192EAA" w:rsidRPr="006F3533" w:rsidRDefault="00192EA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Спестяванията на енергия в сградния сектор са определени чрез сравнение на крайното и първичното потребление на енергия между базовата година 2019 г. и референтната година 2023 г., на база официалните данни на Националния статистически институт (НСИ), представени в предходните таблици на плана.</w:t>
      </w:r>
    </w:p>
    <w:p w14:paraId="217570AC" w14:textId="77777777" w:rsidR="00192EAA" w:rsidRPr="006F3533" w:rsidRDefault="00192EA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Методът на изчисление следва разлика между потреблението в базовата година и потреблението в текущата година, както е логически обосновано за отчитане на реално постигнати спестявания на енергия:</w:t>
      </w:r>
    </w:p>
    <w:p w14:paraId="31704430" w14:textId="77777777" w:rsidR="00192EAA" w:rsidRPr="006F3533" w:rsidRDefault="00192EAA" w:rsidP="00077D42">
      <w:pPr>
        <w:spacing w:before="100" w:beforeAutospacing="1" w:after="100" w:afterAutospacing="1" w:line="240" w:lineRule="auto"/>
        <w:jc w:val="both"/>
        <w:rPr>
          <w:rFonts w:eastAsia="Times New Roman" w:cs="Times New Roman"/>
          <w:b/>
          <w:bCs/>
          <w:szCs w:val="24"/>
          <w:lang w:val="bg-BG"/>
        </w:rPr>
      </w:pPr>
      <w:r w:rsidRPr="006F3533">
        <w:rPr>
          <w:rFonts w:eastAsia="Times New Roman" w:cs="Times New Roman"/>
          <w:b/>
          <w:bCs/>
          <w:i/>
          <w:iCs/>
          <w:szCs w:val="24"/>
          <w:lang w:val="bg-BG"/>
        </w:rPr>
        <w:t>Енергийни спестявания = Потребление (2019 г.) – Потребление (2023 г.)</w:t>
      </w:r>
    </w:p>
    <w:p w14:paraId="776EFDAE" w14:textId="06C79994" w:rsidR="00192EAA" w:rsidRPr="006F3533" w:rsidRDefault="00192EA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Изчислените енергийни спестявания са представени в Таблица 10. На база на актуализираните данни, енергийните спестявания в сградния сектор за периода 2019–2023 г. възлизат на:</w:t>
      </w:r>
    </w:p>
    <w:p w14:paraId="7806EEFF" w14:textId="77777777" w:rsidR="00192EAA" w:rsidRPr="006F3533" w:rsidRDefault="00192EAA">
      <w:pPr>
        <w:numPr>
          <w:ilvl w:val="0"/>
          <w:numId w:val="11"/>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b/>
          <w:bCs/>
          <w:szCs w:val="24"/>
          <w:lang w:val="bg-BG"/>
        </w:rPr>
        <w:t xml:space="preserve">4,41 </w:t>
      </w:r>
      <w:proofErr w:type="spellStart"/>
      <w:r w:rsidRPr="006F3533">
        <w:rPr>
          <w:rFonts w:eastAsia="Times New Roman" w:cs="Times New Roman"/>
          <w:b/>
          <w:bCs/>
          <w:szCs w:val="24"/>
          <w:lang w:val="bg-BG"/>
        </w:rPr>
        <w:t>ktoe</w:t>
      </w:r>
      <w:proofErr w:type="spellEnd"/>
      <w:r w:rsidRPr="006F3533">
        <w:rPr>
          <w:rFonts w:eastAsia="Times New Roman" w:cs="Times New Roman"/>
          <w:b/>
          <w:bCs/>
          <w:szCs w:val="24"/>
          <w:lang w:val="bg-BG"/>
        </w:rPr>
        <w:t xml:space="preserve"> </w:t>
      </w:r>
      <w:r w:rsidRPr="006F3533">
        <w:rPr>
          <w:rFonts w:eastAsia="Times New Roman" w:cs="Times New Roman"/>
          <w:szCs w:val="24"/>
          <w:lang w:val="bg-BG"/>
        </w:rPr>
        <w:t>спестена крайна енергия</w:t>
      </w:r>
    </w:p>
    <w:p w14:paraId="3D0BB754" w14:textId="77777777" w:rsidR="00192EAA" w:rsidRPr="006F3533" w:rsidRDefault="00192EAA">
      <w:pPr>
        <w:numPr>
          <w:ilvl w:val="0"/>
          <w:numId w:val="11"/>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b/>
          <w:bCs/>
          <w:szCs w:val="24"/>
          <w:lang w:val="bg-BG"/>
        </w:rPr>
        <w:t xml:space="preserve">97,91 </w:t>
      </w:r>
      <w:proofErr w:type="spellStart"/>
      <w:r w:rsidRPr="006F3533">
        <w:rPr>
          <w:rFonts w:eastAsia="Times New Roman" w:cs="Times New Roman"/>
          <w:b/>
          <w:bCs/>
          <w:szCs w:val="24"/>
          <w:lang w:val="bg-BG"/>
        </w:rPr>
        <w:t>ktoe</w:t>
      </w:r>
      <w:proofErr w:type="spellEnd"/>
      <w:r w:rsidRPr="006F3533">
        <w:rPr>
          <w:rFonts w:eastAsia="Times New Roman" w:cs="Times New Roman"/>
          <w:b/>
          <w:bCs/>
          <w:szCs w:val="24"/>
          <w:lang w:val="bg-BG"/>
        </w:rPr>
        <w:t xml:space="preserve"> </w:t>
      </w:r>
      <w:r w:rsidRPr="006F3533">
        <w:rPr>
          <w:rFonts w:eastAsia="Times New Roman" w:cs="Times New Roman"/>
          <w:szCs w:val="24"/>
          <w:lang w:val="bg-BG"/>
        </w:rPr>
        <w:t>спестена първична енергия</w:t>
      </w:r>
    </w:p>
    <w:p w14:paraId="6BA6DA13" w14:textId="23AD6071" w:rsidR="00192EAA" w:rsidRPr="006F3533" w:rsidRDefault="00192EA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Тези стойности отразяват нетния ефект от прилаганите политики и пазарни тенденции в сградния сектор през разглеждания период. </w:t>
      </w:r>
    </w:p>
    <w:p w14:paraId="08C9013F" w14:textId="56277BEA" w:rsidR="00192EAA" w:rsidRPr="006F3533" w:rsidRDefault="00192EAA" w:rsidP="00077D42">
      <w:pPr>
        <w:spacing w:line="240" w:lineRule="auto"/>
        <w:jc w:val="both"/>
        <w:rPr>
          <w:rFonts w:cs="Times New Roman"/>
          <w:i/>
          <w:iCs/>
          <w:color w:val="0070C0"/>
          <w:szCs w:val="24"/>
          <w:lang w:val="bg-BG"/>
        </w:rPr>
      </w:pPr>
      <w:r w:rsidRPr="006F3533">
        <w:rPr>
          <w:rFonts w:cs="Times New Roman"/>
          <w:i/>
          <w:iCs/>
          <w:color w:val="0070C0"/>
          <w:szCs w:val="24"/>
          <w:lang w:val="bg-BG"/>
        </w:rPr>
        <w:t>Таблица 10. Реализирани спестявания на първично и крайно потребление на енергия в сградите към 2023 г. (</w:t>
      </w:r>
      <w:proofErr w:type="spellStart"/>
      <w:r w:rsidRPr="006F3533">
        <w:rPr>
          <w:rFonts w:cs="Times New Roman"/>
          <w:i/>
          <w:iCs/>
          <w:color w:val="0070C0"/>
          <w:szCs w:val="24"/>
          <w:lang w:val="bg-BG"/>
        </w:rPr>
        <w:t>ktoe</w:t>
      </w:r>
      <w:proofErr w:type="spellEnd"/>
      <w:r w:rsidRPr="006F3533">
        <w:rPr>
          <w:rFonts w:cs="Times New Roman"/>
          <w:i/>
          <w:iCs/>
          <w:color w:val="0070C0"/>
          <w:szCs w:val="24"/>
          <w:lang w:val="bg-BG"/>
        </w:rPr>
        <w:t>)</w:t>
      </w:r>
    </w:p>
    <w:tbl>
      <w:tblPr>
        <w:tblStyle w:val="TableGrid"/>
        <w:tblW w:w="5000" w:type="pct"/>
        <w:tblLook w:val="04A0" w:firstRow="1" w:lastRow="0" w:firstColumn="1" w:lastColumn="0" w:noHBand="0" w:noVBand="1"/>
      </w:tblPr>
      <w:tblGrid>
        <w:gridCol w:w="2427"/>
        <w:gridCol w:w="3237"/>
        <w:gridCol w:w="3398"/>
      </w:tblGrid>
      <w:tr w:rsidR="00192EAA" w:rsidRPr="006F3533" w14:paraId="07F4D9D9" w14:textId="77777777" w:rsidTr="00552DC2">
        <w:tc>
          <w:tcPr>
            <w:tcW w:w="1339" w:type="pct"/>
            <w:shd w:val="clear" w:color="auto" w:fill="D9D9D9" w:themeFill="background1" w:themeFillShade="D9"/>
          </w:tcPr>
          <w:p w14:paraId="407CC148" w14:textId="77777777" w:rsidR="00192EAA" w:rsidRPr="006F3533" w:rsidRDefault="00192EAA" w:rsidP="00077D42">
            <w:pPr>
              <w:pStyle w:val="ListParagraph"/>
              <w:ind w:left="0"/>
              <w:jc w:val="both"/>
              <w:rPr>
                <w:rFonts w:cs="Times New Roman"/>
                <w:szCs w:val="24"/>
                <w:lang w:val="bg-BG"/>
              </w:rPr>
            </w:pPr>
            <w:bookmarkStart w:id="131" w:name="_Hlk213849846"/>
            <w:r w:rsidRPr="006F3533">
              <w:rPr>
                <w:rFonts w:cs="Times New Roman"/>
                <w:szCs w:val="24"/>
                <w:lang w:val="bg-BG"/>
              </w:rPr>
              <w:t xml:space="preserve">Building </w:t>
            </w:r>
            <w:proofErr w:type="spellStart"/>
            <w:r w:rsidRPr="006F3533">
              <w:rPr>
                <w:rFonts w:cs="Times New Roman"/>
                <w:szCs w:val="24"/>
                <w:lang w:val="bg-BG"/>
              </w:rPr>
              <w:t>type</w:t>
            </w:r>
            <w:proofErr w:type="spellEnd"/>
          </w:p>
        </w:tc>
        <w:tc>
          <w:tcPr>
            <w:tcW w:w="1786" w:type="pct"/>
            <w:shd w:val="clear" w:color="auto" w:fill="D9D9D9" w:themeFill="background1" w:themeFillShade="D9"/>
          </w:tcPr>
          <w:p w14:paraId="0D0FC951" w14:textId="77777777" w:rsidR="00192EAA" w:rsidRPr="006F3533" w:rsidRDefault="00192EAA" w:rsidP="00077D42">
            <w:pPr>
              <w:pStyle w:val="ListParagraph"/>
              <w:ind w:left="0"/>
              <w:jc w:val="both"/>
              <w:rPr>
                <w:rFonts w:cs="Times New Roman"/>
                <w:szCs w:val="24"/>
                <w:lang w:val="bg-BG"/>
              </w:rPr>
            </w:pPr>
            <w:proofErr w:type="spellStart"/>
            <w:r w:rsidRPr="006F3533">
              <w:rPr>
                <w:rFonts w:cs="Times New Roman"/>
                <w:szCs w:val="24"/>
                <w:lang w:val="bg-BG"/>
              </w:rPr>
              <w:t>Savings</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primary</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p>
          <w:p w14:paraId="31AAD9F4" w14:textId="77777777" w:rsidR="00192EAA" w:rsidRPr="006F3533" w:rsidRDefault="00192EAA" w:rsidP="00077D42">
            <w:pPr>
              <w:pStyle w:val="ListParagraph"/>
              <w:ind w:left="0"/>
              <w:jc w:val="both"/>
              <w:rPr>
                <w:rFonts w:cs="Times New Roman"/>
                <w:szCs w:val="24"/>
                <w:lang w:val="bg-BG"/>
              </w:rPr>
            </w:pPr>
            <w:proofErr w:type="spellStart"/>
            <w:r w:rsidRPr="006F3533">
              <w:rPr>
                <w:rFonts w:cs="Times New Roman"/>
                <w:szCs w:val="24"/>
                <w:lang w:val="bg-BG"/>
              </w:rPr>
              <w:t>ktoe</w:t>
            </w:r>
            <w:proofErr w:type="spellEnd"/>
          </w:p>
        </w:tc>
        <w:tc>
          <w:tcPr>
            <w:tcW w:w="1875" w:type="pct"/>
            <w:shd w:val="clear" w:color="auto" w:fill="D9D9D9" w:themeFill="background1" w:themeFillShade="D9"/>
          </w:tcPr>
          <w:p w14:paraId="027841F5" w14:textId="77777777" w:rsidR="00192EAA" w:rsidRPr="006F3533" w:rsidRDefault="00192EAA" w:rsidP="00077D42">
            <w:pPr>
              <w:pStyle w:val="ListParagraph"/>
              <w:ind w:left="0"/>
              <w:jc w:val="both"/>
              <w:rPr>
                <w:rFonts w:cs="Times New Roman"/>
                <w:szCs w:val="24"/>
                <w:lang w:val="bg-BG"/>
              </w:rPr>
            </w:pPr>
            <w:proofErr w:type="spellStart"/>
            <w:r w:rsidRPr="006F3533">
              <w:rPr>
                <w:rFonts w:cs="Times New Roman"/>
                <w:szCs w:val="24"/>
                <w:lang w:val="bg-BG"/>
              </w:rPr>
              <w:t>Savings</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final</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Pr="006F3533">
              <w:rPr>
                <w:rFonts w:cs="Times New Roman"/>
                <w:szCs w:val="24"/>
                <w:lang w:val="bg-BG"/>
              </w:rPr>
              <w:t xml:space="preserve"> </w:t>
            </w:r>
          </w:p>
          <w:p w14:paraId="5A86FF16" w14:textId="77777777" w:rsidR="00192EAA" w:rsidRPr="006F3533" w:rsidRDefault="00192EAA" w:rsidP="00077D42">
            <w:pPr>
              <w:pStyle w:val="ListParagraph"/>
              <w:ind w:left="0"/>
              <w:jc w:val="both"/>
              <w:rPr>
                <w:rFonts w:cs="Times New Roman"/>
                <w:szCs w:val="24"/>
                <w:lang w:val="bg-BG"/>
              </w:rPr>
            </w:pPr>
            <w:proofErr w:type="spellStart"/>
            <w:r w:rsidRPr="006F3533">
              <w:rPr>
                <w:rFonts w:cs="Times New Roman"/>
                <w:szCs w:val="24"/>
                <w:lang w:val="bg-BG"/>
              </w:rPr>
              <w:t>ktoe</w:t>
            </w:r>
            <w:proofErr w:type="spellEnd"/>
          </w:p>
        </w:tc>
      </w:tr>
      <w:tr w:rsidR="00192EAA" w:rsidRPr="006F3533" w14:paraId="6E3D1E9A" w14:textId="77777777" w:rsidTr="00552DC2">
        <w:tc>
          <w:tcPr>
            <w:tcW w:w="1339" w:type="pct"/>
          </w:tcPr>
          <w:p w14:paraId="5755FEB2" w14:textId="77777777" w:rsidR="00192EAA" w:rsidRPr="006F3533" w:rsidRDefault="00192EAA" w:rsidP="00077D42">
            <w:pPr>
              <w:pStyle w:val="ListParagraph"/>
              <w:ind w:left="0"/>
              <w:jc w:val="both"/>
              <w:rPr>
                <w:rFonts w:cs="Times New Roman"/>
                <w:szCs w:val="24"/>
                <w:lang w:val="bg-BG"/>
              </w:rPr>
            </w:pPr>
            <w:proofErr w:type="spellStart"/>
            <w:r w:rsidRPr="006F3533">
              <w:rPr>
                <w:rFonts w:cs="Times New Roman"/>
                <w:szCs w:val="24"/>
                <w:lang w:val="bg-BG"/>
              </w:rPr>
              <w:lastRenderedPageBreak/>
              <w:t>Residential</w:t>
            </w:r>
            <w:proofErr w:type="spellEnd"/>
          </w:p>
        </w:tc>
        <w:tc>
          <w:tcPr>
            <w:tcW w:w="1786" w:type="pct"/>
          </w:tcPr>
          <w:p w14:paraId="1918DA98" w14:textId="77777777" w:rsidR="00192EAA" w:rsidRPr="006F3533" w:rsidRDefault="00192EAA" w:rsidP="00077D42">
            <w:pPr>
              <w:pStyle w:val="ListParagraph"/>
              <w:ind w:left="0"/>
              <w:jc w:val="both"/>
              <w:rPr>
                <w:rFonts w:cs="Times New Roman"/>
                <w:color w:val="0070C0"/>
                <w:szCs w:val="24"/>
                <w:lang w:val="bg-BG"/>
              </w:rPr>
            </w:pPr>
            <w:r w:rsidRPr="006F3533">
              <w:rPr>
                <w:rFonts w:cs="Times New Roman"/>
                <w:color w:val="0070C0"/>
                <w:szCs w:val="24"/>
                <w:lang w:val="bg-BG"/>
              </w:rPr>
              <w:t xml:space="preserve">PEC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Year</w:t>
            </w:r>
            <w:proofErr w:type="spellEnd"/>
            <w:r w:rsidRPr="006F3533">
              <w:rPr>
                <w:rFonts w:cs="Times New Roman"/>
                <w:color w:val="0070C0"/>
                <w:szCs w:val="24"/>
                <w:lang w:val="bg-BG"/>
              </w:rPr>
              <w:t xml:space="preserve"> (X-2) –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the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previous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plan</w:t>
            </w:r>
            <w:proofErr w:type="spellEnd"/>
          </w:p>
        </w:tc>
        <w:tc>
          <w:tcPr>
            <w:tcW w:w="1875" w:type="pct"/>
          </w:tcPr>
          <w:p w14:paraId="6986AA38" w14:textId="77777777" w:rsidR="00192EAA" w:rsidRPr="006F3533" w:rsidRDefault="00192EAA" w:rsidP="00077D42">
            <w:pPr>
              <w:pStyle w:val="ListParagraph"/>
              <w:ind w:left="0"/>
              <w:jc w:val="both"/>
              <w:rPr>
                <w:rFonts w:cs="Times New Roman"/>
                <w:color w:val="0070C0"/>
                <w:szCs w:val="24"/>
                <w:lang w:val="bg-BG"/>
              </w:rPr>
            </w:pPr>
            <w:r w:rsidRPr="006F3533">
              <w:rPr>
                <w:rFonts w:cs="Times New Roman"/>
                <w:color w:val="0070C0"/>
                <w:szCs w:val="24"/>
                <w:lang w:val="bg-BG"/>
              </w:rPr>
              <w:t xml:space="preserve">FEC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Year</w:t>
            </w:r>
            <w:proofErr w:type="spellEnd"/>
            <w:r w:rsidRPr="006F3533">
              <w:rPr>
                <w:rFonts w:cs="Times New Roman"/>
                <w:color w:val="0070C0"/>
                <w:szCs w:val="24"/>
                <w:lang w:val="bg-BG"/>
              </w:rPr>
              <w:t xml:space="preserve"> X-2) –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the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previous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plan</w:t>
            </w:r>
            <w:proofErr w:type="spellEnd"/>
          </w:p>
        </w:tc>
      </w:tr>
      <w:tr w:rsidR="00192EAA" w:rsidRPr="006F3533" w14:paraId="33A9EDE2" w14:textId="77777777" w:rsidTr="00552DC2">
        <w:tc>
          <w:tcPr>
            <w:tcW w:w="1339" w:type="pct"/>
          </w:tcPr>
          <w:p w14:paraId="39CBE83E" w14:textId="77777777" w:rsidR="00192EAA" w:rsidRPr="006F3533" w:rsidRDefault="00192EAA" w:rsidP="00077D42">
            <w:pPr>
              <w:pStyle w:val="ListParagraph"/>
              <w:ind w:left="0"/>
              <w:jc w:val="both"/>
              <w:rPr>
                <w:rFonts w:cs="Times New Roman"/>
                <w:szCs w:val="24"/>
                <w:lang w:val="bg-BG"/>
              </w:rPr>
            </w:pPr>
            <w:proofErr w:type="spellStart"/>
            <w:r w:rsidRPr="006F3533">
              <w:rPr>
                <w:rFonts w:cs="Times New Roman"/>
                <w:szCs w:val="24"/>
                <w:lang w:val="bg-BG"/>
              </w:rPr>
              <w:t>Non-residential</w:t>
            </w:r>
            <w:proofErr w:type="spellEnd"/>
            <w:r w:rsidRPr="006F3533">
              <w:rPr>
                <w:rFonts w:cs="Times New Roman"/>
                <w:szCs w:val="24"/>
                <w:lang w:val="bg-BG"/>
              </w:rPr>
              <w:t xml:space="preserve"> </w:t>
            </w:r>
          </w:p>
        </w:tc>
        <w:tc>
          <w:tcPr>
            <w:tcW w:w="1786" w:type="pct"/>
          </w:tcPr>
          <w:p w14:paraId="5E995462" w14:textId="0BFE4C1F" w:rsidR="00192EAA" w:rsidRPr="006F3533" w:rsidRDefault="00192EAA" w:rsidP="00077D42">
            <w:pPr>
              <w:pStyle w:val="ListParagraph"/>
              <w:ind w:left="0"/>
              <w:jc w:val="both"/>
              <w:rPr>
                <w:rFonts w:cs="Times New Roman"/>
                <w:color w:val="0070C0"/>
                <w:szCs w:val="24"/>
                <w:lang w:val="bg-BG"/>
              </w:rPr>
            </w:pPr>
            <w:r w:rsidRPr="006F3533">
              <w:rPr>
                <w:rFonts w:cs="Times New Roman"/>
                <w:color w:val="0070C0"/>
                <w:szCs w:val="24"/>
                <w:lang w:val="bg-BG"/>
              </w:rPr>
              <w:t xml:space="preserve">PEC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the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previous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plan</w:t>
            </w:r>
            <w:proofErr w:type="spellEnd"/>
            <w:r w:rsidRPr="006F3533">
              <w:rPr>
                <w:rFonts w:cs="Times New Roman"/>
                <w:color w:val="0070C0"/>
                <w:szCs w:val="24"/>
                <w:lang w:val="bg-BG"/>
              </w:rPr>
              <w:t xml:space="preserve"> (2019) –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Year</w:t>
            </w:r>
            <w:proofErr w:type="spellEnd"/>
            <w:r w:rsidRPr="006F3533">
              <w:rPr>
                <w:rFonts w:cs="Times New Roman"/>
                <w:color w:val="0070C0"/>
                <w:szCs w:val="24"/>
                <w:lang w:val="bg-BG"/>
              </w:rPr>
              <w:t xml:space="preserve"> 2023) </w:t>
            </w:r>
            <w:r w:rsidRPr="006F3533">
              <w:rPr>
                <w:rFonts w:cs="Times New Roman"/>
                <w:color w:val="EE0000"/>
                <w:szCs w:val="24"/>
                <w:lang w:val="bg-BG"/>
              </w:rPr>
              <w:t>97,91</w:t>
            </w:r>
          </w:p>
        </w:tc>
        <w:tc>
          <w:tcPr>
            <w:tcW w:w="1875" w:type="pct"/>
          </w:tcPr>
          <w:p w14:paraId="3B4726D8" w14:textId="0A685789" w:rsidR="00192EAA" w:rsidRPr="006F3533" w:rsidRDefault="00192EAA" w:rsidP="00077D42">
            <w:pPr>
              <w:pStyle w:val="ListParagraph"/>
              <w:ind w:left="0"/>
              <w:jc w:val="both"/>
              <w:rPr>
                <w:rFonts w:cs="Times New Roman"/>
                <w:color w:val="0070C0"/>
                <w:szCs w:val="24"/>
                <w:lang w:val="bg-BG"/>
              </w:rPr>
            </w:pPr>
            <w:r w:rsidRPr="006F3533">
              <w:rPr>
                <w:rFonts w:cs="Times New Roman"/>
                <w:color w:val="0070C0"/>
                <w:szCs w:val="24"/>
                <w:lang w:val="bg-BG"/>
              </w:rPr>
              <w:t xml:space="preserve">PEC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the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previous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plan</w:t>
            </w:r>
            <w:proofErr w:type="spellEnd"/>
            <w:r w:rsidRPr="006F3533">
              <w:rPr>
                <w:rFonts w:cs="Times New Roman"/>
                <w:color w:val="0070C0"/>
                <w:szCs w:val="24"/>
                <w:lang w:val="bg-BG"/>
              </w:rPr>
              <w:t xml:space="preserve"> (2019) –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Year</w:t>
            </w:r>
            <w:proofErr w:type="spellEnd"/>
            <w:r w:rsidRPr="006F3533">
              <w:rPr>
                <w:rFonts w:cs="Times New Roman"/>
                <w:color w:val="0070C0"/>
                <w:szCs w:val="24"/>
                <w:lang w:val="bg-BG"/>
              </w:rPr>
              <w:t xml:space="preserve"> 2023) </w:t>
            </w:r>
            <w:r w:rsidRPr="006F3533">
              <w:rPr>
                <w:rFonts w:cs="Times New Roman"/>
                <w:color w:val="EE0000"/>
                <w:szCs w:val="24"/>
                <w:lang w:val="bg-BG"/>
              </w:rPr>
              <w:t>4,41</w:t>
            </w:r>
          </w:p>
        </w:tc>
      </w:tr>
      <w:tr w:rsidR="00192EAA" w:rsidRPr="006F3533" w14:paraId="1F3AFBE7" w14:textId="77777777" w:rsidTr="00552DC2">
        <w:tc>
          <w:tcPr>
            <w:tcW w:w="1339" w:type="pct"/>
          </w:tcPr>
          <w:p w14:paraId="1917C089" w14:textId="77777777" w:rsidR="00192EAA" w:rsidRPr="006F3533" w:rsidRDefault="00192EAA" w:rsidP="00077D42">
            <w:pPr>
              <w:pStyle w:val="ListParagraph"/>
              <w:ind w:left="0"/>
              <w:jc w:val="both"/>
              <w:rPr>
                <w:rFonts w:cs="Times New Roman"/>
                <w:i/>
                <w:iCs/>
                <w:szCs w:val="24"/>
                <w:lang w:val="bg-BG"/>
              </w:rPr>
            </w:pP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r w:rsidRPr="006F3533">
              <w:rPr>
                <w:rFonts w:cs="Times New Roman"/>
                <w:i/>
                <w:iCs/>
                <w:szCs w:val="24"/>
                <w:lang w:val="bg-BG"/>
              </w:rPr>
              <w:t xml:space="preserve"> </w:t>
            </w:r>
            <w:proofErr w:type="spellStart"/>
            <w:r w:rsidRPr="006F3533">
              <w:rPr>
                <w:rFonts w:cs="Times New Roman"/>
                <w:i/>
                <w:iCs/>
                <w:szCs w:val="24"/>
                <w:lang w:val="bg-BG"/>
              </w:rPr>
              <w:t>public</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tc>
        <w:tc>
          <w:tcPr>
            <w:tcW w:w="1786" w:type="pct"/>
          </w:tcPr>
          <w:p w14:paraId="3F41FB8C" w14:textId="77777777" w:rsidR="00192EAA" w:rsidRPr="006F3533" w:rsidRDefault="00192EAA" w:rsidP="00077D42">
            <w:pPr>
              <w:pStyle w:val="ListParagraph"/>
              <w:ind w:left="0"/>
              <w:jc w:val="both"/>
              <w:rPr>
                <w:rFonts w:cs="Times New Roman"/>
                <w:color w:val="0070C0"/>
                <w:szCs w:val="24"/>
                <w:lang w:val="bg-BG"/>
              </w:rPr>
            </w:pPr>
            <w:r w:rsidRPr="006F3533">
              <w:rPr>
                <w:rFonts w:cs="Times New Roman"/>
                <w:color w:val="0070C0"/>
                <w:szCs w:val="24"/>
                <w:lang w:val="bg-BG"/>
              </w:rPr>
              <w:t xml:space="preserve">PEC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Year</w:t>
            </w:r>
            <w:proofErr w:type="spellEnd"/>
            <w:r w:rsidRPr="006F3533">
              <w:rPr>
                <w:rFonts w:cs="Times New Roman"/>
                <w:color w:val="0070C0"/>
                <w:szCs w:val="24"/>
                <w:lang w:val="bg-BG"/>
              </w:rPr>
              <w:t xml:space="preserve"> 2023) –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the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previous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plan</w:t>
            </w:r>
            <w:proofErr w:type="spellEnd"/>
            <w:r w:rsidRPr="006F3533">
              <w:rPr>
                <w:rFonts w:cs="Times New Roman"/>
                <w:color w:val="0070C0"/>
                <w:szCs w:val="24"/>
                <w:lang w:val="bg-BG"/>
              </w:rPr>
              <w:t xml:space="preserve"> 2019</w:t>
            </w:r>
          </w:p>
        </w:tc>
        <w:tc>
          <w:tcPr>
            <w:tcW w:w="1875" w:type="pct"/>
          </w:tcPr>
          <w:p w14:paraId="615BF10A" w14:textId="77777777" w:rsidR="00192EAA" w:rsidRPr="006F3533" w:rsidRDefault="00192EAA" w:rsidP="00077D42">
            <w:pPr>
              <w:pStyle w:val="ListParagraph"/>
              <w:ind w:left="0"/>
              <w:jc w:val="both"/>
              <w:rPr>
                <w:rFonts w:cs="Times New Roman"/>
                <w:color w:val="0070C0"/>
                <w:szCs w:val="24"/>
                <w:lang w:val="bg-BG"/>
              </w:rPr>
            </w:pPr>
            <w:r w:rsidRPr="006F3533">
              <w:rPr>
                <w:rFonts w:cs="Times New Roman"/>
                <w:color w:val="0070C0"/>
                <w:szCs w:val="24"/>
                <w:lang w:val="bg-BG"/>
              </w:rPr>
              <w:t xml:space="preserve">FEC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Year</w:t>
            </w:r>
            <w:proofErr w:type="spellEnd"/>
            <w:r w:rsidRPr="006F3533">
              <w:rPr>
                <w:rFonts w:cs="Times New Roman"/>
                <w:color w:val="0070C0"/>
                <w:szCs w:val="24"/>
                <w:lang w:val="bg-BG"/>
              </w:rPr>
              <w:t xml:space="preserve"> 2023) –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the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previous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plan</w:t>
            </w:r>
            <w:proofErr w:type="spellEnd"/>
            <w:r w:rsidRPr="006F3533">
              <w:rPr>
                <w:rFonts w:cs="Times New Roman"/>
                <w:color w:val="0070C0"/>
                <w:szCs w:val="24"/>
                <w:lang w:val="bg-BG"/>
              </w:rPr>
              <w:t xml:space="preserve"> 2019</w:t>
            </w:r>
          </w:p>
        </w:tc>
      </w:tr>
      <w:tr w:rsidR="00192EAA" w:rsidRPr="006F3533" w14:paraId="1D75C205" w14:textId="77777777" w:rsidTr="00552DC2">
        <w:tc>
          <w:tcPr>
            <w:tcW w:w="1339" w:type="pct"/>
          </w:tcPr>
          <w:p w14:paraId="34DE9CA5" w14:textId="77777777" w:rsidR="00192EAA" w:rsidRPr="006F3533" w:rsidRDefault="00192EAA" w:rsidP="00077D42">
            <w:pPr>
              <w:pStyle w:val="ListParagraph"/>
              <w:ind w:left="0"/>
              <w:jc w:val="both"/>
              <w:rPr>
                <w:rFonts w:cs="Times New Roman"/>
                <w:szCs w:val="24"/>
                <w:lang w:val="bg-BG"/>
              </w:rPr>
            </w:pPr>
            <w:r w:rsidRPr="006F3533">
              <w:rPr>
                <w:rFonts w:cs="Times New Roman"/>
                <w:szCs w:val="24"/>
                <w:lang w:val="bg-BG"/>
              </w:rPr>
              <w:t xml:space="preserve">Total </w:t>
            </w:r>
            <w:proofErr w:type="spellStart"/>
            <w:r w:rsidRPr="006F3533">
              <w:rPr>
                <w:rFonts w:cs="Times New Roman"/>
                <w:szCs w:val="24"/>
                <w:lang w:val="bg-BG"/>
              </w:rPr>
              <w:t>savings</w:t>
            </w:r>
            <w:proofErr w:type="spellEnd"/>
            <w:r w:rsidRPr="006F3533">
              <w:rPr>
                <w:rFonts w:cs="Times New Roman"/>
                <w:szCs w:val="24"/>
                <w:lang w:val="bg-BG"/>
              </w:rPr>
              <w:t xml:space="preserve"> </w:t>
            </w:r>
          </w:p>
        </w:tc>
        <w:tc>
          <w:tcPr>
            <w:tcW w:w="1786" w:type="pct"/>
          </w:tcPr>
          <w:p w14:paraId="5B2C239B" w14:textId="77777777" w:rsidR="00192EAA" w:rsidRPr="006F3533" w:rsidRDefault="00192EAA" w:rsidP="00077D42">
            <w:pPr>
              <w:pStyle w:val="ListParagraph"/>
              <w:ind w:left="0"/>
              <w:jc w:val="both"/>
              <w:rPr>
                <w:rFonts w:cs="Times New Roman"/>
                <w:color w:val="0070C0"/>
                <w:szCs w:val="24"/>
                <w:lang w:val="bg-BG"/>
              </w:rPr>
            </w:pPr>
            <w:proofErr w:type="spellStart"/>
            <w:r w:rsidRPr="006F3533">
              <w:rPr>
                <w:rFonts w:cs="Times New Roman"/>
                <w:color w:val="0070C0"/>
                <w:szCs w:val="24"/>
                <w:lang w:val="bg-BG"/>
              </w:rPr>
              <w:t>Savings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residential</w:t>
            </w:r>
            <w:proofErr w:type="spellEnd"/>
            <w:r w:rsidRPr="006F3533">
              <w:rPr>
                <w:rFonts w:cs="Times New Roman"/>
                <w:color w:val="0070C0"/>
                <w:szCs w:val="24"/>
                <w:lang w:val="bg-BG"/>
              </w:rPr>
              <w:t xml:space="preserve"> + </w:t>
            </w:r>
            <w:proofErr w:type="spellStart"/>
            <w:r w:rsidRPr="006F3533">
              <w:rPr>
                <w:rFonts w:cs="Times New Roman"/>
                <w:color w:val="0070C0"/>
                <w:szCs w:val="24"/>
                <w:lang w:val="bg-BG"/>
              </w:rPr>
              <w:t>non-residential</w:t>
            </w:r>
            <w:proofErr w:type="spellEnd"/>
          </w:p>
        </w:tc>
        <w:tc>
          <w:tcPr>
            <w:tcW w:w="1875" w:type="pct"/>
          </w:tcPr>
          <w:p w14:paraId="475EDDF4" w14:textId="77777777" w:rsidR="00192EAA" w:rsidRPr="006F3533" w:rsidRDefault="00192EAA" w:rsidP="00077D42">
            <w:pPr>
              <w:pStyle w:val="ListParagraph"/>
              <w:ind w:left="0"/>
              <w:jc w:val="both"/>
              <w:rPr>
                <w:rFonts w:cs="Times New Roman"/>
                <w:color w:val="0070C0"/>
                <w:szCs w:val="24"/>
                <w:lang w:val="bg-BG"/>
              </w:rPr>
            </w:pPr>
            <w:proofErr w:type="spellStart"/>
            <w:r w:rsidRPr="006F3533">
              <w:rPr>
                <w:rFonts w:cs="Times New Roman"/>
                <w:color w:val="0070C0"/>
                <w:szCs w:val="24"/>
                <w:lang w:val="bg-BG"/>
              </w:rPr>
              <w:t>Savings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residential</w:t>
            </w:r>
            <w:proofErr w:type="spellEnd"/>
            <w:r w:rsidRPr="006F3533">
              <w:rPr>
                <w:rFonts w:cs="Times New Roman"/>
                <w:color w:val="0070C0"/>
                <w:szCs w:val="24"/>
                <w:lang w:val="bg-BG"/>
              </w:rPr>
              <w:t xml:space="preserve"> + </w:t>
            </w:r>
            <w:proofErr w:type="spellStart"/>
            <w:r w:rsidRPr="006F3533">
              <w:rPr>
                <w:rFonts w:cs="Times New Roman"/>
                <w:color w:val="0070C0"/>
                <w:szCs w:val="24"/>
                <w:lang w:val="bg-BG"/>
              </w:rPr>
              <w:t>non-residential</w:t>
            </w:r>
            <w:proofErr w:type="spellEnd"/>
          </w:p>
        </w:tc>
      </w:tr>
    </w:tbl>
    <w:bookmarkEnd w:id="131"/>
    <w:p w14:paraId="23C84A52" w14:textId="691473EC" w:rsidR="00192EAA" w:rsidRPr="006F3533" w:rsidRDefault="00192EA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Отчетеното спестяване на крайна енергия е относително ограничено в абсолютни стойности. Това следва да се разглежда в контекста на значително нарастване на сградния фонд през същия период. Както е показано в таблица 1 на плана, общата разгъната застроена площ на сградите се е увеличила от приблизително 104 млн. m² през 2019 г. до около 129 млн. m² през 2023 г., което представлява увеличение с около 24%. При тези условия задържането и дори лекото намаляване на крайното енергийно потребление може да се интерпретира като положителен ефект, свързан с подобряване на енергийните характеристики на сградите и въвеждане на по-ефективни технологии.</w:t>
      </w:r>
    </w:p>
    <w:p w14:paraId="55D7F1D9" w14:textId="50B005C4" w:rsidR="00192EAA" w:rsidRPr="006F3533" w:rsidRDefault="00192EA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По отношение на първичната енергия, отчетените спестявания са по-високи. Това се дължи не само на мерките за енергийна ефективност, но и на промени в енергийния микс, включително:</w:t>
      </w:r>
    </w:p>
    <w:p w14:paraId="5865E54D" w14:textId="77777777" w:rsidR="00192EAA" w:rsidRPr="006F3533" w:rsidRDefault="00192EAA">
      <w:pPr>
        <w:numPr>
          <w:ilvl w:val="0"/>
          <w:numId w:val="12"/>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увеличаване на дела на енергията от възобновяеми източници;</w:t>
      </w:r>
    </w:p>
    <w:p w14:paraId="581AA226" w14:textId="77777777" w:rsidR="00192EAA" w:rsidRPr="006F3533" w:rsidRDefault="00192EAA">
      <w:pPr>
        <w:numPr>
          <w:ilvl w:val="0"/>
          <w:numId w:val="12"/>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по-широко използване на електроенергия с по-нисък фактор за първична енергия;</w:t>
      </w:r>
    </w:p>
    <w:p w14:paraId="10CB6A38" w14:textId="77777777" w:rsidR="00192EAA" w:rsidRPr="006F3533" w:rsidRDefault="00192EAA">
      <w:pPr>
        <w:numPr>
          <w:ilvl w:val="0"/>
          <w:numId w:val="12"/>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постепенно намаляване на използването на по-въглеродно интензивни горива.</w:t>
      </w:r>
    </w:p>
    <w:p w14:paraId="66B694B9" w14:textId="77777777" w:rsidR="00192EAA" w:rsidRPr="006F3533" w:rsidRDefault="00192EA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Тези структурни промени водят до по-силен ефект върху първичното енергийно потребление, дори при относително ограничени изменения в крайното потребление.</w:t>
      </w:r>
    </w:p>
    <w:p w14:paraId="5DBD3C31" w14:textId="37BE0C3C" w:rsidR="00192EAA" w:rsidRPr="006F3533" w:rsidRDefault="00192EAA" w:rsidP="00077D42">
      <w:pPr>
        <w:pStyle w:val="Heading2"/>
        <w:jc w:val="both"/>
        <w:rPr>
          <w:lang w:val="bg-BG"/>
        </w:rPr>
      </w:pPr>
      <w:bookmarkStart w:id="132" w:name="_Toc217888786"/>
      <w:r w:rsidRPr="006F3533">
        <w:rPr>
          <w:lang w:val="bg-BG"/>
        </w:rPr>
        <w:t>Изводи за Националния план за обновяване на сградите</w:t>
      </w:r>
      <w:bookmarkEnd w:id="132"/>
    </w:p>
    <w:p w14:paraId="3FBAFEEA" w14:textId="0CA628B2" w:rsidR="00192EAA" w:rsidRPr="006F3533" w:rsidRDefault="00192EAA">
      <w:pPr>
        <w:numPr>
          <w:ilvl w:val="0"/>
          <w:numId w:val="13"/>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Данните за периода 2019–2023 г. показват, че сградният сектор вече допринася за намаляване на първичното енергийно потребление, въпреки значителното разширяване на сградния фонд</w:t>
      </w:r>
      <w:r w:rsidR="0069450B" w:rsidRPr="006F3533">
        <w:rPr>
          <w:rFonts w:eastAsia="Times New Roman" w:cs="Times New Roman"/>
          <w:szCs w:val="24"/>
          <w:lang w:val="bg-BG"/>
        </w:rPr>
        <w:t xml:space="preserve"> от нежилищни сгради</w:t>
      </w:r>
      <w:r w:rsidRPr="006F3533">
        <w:rPr>
          <w:rFonts w:eastAsia="Times New Roman" w:cs="Times New Roman"/>
          <w:szCs w:val="24"/>
          <w:lang w:val="bg-BG"/>
        </w:rPr>
        <w:t>.</w:t>
      </w:r>
    </w:p>
    <w:p w14:paraId="03D22C0E" w14:textId="2A1B199F" w:rsidR="00192EAA" w:rsidRPr="006F3533" w:rsidRDefault="00192EAA">
      <w:pPr>
        <w:numPr>
          <w:ilvl w:val="0"/>
          <w:numId w:val="13"/>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Ограниченото спестяване на крайна енергия подчертава необходимостта от ускоряване на темповете на обновяване, особено при най-неефективните </w:t>
      </w:r>
      <w:r w:rsidR="0069450B" w:rsidRPr="006F3533">
        <w:rPr>
          <w:rFonts w:eastAsia="Times New Roman" w:cs="Times New Roman"/>
          <w:szCs w:val="24"/>
          <w:lang w:val="bg-BG"/>
        </w:rPr>
        <w:t xml:space="preserve">нежилищни </w:t>
      </w:r>
      <w:r w:rsidRPr="006F3533">
        <w:rPr>
          <w:rFonts w:eastAsia="Times New Roman" w:cs="Times New Roman"/>
          <w:szCs w:val="24"/>
          <w:lang w:val="bg-BG"/>
        </w:rPr>
        <w:t>сгради.</w:t>
      </w:r>
    </w:p>
    <w:p w14:paraId="30F0CEC8" w14:textId="77777777" w:rsidR="00192EAA" w:rsidRPr="006F3533" w:rsidRDefault="00192EAA">
      <w:pPr>
        <w:numPr>
          <w:ilvl w:val="0"/>
          <w:numId w:val="13"/>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Резултатите потвърждават значението на комбиниран подход, който обединява мерки за енергийна ефективност със системна </w:t>
      </w:r>
      <w:proofErr w:type="spellStart"/>
      <w:r w:rsidRPr="006F3533">
        <w:rPr>
          <w:rFonts w:eastAsia="Times New Roman" w:cs="Times New Roman"/>
          <w:szCs w:val="24"/>
          <w:lang w:val="bg-BG"/>
        </w:rPr>
        <w:t>декарбонизация</w:t>
      </w:r>
      <w:proofErr w:type="spellEnd"/>
      <w:r w:rsidRPr="006F3533">
        <w:rPr>
          <w:rFonts w:eastAsia="Times New Roman" w:cs="Times New Roman"/>
          <w:szCs w:val="24"/>
          <w:lang w:val="bg-BG"/>
        </w:rPr>
        <w:t xml:space="preserve"> на енергоснабдяването, включително по-широко внедряване на възобновяеми енергийни източници.</w:t>
      </w:r>
    </w:p>
    <w:p w14:paraId="2139A341" w14:textId="2495D88E" w:rsidR="00192EAA" w:rsidRPr="006F3533" w:rsidRDefault="00192EA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Този анализ предоставя количествена основа за последващото дефиниране на траектории за обновяване, </w:t>
      </w:r>
      <w:r w:rsidR="0089152B" w:rsidRPr="006F3533">
        <w:rPr>
          <w:rFonts w:eastAsia="Times New Roman" w:cs="Times New Roman"/>
          <w:szCs w:val="24"/>
          <w:lang w:val="bg-BG"/>
        </w:rPr>
        <w:t>МСЕХ</w:t>
      </w:r>
      <w:r w:rsidRPr="006F3533">
        <w:rPr>
          <w:rFonts w:eastAsia="Times New Roman" w:cs="Times New Roman"/>
          <w:szCs w:val="24"/>
          <w:lang w:val="bg-BG"/>
        </w:rPr>
        <w:t xml:space="preserve"> и приоритетни политики и мерки, които ще бъдат разработени в следващите раздели на плана.</w:t>
      </w:r>
    </w:p>
    <w:p w14:paraId="7D3A0976" w14:textId="4970011D" w:rsidR="0069450B" w:rsidRPr="006F3533" w:rsidRDefault="0069450B" w:rsidP="00077D42">
      <w:pPr>
        <w:pStyle w:val="Heading2"/>
        <w:jc w:val="both"/>
        <w:rPr>
          <w:lang w:val="bg-BG"/>
        </w:rPr>
      </w:pPr>
      <w:bookmarkStart w:id="133" w:name="_Toc217888787"/>
      <w:r w:rsidRPr="006F3533">
        <w:rPr>
          <w:lang w:val="bg-BG"/>
        </w:rPr>
        <w:lastRenderedPageBreak/>
        <w:t>Дял на енергията от възобновяеми източници в сградния сектор</w:t>
      </w:r>
      <w:bookmarkEnd w:id="133"/>
    </w:p>
    <w:p w14:paraId="56ABF1B1" w14:textId="77777777" w:rsidR="0069450B" w:rsidRPr="006F3533" w:rsidRDefault="0069450B" w:rsidP="00077D42">
      <w:pPr>
        <w:pStyle w:val="NormalWeb"/>
        <w:jc w:val="both"/>
        <w:rPr>
          <w:rFonts w:ascii="Aptos" w:hAnsi="Aptos"/>
          <w:lang w:val="bg-BG"/>
        </w:rPr>
      </w:pPr>
      <w:r w:rsidRPr="006F3533">
        <w:rPr>
          <w:rFonts w:ascii="Aptos" w:hAnsi="Aptos"/>
          <w:lang w:val="bg-BG"/>
        </w:rPr>
        <w:t xml:space="preserve">Към момента в България </w:t>
      </w:r>
      <w:r w:rsidRPr="006F3533">
        <w:rPr>
          <w:rStyle w:val="Strong"/>
          <w:rFonts w:ascii="Aptos" w:hAnsi="Aptos"/>
          <w:b w:val="0"/>
          <w:bCs w:val="0"/>
          <w:lang w:val="bg-BG"/>
        </w:rPr>
        <w:t>не съществува централизирана и систематизирана база данни</w:t>
      </w:r>
      <w:r w:rsidRPr="006F3533">
        <w:rPr>
          <w:rFonts w:ascii="Aptos" w:hAnsi="Aptos"/>
          <w:lang w:val="bg-BG"/>
        </w:rPr>
        <w:t>, която да позволява надеждно отчитане на:</w:t>
      </w:r>
    </w:p>
    <w:p w14:paraId="1D6407BE" w14:textId="210D0138" w:rsidR="0069450B" w:rsidRPr="006F3533" w:rsidRDefault="0069450B">
      <w:pPr>
        <w:pStyle w:val="NormalWeb"/>
        <w:numPr>
          <w:ilvl w:val="0"/>
          <w:numId w:val="14"/>
        </w:numPr>
        <w:jc w:val="both"/>
        <w:rPr>
          <w:rFonts w:ascii="Aptos" w:hAnsi="Aptos"/>
          <w:lang w:val="bg-BG"/>
        </w:rPr>
      </w:pPr>
      <w:r w:rsidRPr="006F3533">
        <w:rPr>
          <w:rFonts w:ascii="Aptos" w:hAnsi="Aptos"/>
          <w:lang w:val="bg-BG"/>
        </w:rPr>
        <w:t>инсталираната мощност от възобновяеми енергийни източници (MW), или</w:t>
      </w:r>
    </w:p>
    <w:p w14:paraId="2189C1D7" w14:textId="77777777" w:rsidR="0069450B" w:rsidRPr="006F3533" w:rsidRDefault="0069450B">
      <w:pPr>
        <w:pStyle w:val="NormalWeb"/>
        <w:numPr>
          <w:ilvl w:val="0"/>
          <w:numId w:val="14"/>
        </w:numPr>
        <w:jc w:val="both"/>
        <w:rPr>
          <w:rFonts w:ascii="Aptos" w:hAnsi="Aptos"/>
          <w:lang w:val="bg-BG"/>
        </w:rPr>
      </w:pPr>
      <w:r w:rsidRPr="006F3533">
        <w:rPr>
          <w:rFonts w:ascii="Aptos" w:hAnsi="Aptos"/>
          <w:lang w:val="bg-BG"/>
        </w:rPr>
        <w:t>реално произведената енергия (</w:t>
      </w:r>
      <w:proofErr w:type="spellStart"/>
      <w:r w:rsidRPr="006F3533">
        <w:rPr>
          <w:rFonts w:ascii="Aptos" w:hAnsi="Aptos"/>
          <w:lang w:val="bg-BG"/>
        </w:rPr>
        <w:t>GWh</w:t>
      </w:r>
      <w:proofErr w:type="spellEnd"/>
      <w:r w:rsidRPr="006F3533">
        <w:rPr>
          <w:rFonts w:ascii="Aptos" w:hAnsi="Aptos"/>
          <w:lang w:val="bg-BG"/>
        </w:rPr>
        <w:t xml:space="preserve">) </w:t>
      </w:r>
      <w:r w:rsidRPr="006F3533">
        <w:rPr>
          <w:rStyle w:val="Strong"/>
          <w:rFonts w:ascii="Aptos" w:hAnsi="Aptos"/>
          <w:b w:val="0"/>
          <w:bCs w:val="0"/>
          <w:lang w:val="bg-BG"/>
        </w:rPr>
        <w:t>на ниво сграден сектор</w:t>
      </w:r>
      <w:r w:rsidRPr="006F3533">
        <w:rPr>
          <w:rFonts w:ascii="Aptos" w:hAnsi="Aptos"/>
          <w:lang w:val="bg-BG"/>
        </w:rPr>
        <w:t>.</w:t>
      </w:r>
    </w:p>
    <w:p w14:paraId="62A55C2C" w14:textId="77777777" w:rsidR="00847F22" w:rsidRPr="006F3533" w:rsidRDefault="00847F22" w:rsidP="00847F22">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В националната база данни за енергийните характеристики на сгради поддържана от АУЕР се съдържа информация за произведената на място в сградите енергия от възобновяеми източници, но тя обхваща само сградите, за които има издаден сертификат. Анализът на тези данни показва, че към ноември 2025 г. в нежилищните сгради, за които има издаден сертификат за енергийните характеристики, общата произведена енергия от възобновяеми източници 55,28 </w:t>
      </w:r>
      <w:proofErr w:type="spellStart"/>
      <w:r w:rsidRPr="006F3533">
        <w:rPr>
          <w:rFonts w:eastAsia="Times New Roman" w:cs="Times New Roman"/>
          <w:szCs w:val="24"/>
          <w:lang w:val="bg-BG" w:eastAsia="en-GB"/>
        </w:rPr>
        <w:t>GWh</w:t>
      </w:r>
      <w:proofErr w:type="spellEnd"/>
      <w:r w:rsidRPr="006F3533">
        <w:rPr>
          <w:rFonts w:eastAsia="Times New Roman" w:cs="Times New Roman"/>
          <w:szCs w:val="24"/>
          <w:lang w:val="bg-BG" w:eastAsia="en-GB"/>
        </w:rPr>
        <w:t xml:space="preserve">/год., което се равнява на 4,75 </w:t>
      </w:r>
      <w:proofErr w:type="spellStart"/>
      <w:r w:rsidRPr="006F3533">
        <w:rPr>
          <w:rFonts w:eastAsia="Times New Roman" w:cs="Times New Roman"/>
          <w:szCs w:val="24"/>
          <w:lang w:val="bg-BG" w:eastAsia="en-GB"/>
        </w:rPr>
        <w:t>ktoe</w:t>
      </w:r>
      <w:proofErr w:type="spellEnd"/>
      <w:r w:rsidRPr="006F3533">
        <w:rPr>
          <w:rFonts w:eastAsia="Times New Roman" w:cs="Times New Roman"/>
          <w:szCs w:val="24"/>
          <w:lang w:val="bg-BG" w:eastAsia="en-GB"/>
        </w:rPr>
        <w:t xml:space="preserve">/год. Според тези данни делът на произведената енергия от възобновяеми енергийни източници в нежилищните сгради с издаден сертификат за енергийни характеристики е 0,37% спрямо общото крайно потребление на енергия на нежилищните сгради в страната, което се равнява на 1263.38 </w:t>
      </w:r>
      <w:proofErr w:type="spellStart"/>
      <w:r w:rsidRPr="006F3533">
        <w:rPr>
          <w:rFonts w:eastAsia="Times New Roman" w:cs="Times New Roman"/>
          <w:szCs w:val="24"/>
          <w:lang w:val="bg-BG" w:eastAsia="en-GB"/>
        </w:rPr>
        <w:t>ktoe</w:t>
      </w:r>
      <w:proofErr w:type="spellEnd"/>
      <w:r w:rsidRPr="006F3533">
        <w:rPr>
          <w:rFonts w:eastAsia="Times New Roman" w:cs="Times New Roman"/>
          <w:szCs w:val="24"/>
          <w:lang w:val="bg-BG" w:eastAsia="en-GB"/>
        </w:rPr>
        <w:t xml:space="preserve">, съгласно данните в таблица 8 по-горе. </w:t>
      </w:r>
    </w:p>
    <w:p w14:paraId="7CCDF0C7" w14:textId="77777777" w:rsidR="00847F22" w:rsidRPr="006F3533" w:rsidRDefault="00847F22" w:rsidP="00847F22">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За съжаление, не е налична информация подобна информация, за сградите, които нямат издаден сертификат за енергийните характеристики.</w:t>
      </w:r>
    </w:p>
    <w:p w14:paraId="039B0F9D" w14:textId="77777777" w:rsidR="00847F22" w:rsidRPr="006F3533" w:rsidRDefault="00847F22" w:rsidP="00847F22">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Поради тази причина настоящият анализ е разширен в съответствие с официалните национални енергийни баланси на Националния статистически институт (НСИ), които предоставят данни за крайното потребление на енергия от възобновяеми източници по икономически сектори. Този подход е в съответствие с наличната национална статистика и позволява количествена оценка на дела на ВЕИ в нежилищния сегмент на сградния сектор, макар и на </w:t>
      </w:r>
      <w:proofErr w:type="spellStart"/>
      <w:r w:rsidRPr="006F3533">
        <w:rPr>
          <w:rFonts w:eastAsia="Times New Roman" w:cs="Times New Roman"/>
          <w:szCs w:val="24"/>
          <w:lang w:val="bg-BG" w:eastAsia="en-GB"/>
        </w:rPr>
        <w:t>агрегирано</w:t>
      </w:r>
      <w:proofErr w:type="spellEnd"/>
      <w:r w:rsidRPr="006F3533">
        <w:rPr>
          <w:rFonts w:eastAsia="Times New Roman" w:cs="Times New Roman"/>
          <w:szCs w:val="24"/>
          <w:lang w:val="bg-BG" w:eastAsia="en-GB"/>
        </w:rPr>
        <w:t xml:space="preserve"> ниво и по отношение на </w:t>
      </w:r>
      <w:proofErr w:type="spellStart"/>
      <w:r w:rsidRPr="006F3533">
        <w:rPr>
          <w:rFonts w:eastAsia="Times New Roman" w:cs="Times New Roman"/>
          <w:szCs w:val="24"/>
          <w:lang w:val="bg-BG" w:eastAsia="en-GB"/>
        </w:rPr>
        <w:t>потребена</w:t>
      </w:r>
      <w:proofErr w:type="spellEnd"/>
      <w:r w:rsidRPr="006F3533">
        <w:rPr>
          <w:rFonts w:eastAsia="Times New Roman" w:cs="Times New Roman"/>
          <w:szCs w:val="24"/>
          <w:lang w:val="bg-BG" w:eastAsia="en-GB"/>
        </w:rPr>
        <w:t xml:space="preserve"> енергия, от възобновяеми източници, а не на произведена. Както и по-горе, отново е прието, че данните за сектор „Търговия и услуги“ съответстват на нежилищните сгради.</w:t>
      </w:r>
    </w:p>
    <w:p w14:paraId="57E9A571" w14:textId="6EB29D53" w:rsidR="006C3319" w:rsidRPr="006F3533" w:rsidRDefault="00847F22" w:rsidP="00847F2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eastAsia="en-GB"/>
        </w:rPr>
        <w:t xml:space="preserve">Според националните енергийни баланси на НСИ за 2023 г. общото крайно потребление на възобновяема енергия и биогорива в сектор „Търговия, обществени услуги и други“ (съответстващ на нежилищните сгради) е 324,85 </w:t>
      </w:r>
      <w:proofErr w:type="spellStart"/>
      <w:r w:rsidRPr="006F3533">
        <w:rPr>
          <w:rFonts w:eastAsia="Times New Roman" w:cs="Times New Roman"/>
          <w:szCs w:val="24"/>
          <w:lang w:val="bg-BG" w:eastAsia="en-GB"/>
        </w:rPr>
        <w:t>ktoe</w:t>
      </w:r>
      <w:proofErr w:type="spellEnd"/>
      <w:r w:rsidRPr="006F3533">
        <w:rPr>
          <w:rFonts w:eastAsia="Times New Roman" w:cs="Times New Roman"/>
          <w:szCs w:val="24"/>
          <w:lang w:val="bg-BG" w:eastAsia="en-GB"/>
        </w:rPr>
        <w:t xml:space="preserve">. Тази стойност, отнесена към общото крайно потребление на енергия на нежилищните сгради в страната, посочено в таблица 8 по-горе, а именно 1263.38 </w:t>
      </w:r>
      <w:proofErr w:type="spellStart"/>
      <w:r w:rsidRPr="006F3533">
        <w:rPr>
          <w:rFonts w:eastAsia="Times New Roman" w:cs="Times New Roman"/>
          <w:szCs w:val="24"/>
          <w:lang w:val="bg-BG" w:eastAsia="en-GB"/>
        </w:rPr>
        <w:t>ktoe</w:t>
      </w:r>
      <w:proofErr w:type="spellEnd"/>
      <w:r w:rsidRPr="006F3533">
        <w:rPr>
          <w:rFonts w:eastAsia="Times New Roman" w:cs="Times New Roman"/>
          <w:szCs w:val="24"/>
          <w:lang w:val="bg-BG" w:eastAsia="en-GB"/>
        </w:rPr>
        <w:t>, представлява дял от 25,7%. Следва да се има предвид обаче, че това потребление на възобновяема енергия не отразява единствено произведената енергия от възобновяеми източници в сградите или близо до тях.</w:t>
      </w:r>
    </w:p>
    <w:p w14:paraId="3DEE2F93" w14:textId="3CEBC9C8" w:rsidR="006C3319" w:rsidRPr="006F3533" w:rsidRDefault="006C3319" w:rsidP="00077D42">
      <w:pPr>
        <w:pStyle w:val="Heading2"/>
        <w:jc w:val="both"/>
        <w:rPr>
          <w:lang w:val="bg-BG"/>
        </w:rPr>
      </w:pPr>
      <w:bookmarkStart w:id="134" w:name="_Toc217888788"/>
      <w:r w:rsidRPr="006F3533">
        <w:rPr>
          <w:lang w:val="bg-BG"/>
        </w:rPr>
        <w:t xml:space="preserve">Годишни </w:t>
      </w:r>
      <w:proofErr w:type="spellStart"/>
      <w:r w:rsidR="008F70E5" w:rsidRPr="006F3533">
        <w:rPr>
          <w:lang w:val="bg-BG"/>
        </w:rPr>
        <w:t>екплоатационни</w:t>
      </w:r>
      <w:proofErr w:type="spellEnd"/>
      <w:r w:rsidRPr="006F3533">
        <w:rPr>
          <w:lang w:val="bg-BG"/>
        </w:rPr>
        <w:t xml:space="preserve"> емисии на парникови газове</w:t>
      </w:r>
      <w:r w:rsidR="00150F54" w:rsidRPr="006F3533">
        <w:rPr>
          <w:lang w:val="bg-BG"/>
        </w:rPr>
        <w:t xml:space="preserve"> по видове сгради (</w:t>
      </w:r>
      <w:proofErr w:type="spellStart"/>
      <w:r w:rsidR="00150F54" w:rsidRPr="006F3533">
        <w:rPr>
          <w:lang w:val="bg-BG"/>
        </w:rPr>
        <w:t>kgCO₂eq</w:t>
      </w:r>
      <w:proofErr w:type="spellEnd"/>
      <w:r w:rsidR="00150F54" w:rsidRPr="006F3533">
        <w:rPr>
          <w:lang w:val="bg-BG"/>
        </w:rPr>
        <w:t>/(m²·година))</w:t>
      </w:r>
      <w:bookmarkEnd w:id="134"/>
    </w:p>
    <w:p w14:paraId="09C90746" w14:textId="5F2E1064" w:rsidR="006C3319" w:rsidRPr="006F3533" w:rsidRDefault="006C3319"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Годишните </w:t>
      </w:r>
      <w:r w:rsidR="008F70E5" w:rsidRPr="006F3533">
        <w:rPr>
          <w:rFonts w:eastAsia="Times New Roman" w:cs="Times New Roman"/>
          <w:szCs w:val="24"/>
          <w:lang w:val="bg-BG"/>
        </w:rPr>
        <w:t>експлоатационни</w:t>
      </w:r>
      <w:r w:rsidRPr="006F3533">
        <w:rPr>
          <w:rFonts w:eastAsia="Times New Roman" w:cs="Times New Roman"/>
          <w:szCs w:val="24"/>
          <w:lang w:val="bg-BG"/>
        </w:rPr>
        <w:t xml:space="preserve"> емисии на парникови газове за сградния сектор са определени на база крайното потребление на енергия по видове енергийни ресурси за сектор </w:t>
      </w:r>
      <w:r w:rsidRPr="006F3533">
        <w:rPr>
          <w:rFonts w:eastAsia="Times New Roman" w:cs="Times New Roman"/>
          <w:i/>
          <w:iCs/>
          <w:szCs w:val="24"/>
          <w:lang w:val="bg-BG"/>
        </w:rPr>
        <w:t>„Търговия и услуги“</w:t>
      </w:r>
      <w:r w:rsidRPr="006F3533">
        <w:rPr>
          <w:rFonts w:eastAsia="Times New Roman" w:cs="Times New Roman"/>
          <w:szCs w:val="24"/>
          <w:lang w:val="bg-BG"/>
        </w:rPr>
        <w:t xml:space="preserve">, съгласно Енергийните баланси на Националния </w:t>
      </w:r>
      <w:r w:rsidRPr="006F3533">
        <w:rPr>
          <w:rFonts w:eastAsia="Times New Roman" w:cs="Times New Roman"/>
          <w:szCs w:val="24"/>
          <w:lang w:val="bg-BG"/>
        </w:rPr>
        <w:lastRenderedPageBreak/>
        <w:t xml:space="preserve">статистически институт (НСИ) за 2023 г. </w:t>
      </w:r>
      <w:r w:rsidR="00150F54" w:rsidRPr="006F3533">
        <w:rPr>
          <w:rFonts w:eastAsia="Times New Roman" w:cs="Times New Roman"/>
          <w:szCs w:val="24"/>
          <w:lang w:val="bg-BG"/>
        </w:rPr>
        <w:t>Данните за то</w:t>
      </w:r>
      <w:r w:rsidRPr="006F3533">
        <w:rPr>
          <w:rFonts w:eastAsia="Times New Roman" w:cs="Times New Roman"/>
          <w:szCs w:val="24"/>
          <w:lang w:val="bg-BG"/>
        </w:rPr>
        <w:t xml:space="preserve">зи сектор </w:t>
      </w:r>
      <w:r w:rsidR="00150F54" w:rsidRPr="006F3533">
        <w:rPr>
          <w:rFonts w:eastAsia="Times New Roman" w:cs="Times New Roman"/>
          <w:szCs w:val="24"/>
          <w:lang w:val="bg-BG"/>
        </w:rPr>
        <w:t>се приема, че съответстват на</w:t>
      </w:r>
      <w:r w:rsidRPr="006F3533">
        <w:rPr>
          <w:rFonts w:eastAsia="Times New Roman" w:cs="Times New Roman"/>
          <w:szCs w:val="24"/>
          <w:lang w:val="bg-BG"/>
        </w:rPr>
        <w:t xml:space="preserve"> нежилищните сгради.</w:t>
      </w:r>
    </w:p>
    <w:p w14:paraId="0028C9EC" w14:textId="77777777" w:rsidR="006C3319" w:rsidRPr="006F3533" w:rsidRDefault="006C3319"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За изчисляване на емисиите са приложени емисионните фактори за съответните енергийни ресурси, определени в </w:t>
      </w:r>
      <w:r w:rsidRPr="006F3533">
        <w:rPr>
          <w:rFonts w:eastAsia="Times New Roman" w:cs="Times New Roman"/>
          <w:i/>
          <w:iCs/>
          <w:szCs w:val="24"/>
          <w:lang w:val="bg-BG"/>
        </w:rPr>
        <w:t>Наредба № РД-02-20-3 за техническите изисквания към енергийните характеристики на сградите</w:t>
      </w:r>
      <w:r w:rsidRPr="006F3533">
        <w:rPr>
          <w:rFonts w:eastAsia="Times New Roman" w:cs="Times New Roman"/>
          <w:szCs w:val="24"/>
          <w:lang w:val="bg-BG"/>
        </w:rPr>
        <w:t xml:space="preserve"> (консолидирана версия с изменения в сила от 1 март 2024 г.).</w:t>
      </w:r>
    </w:p>
    <w:p w14:paraId="37D70CC5" w14:textId="77777777" w:rsidR="006C3319" w:rsidRPr="006F3533" w:rsidRDefault="006C3319"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Емисиите са изчислени чрез прилагане на стандартния подход:</w:t>
      </w:r>
    </w:p>
    <w:p w14:paraId="5011B796" w14:textId="77777777" w:rsidR="006C3319" w:rsidRPr="006F3533" w:rsidRDefault="006C3319" w:rsidP="00077D42">
      <w:pPr>
        <w:spacing w:before="100" w:beforeAutospacing="1" w:after="100" w:afterAutospacing="1" w:line="240" w:lineRule="auto"/>
        <w:jc w:val="both"/>
        <w:rPr>
          <w:rFonts w:eastAsia="Times New Roman" w:cs="Times New Roman"/>
          <w:b/>
          <w:bCs/>
          <w:i/>
          <w:iCs/>
          <w:szCs w:val="24"/>
          <w:lang w:val="bg-BG"/>
        </w:rPr>
      </w:pPr>
      <w:r w:rsidRPr="006F3533">
        <w:rPr>
          <w:rFonts w:eastAsia="Times New Roman" w:cs="Times New Roman"/>
          <w:b/>
          <w:bCs/>
          <w:i/>
          <w:iCs/>
          <w:szCs w:val="24"/>
          <w:lang w:val="bg-BG"/>
        </w:rPr>
        <w:t>Емисии на ПГ = крайно енергийно потребление по енергоносители × съответен емисионен фактор</w:t>
      </w:r>
    </w:p>
    <w:p w14:paraId="52BCCB6F" w14:textId="5BD68382" w:rsidR="006C3319" w:rsidRPr="006F3533" w:rsidRDefault="006C3319"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Получените общи годишни емисии са отнесени към общата разгъната застроена площ на нежилищните сгради, с цел определяне на показателя </w:t>
      </w:r>
      <w:proofErr w:type="spellStart"/>
      <w:r w:rsidRPr="006F3533">
        <w:rPr>
          <w:rFonts w:eastAsia="Times New Roman" w:cs="Times New Roman"/>
          <w:szCs w:val="24"/>
          <w:lang w:val="bg-BG"/>
        </w:rPr>
        <w:t>kgCO₂eq</w:t>
      </w:r>
      <w:proofErr w:type="spellEnd"/>
      <w:r w:rsidRPr="006F3533">
        <w:rPr>
          <w:rFonts w:eastAsia="Times New Roman" w:cs="Times New Roman"/>
          <w:szCs w:val="24"/>
          <w:lang w:val="bg-BG"/>
        </w:rPr>
        <w:t xml:space="preserve">/(m²·година), както се изисква в </w:t>
      </w:r>
      <w:r w:rsidR="00150F54" w:rsidRPr="006F3533">
        <w:rPr>
          <w:rFonts w:eastAsia="Times New Roman" w:cs="Times New Roman"/>
          <w:szCs w:val="24"/>
          <w:lang w:val="bg-BG"/>
        </w:rPr>
        <w:t>образеца</w:t>
      </w:r>
      <w:r w:rsidRPr="006F3533">
        <w:rPr>
          <w:rFonts w:eastAsia="Times New Roman" w:cs="Times New Roman"/>
          <w:szCs w:val="24"/>
          <w:lang w:val="bg-BG"/>
        </w:rPr>
        <w:t>.</w:t>
      </w:r>
    </w:p>
    <w:p w14:paraId="296665B8" w14:textId="77777777" w:rsidR="006C3319" w:rsidRPr="006F3533" w:rsidRDefault="006C3319"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Използваните емисионни фактори са официално утвърдени на национално ниво и се прилагат задължително при всички енергийни обследвания за енергийна ефективност и при издаването на сертификати за енергийни характеристики на сгради. Това гарантира:</w:t>
      </w:r>
    </w:p>
    <w:p w14:paraId="585906E7" w14:textId="1F558FE4" w:rsidR="006C3319" w:rsidRPr="006F3533" w:rsidRDefault="006C3319">
      <w:pPr>
        <w:numPr>
          <w:ilvl w:val="0"/>
          <w:numId w:val="18"/>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методологична последователност с</w:t>
      </w:r>
      <w:r w:rsidR="00150F54" w:rsidRPr="006F3533">
        <w:rPr>
          <w:rFonts w:eastAsia="Times New Roman" w:cs="Times New Roman"/>
          <w:szCs w:val="24"/>
          <w:lang w:val="bg-BG"/>
        </w:rPr>
        <w:t xml:space="preserve">ъс </w:t>
      </w:r>
      <w:r w:rsidRPr="006F3533">
        <w:rPr>
          <w:rFonts w:eastAsia="Times New Roman" w:cs="Times New Roman"/>
          <w:szCs w:val="24"/>
          <w:lang w:val="bg-BG"/>
        </w:rPr>
        <w:t>системата</w:t>
      </w:r>
      <w:r w:rsidR="00150F54" w:rsidRPr="006F3533">
        <w:rPr>
          <w:rFonts w:eastAsia="Times New Roman" w:cs="Times New Roman"/>
          <w:szCs w:val="24"/>
          <w:lang w:val="bg-BG"/>
        </w:rPr>
        <w:t xml:space="preserve"> за сертифициране на енергийните характеристики на сгради</w:t>
      </w:r>
      <w:r w:rsidRPr="006F3533">
        <w:rPr>
          <w:rFonts w:eastAsia="Times New Roman" w:cs="Times New Roman"/>
          <w:szCs w:val="24"/>
          <w:lang w:val="bg-BG"/>
        </w:rPr>
        <w:t>;</w:t>
      </w:r>
    </w:p>
    <w:p w14:paraId="6A6ABB8F" w14:textId="77777777" w:rsidR="006C3319" w:rsidRPr="006F3533" w:rsidRDefault="006C3319">
      <w:pPr>
        <w:numPr>
          <w:ilvl w:val="0"/>
          <w:numId w:val="18"/>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съпоставимост на резултатите във времето;</w:t>
      </w:r>
    </w:p>
    <w:p w14:paraId="1BAA4F84" w14:textId="4FA5E462" w:rsidR="006C3319" w:rsidRPr="006F3533" w:rsidRDefault="006C3319">
      <w:pPr>
        <w:numPr>
          <w:ilvl w:val="0"/>
          <w:numId w:val="18"/>
        </w:num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пряка връзка между отчетните стойности и бъдещото прилагане на </w:t>
      </w:r>
      <w:r w:rsidR="00150F54" w:rsidRPr="006F3533">
        <w:rPr>
          <w:rFonts w:eastAsia="Times New Roman" w:cs="Times New Roman"/>
          <w:szCs w:val="24"/>
          <w:lang w:val="bg-BG"/>
        </w:rPr>
        <w:t>минимални стандарти за енергийните характеристики</w:t>
      </w:r>
      <w:r w:rsidRPr="006F3533">
        <w:rPr>
          <w:rFonts w:eastAsia="Times New Roman" w:cs="Times New Roman"/>
          <w:szCs w:val="24"/>
          <w:lang w:val="bg-BG"/>
        </w:rPr>
        <w:t xml:space="preserve"> и политики за </w:t>
      </w:r>
      <w:proofErr w:type="spellStart"/>
      <w:r w:rsidRPr="006F3533">
        <w:rPr>
          <w:rFonts w:eastAsia="Times New Roman" w:cs="Times New Roman"/>
          <w:szCs w:val="24"/>
          <w:lang w:val="bg-BG"/>
        </w:rPr>
        <w:t>декарбонизация</w:t>
      </w:r>
      <w:proofErr w:type="spellEnd"/>
      <w:r w:rsidRPr="006F3533">
        <w:rPr>
          <w:rFonts w:eastAsia="Times New Roman" w:cs="Times New Roman"/>
          <w:szCs w:val="24"/>
          <w:lang w:val="bg-BG"/>
        </w:rPr>
        <w:t>.</w:t>
      </w:r>
    </w:p>
    <w:p w14:paraId="3C2B8089" w14:textId="10E36C10" w:rsidR="006C3319" w:rsidRPr="006F3533" w:rsidRDefault="006C3319"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Следва да се отбележи, че към момента липсва систематизирана национална информация за </w:t>
      </w:r>
      <w:r w:rsidR="00150F54" w:rsidRPr="006F3533">
        <w:rPr>
          <w:rFonts w:eastAsia="Times New Roman" w:cs="Times New Roman"/>
          <w:szCs w:val="24"/>
          <w:lang w:val="bg-BG"/>
        </w:rPr>
        <w:t xml:space="preserve">крайното потребление на енергия </w:t>
      </w:r>
      <w:r w:rsidRPr="006F3533">
        <w:rPr>
          <w:rFonts w:eastAsia="Times New Roman" w:cs="Times New Roman"/>
          <w:szCs w:val="24"/>
          <w:lang w:val="bg-BG"/>
        </w:rPr>
        <w:t xml:space="preserve">по отделни типове нежилищни сгради (напр. административни, търговски, образователни, здравни и др.). Поради това </w:t>
      </w:r>
      <w:r w:rsidR="00150F54" w:rsidRPr="006F3533">
        <w:rPr>
          <w:rFonts w:eastAsia="Times New Roman" w:cs="Times New Roman"/>
          <w:szCs w:val="24"/>
          <w:lang w:val="bg-BG"/>
        </w:rPr>
        <w:t xml:space="preserve">оперативните емисии на парникови газове </w:t>
      </w:r>
      <w:r w:rsidRPr="006F3533">
        <w:rPr>
          <w:rFonts w:eastAsia="Times New Roman" w:cs="Times New Roman"/>
          <w:szCs w:val="24"/>
          <w:lang w:val="bg-BG"/>
        </w:rPr>
        <w:t xml:space="preserve">са представени на </w:t>
      </w:r>
      <w:proofErr w:type="spellStart"/>
      <w:r w:rsidRPr="006F3533">
        <w:rPr>
          <w:rFonts w:eastAsia="Times New Roman" w:cs="Times New Roman"/>
          <w:szCs w:val="24"/>
          <w:lang w:val="bg-BG"/>
        </w:rPr>
        <w:t>агрегирано</w:t>
      </w:r>
      <w:proofErr w:type="spellEnd"/>
      <w:r w:rsidRPr="006F3533">
        <w:rPr>
          <w:rFonts w:eastAsia="Times New Roman" w:cs="Times New Roman"/>
          <w:szCs w:val="24"/>
          <w:lang w:val="bg-BG"/>
        </w:rPr>
        <w:t xml:space="preserve"> ниво за целия сегмент на нежилищните сгради, което е в съответствие с наличните статистически данни и официалната методология.</w:t>
      </w:r>
    </w:p>
    <w:p w14:paraId="47504A95" w14:textId="6EEA1184" w:rsidR="00EA0227" w:rsidRPr="006F3533" w:rsidRDefault="00EA0227" w:rsidP="00077D42">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11. Годишни оперативни въглеродни емисии по видове сгради за 2023 г. </w:t>
      </w:r>
    </w:p>
    <w:tbl>
      <w:tblPr>
        <w:tblStyle w:val="TableGrid"/>
        <w:tblW w:w="5000" w:type="pct"/>
        <w:tblLook w:val="04A0" w:firstRow="1" w:lastRow="0" w:firstColumn="1" w:lastColumn="0" w:noHBand="0" w:noVBand="1"/>
      </w:tblPr>
      <w:tblGrid>
        <w:gridCol w:w="777"/>
        <w:gridCol w:w="3016"/>
        <w:gridCol w:w="874"/>
        <w:gridCol w:w="2137"/>
        <w:gridCol w:w="2258"/>
      </w:tblGrid>
      <w:tr w:rsidR="004E3016" w:rsidRPr="006F3533" w14:paraId="0633C83C" w14:textId="77777777" w:rsidTr="0039488E">
        <w:trPr>
          <w:trHeight w:val="300"/>
        </w:trPr>
        <w:tc>
          <w:tcPr>
            <w:tcW w:w="428" w:type="pct"/>
            <w:shd w:val="clear" w:color="auto" w:fill="D0CECE" w:themeFill="background2" w:themeFillShade="E6"/>
          </w:tcPr>
          <w:p w14:paraId="33B8290A" w14:textId="77777777" w:rsidR="004E3016" w:rsidRPr="006F3533" w:rsidRDefault="004E3016" w:rsidP="00077D42">
            <w:pPr>
              <w:pStyle w:val="ListParagraph"/>
              <w:ind w:left="0"/>
              <w:jc w:val="both"/>
              <w:rPr>
                <w:rFonts w:cs="Times New Roman"/>
                <w:szCs w:val="24"/>
                <w:lang w:val="bg-BG"/>
              </w:rPr>
            </w:pPr>
            <w:proofErr w:type="spellStart"/>
            <w:r w:rsidRPr="006F3533">
              <w:rPr>
                <w:rFonts w:cs="Times New Roman"/>
                <w:szCs w:val="24"/>
                <w:lang w:val="bg-BG"/>
              </w:rPr>
              <w:t>Code</w:t>
            </w:r>
            <w:proofErr w:type="spellEnd"/>
          </w:p>
        </w:tc>
        <w:tc>
          <w:tcPr>
            <w:tcW w:w="1664" w:type="pct"/>
            <w:shd w:val="clear" w:color="auto" w:fill="D0CECE" w:themeFill="background2" w:themeFillShade="E6"/>
          </w:tcPr>
          <w:p w14:paraId="3B0B3675"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Building</w:t>
            </w:r>
          </w:p>
          <w:p w14:paraId="3834E778" w14:textId="77777777" w:rsidR="004E3016" w:rsidRPr="006F3533" w:rsidRDefault="004E3016" w:rsidP="00077D42">
            <w:pPr>
              <w:pStyle w:val="ListParagraph"/>
              <w:ind w:left="0"/>
              <w:jc w:val="both"/>
              <w:rPr>
                <w:rFonts w:cs="Times New Roman"/>
                <w:szCs w:val="24"/>
                <w:lang w:val="bg-BG"/>
              </w:rPr>
            </w:pPr>
            <w:proofErr w:type="spellStart"/>
            <w:r w:rsidRPr="006F3533">
              <w:rPr>
                <w:rFonts w:cs="Times New Roman"/>
                <w:szCs w:val="24"/>
                <w:lang w:val="bg-BG"/>
              </w:rPr>
              <w:t>Type</w:t>
            </w:r>
            <w:proofErr w:type="spellEnd"/>
          </w:p>
        </w:tc>
        <w:tc>
          <w:tcPr>
            <w:tcW w:w="482" w:type="pct"/>
            <w:shd w:val="clear" w:color="auto" w:fill="D0CECE" w:themeFill="background2" w:themeFillShade="E6"/>
          </w:tcPr>
          <w:p w14:paraId="60A0AC93"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M/</w:t>
            </w:r>
          </w:p>
          <w:p w14:paraId="0F097645" w14:textId="77777777" w:rsidR="004E3016" w:rsidRPr="006F3533" w:rsidRDefault="004E3016"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179" w:type="pct"/>
            <w:shd w:val="clear" w:color="auto" w:fill="D0CECE" w:themeFill="background2" w:themeFillShade="E6"/>
          </w:tcPr>
          <w:p w14:paraId="790AF9FF"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 xml:space="preserve">Total GHG </w:t>
            </w:r>
            <w:proofErr w:type="spellStart"/>
            <w:r w:rsidRPr="006F3533">
              <w:rPr>
                <w:rFonts w:cs="Times New Roman"/>
                <w:szCs w:val="24"/>
                <w:lang w:val="bg-BG"/>
              </w:rPr>
              <w:t>emissions</w:t>
            </w:r>
            <w:proofErr w:type="spellEnd"/>
          </w:p>
          <w:p w14:paraId="3525B009" w14:textId="66237BCD" w:rsidR="004E3016" w:rsidRPr="006F3533" w:rsidRDefault="004E3016"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w:t>
            </w:r>
            <w:r w:rsidR="00384445" w:rsidRPr="006F3533">
              <w:rPr>
                <w:rFonts w:cs="Times New Roman"/>
                <w:szCs w:val="24"/>
                <w:lang w:val="bg-BG"/>
              </w:rPr>
              <w:t>2023</w:t>
            </w:r>
          </w:p>
          <w:p w14:paraId="01DF219D" w14:textId="117341BE"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w:t>
            </w:r>
            <w:r w:rsidR="00826D7B" w:rsidRPr="006F3533">
              <w:rPr>
                <w:rFonts w:cs="Times New Roman"/>
                <w:szCs w:val="24"/>
                <w:lang w:val="bg-BG"/>
              </w:rPr>
              <w:t>Mt</w:t>
            </w:r>
            <w:r w:rsidRPr="006F3533">
              <w:rPr>
                <w:rFonts w:cs="Times New Roman"/>
                <w:szCs w:val="24"/>
                <w:lang w:val="bg-BG"/>
              </w:rPr>
              <w:t>CO2eq)</w:t>
            </w:r>
          </w:p>
          <w:p w14:paraId="68193D6E" w14:textId="77777777" w:rsidR="004E3016" w:rsidRPr="006F3533" w:rsidRDefault="004E3016" w:rsidP="00077D42">
            <w:pPr>
              <w:pStyle w:val="ListParagraph"/>
              <w:ind w:left="0"/>
              <w:jc w:val="both"/>
              <w:rPr>
                <w:rFonts w:cs="Times New Roman"/>
                <w:szCs w:val="24"/>
                <w:lang w:val="bg-BG"/>
              </w:rPr>
            </w:pPr>
          </w:p>
        </w:tc>
        <w:tc>
          <w:tcPr>
            <w:tcW w:w="1246" w:type="pct"/>
            <w:shd w:val="clear" w:color="auto" w:fill="D0CECE" w:themeFill="background2" w:themeFillShade="E6"/>
          </w:tcPr>
          <w:p w14:paraId="2B56840D"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 xml:space="preserve">GHG </w:t>
            </w:r>
            <w:proofErr w:type="spellStart"/>
            <w:r w:rsidRPr="006F3533">
              <w:rPr>
                <w:rFonts w:cs="Times New Roman"/>
                <w:szCs w:val="24"/>
                <w:lang w:val="bg-BG"/>
              </w:rPr>
              <w:t>emissions</w:t>
            </w:r>
            <w:proofErr w:type="spellEnd"/>
            <w:r w:rsidRPr="006F3533">
              <w:rPr>
                <w:rFonts w:cs="Times New Roman"/>
                <w:szCs w:val="24"/>
                <w:lang w:val="bg-BG"/>
              </w:rPr>
              <w:t xml:space="preserve"> </w:t>
            </w:r>
            <w:proofErr w:type="spellStart"/>
            <w:r w:rsidRPr="006F3533">
              <w:rPr>
                <w:rFonts w:cs="Times New Roman"/>
                <w:szCs w:val="24"/>
                <w:lang w:val="bg-BG"/>
              </w:rPr>
              <w:t>per</w:t>
            </w:r>
            <w:proofErr w:type="spellEnd"/>
            <w:r w:rsidRPr="006F3533">
              <w:rPr>
                <w:rFonts w:cs="Times New Roman"/>
                <w:szCs w:val="24"/>
                <w:lang w:val="bg-BG"/>
              </w:rPr>
              <w:t xml:space="preserve"> m²</w:t>
            </w:r>
          </w:p>
          <w:p w14:paraId="31149E19" w14:textId="400F3859" w:rsidR="004E3016" w:rsidRPr="006F3533" w:rsidRDefault="004E3016"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w:t>
            </w:r>
            <w:r w:rsidR="00384445" w:rsidRPr="006F3533">
              <w:rPr>
                <w:rFonts w:cs="Times New Roman"/>
                <w:szCs w:val="24"/>
                <w:lang w:val="bg-BG"/>
              </w:rPr>
              <w:t>2023</w:t>
            </w:r>
            <w:r w:rsidRPr="006F3533">
              <w:rPr>
                <w:rFonts w:cs="Times New Roman"/>
                <w:szCs w:val="24"/>
                <w:lang w:val="bg-BG"/>
              </w:rPr>
              <w:t xml:space="preserve"> </w:t>
            </w:r>
          </w:p>
          <w:p w14:paraId="7F01E179" w14:textId="44FFF4A4"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(kgCO2eq/(m</w:t>
            </w:r>
            <w:r w:rsidR="00FC5358" w:rsidRPr="006F3533">
              <w:rPr>
                <w:rFonts w:cs="Times New Roman"/>
                <w:szCs w:val="24"/>
                <w:lang w:val="bg-BG"/>
              </w:rPr>
              <w:t>²</w:t>
            </w:r>
            <w:r w:rsidRPr="006F3533">
              <w:rPr>
                <w:rFonts w:cs="Times New Roman"/>
                <w:szCs w:val="24"/>
                <w:lang w:val="bg-BG"/>
              </w:rPr>
              <w:t>.y))</w:t>
            </w:r>
          </w:p>
        </w:tc>
      </w:tr>
      <w:tr w:rsidR="004E3016" w:rsidRPr="006F3533" w14:paraId="56E7A755" w14:textId="77777777" w:rsidTr="0039488E">
        <w:trPr>
          <w:trHeight w:val="300"/>
        </w:trPr>
        <w:tc>
          <w:tcPr>
            <w:tcW w:w="428" w:type="pct"/>
          </w:tcPr>
          <w:p w14:paraId="0B956138"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 xml:space="preserve">R </w:t>
            </w:r>
          </w:p>
        </w:tc>
        <w:tc>
          <w:tcPr>
            <w:tcW w:w="1664" w:type="pct"/>
          </w:tcPr>
          <w:p w14:paraId="7CBF5664" w14:textId="77777777" w:rsidR="004E3016" w:rsidRPr="006F3533" w:rsidRDefault="004E3016" w:rsidP="00077D42">
            <w:pPr>
              <w:jc w:val="both"/>
              <w:rPr>
                <w:rFonts w:cs="Times New Roman"/>
                <w:szCs w:val="24"/>
                <w:lang w:val="bg-BG"/>
              </w:rPr>
            </w:pPr>
            <w:proofErr w:type="spellStart"/>
            <w:r w:rsidRPr="006F3533">
              <w:rPr>
                <w:rFonts w:cs="Times New Roman"/>
                <w:szCs w:val="24"/>
                <w:lang w:val="bg-BG"/>
              </w:rPr>
              <w:t>Residential</w:t>
            </w:r>
            <w:proofErr w:type="spellEnd"/>
            <w:r w:rsidRPr="006F3533">
              <w:rPr>
                <w:rFonts w:cs="Times New Roman"/>
                <w:szCs w:val="24"/>
                <w:lang w:val="bg-BG"/>
              </w:rPr>
              <w:t xml:space="preserve"> </w:t>
            </w:r>
          </w:p>
          <w:p w14:paraId="53622B3F" w14:textId="77777777" w:rsidR="004E3016" w:rsidRPr="006F3533" w:rsidRDefault="004E3016" w:rsidP="00077D42">
            <w:pPr>
              <w:jc w:val="both"/>
              <w:rPr>
                <w:rFonts w:cs="Times New Roman"/>
                <w:szCs w:val="24"/>
                <w:lang w:val="bg-BG"/>
              </w:rPr>
            </w:pPr>
          </w:p>
          <w:p w14:paraId="7821DF88" w14:textId="77777777" w:rsidR="004E3016" w:rsidRPr="006F3533" w:rsidRDefault="004E3016" w:rsidP="00077D42">
            <w:pPr>
              <w:jc w:val="both"/>
              <w:rPr>
                <w:rFonts w:cs="Times New Roman"/>
                <w:i/>
                <w:iCs/>
                <w:szCs w:val="24"/>
                <w:lang w:val="bg-BG"/>
              </w:rPr>
            </w:pPr>
          </w:p>
          <w:p w14:paraId="468967D5" w14:textId="77777777" w:rsidR="004E3016" w:rsidRPr="006F3533" w:rsidRDefault="004E3016" w:rsidP="00077D42">
            <w:pPr>
              <w:jc w:val="both"/>
              <w:rPr>
                <w:rFonts w:cs="Times New Roman"/>
                <w:i/>
                <w:iCs/>
                <w:szCs w:val="24"/>
                <w:lang w:val="bg-BG"/>
              </w:rPr>
            </w:pPr>
          </w:p>
          <w:p w14:paraId="206120EF" w14:textId="77777777" w:rsidR="004E3016" w:rsidRPr="006F3533" w:rsidRDefault="004E3016" w:rsidP="00077D42">
            <w:pPr>
              <w:jc w:val="both"/>
              <w:rPr>
                <w:rFonts w:cs="Times New Roman"/>
                <w:szCs w:val="24"/>
                <w:lang w:val="bg-BG"/>
              </w:rPr>
            </w:pP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p>
        </w:tc>
        <w:tc>
          <w:tcPr>
            <w:tcW w:w="482" w:type="pct"/>
          </w:tcPr>
          <w:p w14:paraId="49394066"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M</w:t>
            </w:r>
          </w:p>
        </w:tc>
        <w:tc>
          <w:tcPr>
            <w:tcW w:w="1179" w:type="pct"/>
          </w:tcPr>
          <w:p w14:paraId="34685F26" w14:textId="77777777" w:rsidR="004E3016" w:rsidRPr="006F3533" w:rsidRDefault="004E3016" w:rsidP="00077D42">
            <w:pPr>
              <w:jc w:val="both"/>
              <w:rPr>
                <w:rFonts w:cs="Times New Roman"/>
                <w:color w:val="0070C0"/>
                <w:szCs w:val="24"/>
                <w:lang w:val="bg-BG"/>
              </w:rPr>
            </w:pPr>
            <w:r w:rsidRPr="006F3533">
              <w:rPr>
                <w:rFonts w:cs="Times New Roman"/>
                <w:color w:val="0070C0"/>
                <w:szCs w:val="24"/>
                <w:lang w:val="bg-BG"/>
              </w:rPr>
              <w:t>R= (a) + (b1)</w:t>
            </w:r>
          </w:p>
          <w:p w14:paraId="23170355" w14:textId="77777777" w:rsidR="004E3016" w:rsidRPr="006F3533" w:rsidRDefault="004E3016" w:rsidP="00077D42">
            <w:pPr>
              <w:jc w:val="both"/>
              <w:rPr>
                <w:rFonts w:cs="Times New Roman"/>
                <w:color w:val="0070C0"/>
                <w:szCs w:val="24"/>
                <w:lang w:val="bg-BG"/>
              </w:rPr>
            </w:pPr>
            <w:proofErr w:type="spellStart"/>
            <w:r w:rsidRPr="006F3533">
              <w:rPr>
                <w:rFonts w:cs="Times New Roman"/>
                <w:color w:val="0070C0"/>
                <w:szCs w:val="24"/>
                <w:lang w:val="bg-BG"/>
              </w:rPr>
              <w:t>or</w:t>
            </w:r>
            <w:proofErr w:type="spellEnd"/>
          </w:p>
          <w:p w14:paraId="44E79524" w14:textId="77777777" w:rsidR="004E3016" w:rsidRPr="006F3533" w:rsidRDefault="004E3016" w:rsidP="00077D42">
            <w:pPr>
              <w:jc w:val="both"/>
              <w:rPr>
                <w:rFonts w:cs="Times New Roman"/>
                <w:color w:val="0070C0"/>
                <w:szCs w:val="24"/>
                <w:lang w:val="bg-BG"/>
              </w:rPr>
            </w:pPr>
            <w:r w:rsidRPr="006F3533">
              <w:rPr>
                <w:rFonts w:cs="Times New Roman"/>
                <w:color w:val="0070C0"/>
                <w:szCs w:val="24"/>
                <w:lang w:val="bg-BG"/>
              </w:rPr>
              <w:t>R = (a) + (b2)</w:t>
            </w:r>
          </w:p>
          <w:p w14:paraId="035167F0" w14:textId="77777777" w:rsidR="004E3016" w:rsidRPr="006F3533" w:rsidRDefault="004E3016" w:rsidP="00077D42">
            <w:pPr>
              <w:jc w:val="both"/>
              <w:rPr>
                <w:rFonts w:cs="Times New Roman"/>
                <w:color w:val="0070C0"/>
                <w:szCs w:val="24"/>
                <w:lang w:val="bg-BG"/>
              </w:rPr>
            </w:pPr>
          </w:p>
          <w:p w14:paraId="650D1E34" w14:textId="77777777" w:rsidR="004E3016" w:rsidRPr="006F3533" w:rsidRDefault="004E3016" w:rsidP="00077D42">
            <w:pPr>
              <w:jc w:val="both"/>
              <w:rPr>
                <w:rFonts w:cs="Times New Roman"/>
                <w:color w:val="0070C0"/>
                <w:szCs w:val="24"/>
                <w:lang w:val="bg-BG"/>
              </w:rPr>
            </w:pPr>
          </w:p>
        </w:tc>
        <w:tc>
          <w:tcPr>
            <w:tcW w:w="1246" w:type="pct"/>
          </w:tcPr>
          <w:p w14:paraId="434C9DB0" w14:textId="37B1B518" w:rsidR="004E3016" w:rsidRPr="006F3533" w:rsidRDefault="004E3016" w:rsidP="00077D42">
            <w:pPr>
              <w:jc w:val="both"/>
              <w:rPr>
                <w:rFonts w:cs="Times New Roman"/>
                <w:color w:val="0070C0"/>
                <w:szCs w:val="24"/>
                <w:lang w:val="bg-BG"/>
              </w:rPr>
            </w:pPr>
            <w:r w:rsidRPr="006F3533">
              <w:rPr>
                <w:rFonts w:cs="Times New Roman"/>
                <w:color w:val="0070C0"/>
                <w:szCs w:val="24"/>
                <w:lang w:val="bg-BG"/>
              </w:rPr>
              <w:t>R’= R / (</w:t>
            </w:r>
            <w:proofErr w:type="spellStart"/>
            <w:r w:rsidRPr="006F3533">
              <w:rPr>
                <w:rFonts w:cs="Times New Roman"/>
                <w:color w:val="0070C0"/>
                <w:szCs w:val="24"/>
                <w:lang w:val="bg-BG"/>
              </w:rPr>
              <w:t>residential</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floor</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area</w:t>
            </w:r>
            <w:proofErr w:type="spellEnd"/>
            <w:r w:rsidR="00141B37" w:rsidRPr="006F3533">
              <w:rPr>
                <w:rFonts w:cs="Times New Roman"/>
                <w:color w:val="0070C0"/>
                <w:szCs w:val="24"/>
                <w:lang w:val="bg-BG"/>
              </w:rPr>
              <w:t xml:space="preserve"> x 10</w:t>
            </w:r>
            <w:r w:rsidR="00F60749" w:rsidRPr="006F3533">
              <w:rPr>
                <w:rFonts w:cs="Times New Roman"/>
                <w:color w:val="0070C0"/>
                <w:szCs w:val="24"/>
                <w:vertAlign w:val="superscript"/>
                <w:lang w:val="bg-BG"/>
              </w:rPr>
              <w:t>9</w:t>
            </w:r>
            <w:r w:rsidRPr="006F3533">
              <w:rPr>
                <w:rFonts w:cs="Times New Roman"/>
                <w:color w:val="0070C0"/>
                <w:szCs w:val="24"/>
                <w:lang w:val="bg-BG"/>
              </w:rPr>
              <w:t>)</w:t>
            </w:r>
          </w:p>
          <w:p w14:paraId="3C97A81E" w14:textId="50A8098E" w:rsidR="00195276" w:rsidRPr="006F3533" w:rsidRDefault="00195276" w:rsidP="00077D42">
            <w:pPr>
              <w:jc w:val="both"/>
              <w:rPr>
                <w:rFonts w:cs="Times New Roman"/>
                <w:color w:val="0070C0"/>
                <w:szCs w:val="24"/>
                <w:lang w:val="bg-BG"/>
              </w:rPr>
            </w:pPr>
          </w:p>
          <w:p w14:paraId="6D4A4FE3" w14:textId="77777777" w:rsidR="004E3016" w:rsidRPr="006F3533" w:rsidRDefault="004E3016" w:rsidP="00077D42">
            <w:pPr>
              <w:pStyle w:val="ListParagraph"/>
              <w:ind w:left="0"/>
              <w:jc w:val="both"/>
              <w:rPr>
                <w:rFonts w:cs="Times New Roman"/>
                <w:color w:val="0070C0"/>
                <w:szCs w:val="24"/>
                <w:lang w:val="bg-BG"/>
              </w:rPr>
            </w:pPr>
          </w:p>
        </w:tc>
      </w:tr>
      <w:tr w:rsidR="004E3016" w:rsidRPr="006F3533" w14:paraId="44DE6239" w14:textId="77777777" w:rsidTr="0039488E">
        <w:trPr>
          <w:trHeight w:val="300"/>
        </w:trPr>
        <w:tc>
          <w:tcPr>
            <w:tcW w:w="428" w:type="pct"/>
          </w:tcPr>
          <w:p w14:paraId="100B4910" w14:textId="77777777" w:rsidR="004E3016" w:rsidRPr="006F3533" w:rsidRDefault="004E3016" w:rsidP="00077D42">
            <w:pPr>
              <w:jc w:val="both"/>
              <w:rPr>
                <w:rFonts w:cs="Times New Roman"/>
                <w:i/>
                <w:iCs/>
                <w:szCs w:val="24"/>
                <w:lang w:val="bg-BG"/>
              </w:rPr>
            </w:pPr>
            <w:r w:rsidRPr="006F3533">
              <w:rPr>
                <w:rFonts w:cs="Times New Roman"/>
                <w:i/>
                <w:iCs/>
                <w:szCs w:val="24"/>
                <w:lang w:val="bg-BG"/>
              </w:rPr>
              <w:t>(a)</w:t>
            </w:r>
          </w:p>
        </w:tc>
        <w:tc>
          <w:tcPr>
            <w:tcW w:w="1664" w:type="pct"/>
          </w:tcPr>
          <w:p w14:paraId="1BFEB4D8" w14:textId="77777777" w:rsidR="004E3016" w:rsidRPr="006F3533" w:rsidRDefault="004E3016" w:rsidP="00077D42">
            <w:pPr>
              <w:pStyle w:val="ListParagraph"/>
              <w:ind w:left="0"/>
              <w:jc w:val="both"/>
              <w:rPr>
                <w:rFonts w:cs="Times New Roman"/>
                <w:i/>
                <w:iCs/>
                <w:szCs w:val="24"/>
                <w:lang w:val="bg-BG"/>
              </w:rPr>
            </w:pPr>
            <w:proofErr w:type="spellStart"/>
            <w:r w:rsidRPr="006F3533">
              <w:rPr>
                <w:rFonts w:cs="Times New Roman"/>
                <w:i/>
                <w:iCs/>
                <w:szCs w:val="24"/>
                <w:lang w:val="bg-BG"/>
              </w:rPr>
              <w:t>single-family</w:t>
            </w:r>
            <w:proofErr w:type="spellEnd"/>
            <w:r w:rsidRPr="006F3533">
              <w:rPr>
                <w:rFonts w:cs="Times New Roman"/>
                <w:i/>
                <w:iCs/>
                <w:szCs w:val="24"/>
                <w:lang w:val="bg-BG"/>
              </w:rPr>
              <w:t xml:space="preserve"> </w:t>
            </w:r>
            <w:proofErr w:type="spellStart"/>
            <w:r w:rsidRPr="006F3533">
              <w:rPr>
                <w:rFonts w:cs="Times New Roman"/>
                <w:i/>
                <w:iCs/>
                <w:szCs w:val="24"/>
                <w:lang w:val="bg-BG"/>
              </w:rPr>
              <w:t>houses</w:t>
            </w:r>
            <w:proofErr w:type="spellEnd"/>
          </w:p>
          <w:p w14:paraId="156C87A1" w14:textId="77777777" w:rsidR="004E3016" w:rsidRPr="006F3533" w:rsidRDefault="004E3016" w:rsidP="00077D42">
            <w:pPr>
              <w:pStyle w:val="ListParagraph"/>
              <w:ind w:left="0"/>
              <w:jc w:val="both"/>
              <w:rPr>
                <w:rFonts w:cs="Times New Roman"/>
                <w:i/>
                <w:iCs/>
                <w:szCs w:val="24"/>
                <w:lang w:val="bg-BG"/>
              </w:rPr>
            </w:pP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different</w:t>
            </w:r>
            <w:proofErr w:type="spellEnd"/>
            <w:r w:rsidRPr="006F3533">
              <w:rPr>
                <w:rFonts w:cs="Times New Roman"/>
                <w:i/>
                <w:iCs/>
                <w:szCs w:val="24"/>
                <w:lang w:val="bg-BG"/>
              </w:rPr>
              <w:t xml:space="preserve"> </w:t>
            </w:r>
            <w:proofErr w:type="spellStart"/>
            <w:r w:rsidRPr="006F3533">
              <w:rPr>
                <w:rFonts w:cs="Times New Roman"/>
                <w:i/>
                <w:iCs/>
                <w:szCs w:val="24"/>
                <w:lang w:val="bg-BG"/>
              </w:rPr>
              <w:t>types</w:t>
            </w:r>
            <w:proofErr w:type="spellEnd"/>
          </w:p>
        </w:tc>
        <w:tc>
          <w:tcPr>
            <w:tcW w:w="482" w:type="pct"/>
          </w:tcPr>
          <w:p w14:paraId="7F9BF810" w14:textId="77777777" w:rsidR="004E3016" w:rsidRPr="006F3533" w:rsidRDefault="004E3016"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179" w:type="pct"/>
          </w:tcPr>
          <w:p w14:paraId="1D887015" w14:textId="77777777" w:rsidR="004E3016" w:rsidRPr="006F3533" w:rsidRDefault="004E3016" w:rsidP="00077D42">
            <w:pPr>
              <w:pStyle w:val="ListParagraph"/>
              <w:ind w:left="0"/>
              <w:jc w:val="both"/>
              <w:rPr>
                <w:rFonts w:cs="Times New Roman"/>
                <w:color w:val="0070C0"/>
                <w:szCs w:val="24"/>
                <w:lang w:val="bg-BG"/>
              </w:rPr>
            </w:pPr>
          </w:p>
        </w:tc>
        <w:tc>
          <w:tcPr>
            <w:tcW w:w="1246" w:type="pct"/>
          </w:tcPr>
          <w:p w14:paraId="16408942" w14:textId="77777777" w:rsidR="004E3016" w:rsidRPr="006F3533" w:rsidRDefault="004E3016" w:rsidP="00077D42">
            <w:pPr>
              <w:pStyle w:val="ListParagraph"/>
              <w:ind w:left="0"/>
              <w:jc w:val="both"/>
              <w:rPr>
                <w:rFonts w:cs="Times New Roman"/>
                <w:color w:val="0070C0"/>
                <w:szCs w:val="24"/>
                <w:lang w:val="bg-BG"/>
              </w:rPr>
            </w:pPr>
          </w:p>
        </w:tc>
      </w:tr>
      <w:tr w:rsidR="00E02028" w:rsidRPr="006F3533" w14:paraId="2F4F97BD" w14:textId="77777777" w:rsidTr="0039488E">
        <w:trPr>
          <w:trHeight w:val="300"/>
        </w:trPr>
        <w:tc>
          <w:tcPr>
            <w:tcW w:w="428" w:type="pct"/>
          </w:tcPr>
          <w:p w14:paraId="226AF5DB" w14:textId="77777777" w:rsidR="00E02028" w:rsidRPr="006F3533" w:rsidRDefault="00E02028" w:rsidP="00077D42">
            <w:pPr>
              <w:pStyle w:val="ListParagraph"/>
              <w:ind w:left="0"/>
              <w:jc w:val="both"/>
              <w:rPr>
                <w:rFonts w:cs="Times New Roman"/>
                <w:i/>
                <w:iCs/>
                <w:szCs w:val="24"/>
                <w:lang w:val="bg-BG"/>
              </w:rPr>
            </w:pPr>
            <w:r w:rsidRPr="006F3533">
              <w:rPr>
                <w:rFonts w:cs="Times New Roman"/>
                <w:i/>
                <w:iCs/>
                <w:szCs w:val="24"/>
                <w:lang w:val="bg-BG"/>
              </w:rPr>
              <w:lastRenderedPageBreak/>
              <w:t>(b1)</w:t>
            </w:r>
          </w:p>
          <w:p w14:paraId="7C66A188" w14:textId="77777777" w:rsidR="00E02028" w:rsidRPr="006F3533" w:rsidRDefault="00E02028" w:rsidP="00077D42">
            <w:pPr>
              <w:pStyle w:val="ListParagraph"/>
              <w:ind w:left="0"/>
              <w:jc w:val="both"/>
              <w:rPr>
                <w:rFonts w:cs="Times New Roman"/>
                <w:i/>
                <w:iCs/>
                <w:szCs w:val="24"/>
                <w:lang w:val="bg-BG"/>
              </w:rPr>
            </w:pPr>
          </w:p>
          <w:p w14:paraId="084FC97C" w14:textId="77777777" w:rsidR="00E02028" w:rsidRPr="006F3533" w:rsidRDefault="00E02028" w:rsidP="00077D42">
            <w:pPr>
              <w:pStyle w:val="ListParagraph"/>
              <w:ind w:left="0"/>
              <w:jc w:val="both"/>
              <w:rPr>
                <w:rFonts w:cs="Times New Roman"/>
                <w:i/>
                <w:iCs/>
                <w:szCs w:val="24"/>
                <w:lang w:val="bg-BG"/>
              </w:rPr>
            </w:pPr>
          </w:p>
          <w:p w14:paraId="77F13CE3" w14:textId="581B7483" w:rsidR="00E02028" w:rsidRPr="006F3533" w:rsidRDefault="00E02028" w:rsidP="00077D42">
            <w:pPr>
              <w:pStyle w:val="ListParagraph"/>
              <w:ind w:left="0"/>
              <w:jc w:val="both"/>
              <w:rPr>
                <w:rFonts w:cs="Times New Roman"/>
                <w:i/>
                <w:iCs/>
                <w:szCs w:val="24"/>
                <w:lang w:val="bg-BG"/>
              </w:rPr>
            </w:pPr>
          </w:p>
        </w:tc>
        <w:tc>
          <w:tcPr>
            <w:tcW w:w="1664" w:type="pct"/>
          </w:tcPr>
          <w:p w14:paraId="7CB9BC0F" w14:textId="77777777" w:rsidR="00E02028" w:rsidRPr="006F3533" w:rsidRDefault="00E02028" w:rsidP="00077D42">
            <w:pPr>
              <w:pStyle w:val="ListParagraph"/>
              <w:ind w:left="0"/>
              <w:jc w:val="both"/>
              <w:rPr>
                <w:rFonts w:cs="Times New Roman"/>
                <w:i/>
                <w:iCs/>
                <w:szCs w:val="24"/>
                <w:lang w:val="bg-BG"/>
              </w:rPr>
            </w:pPr>
            <w:proofErr w:type="spellStart"/>
            <w:r w:rsidRPr="006F3533">
              <w:rPr>
                <w:rFonts w:cs="Times New Roman"/>
                <w:i/>
                <w:iCs/>
                <w:szCs w:val="24"/>
                <w:lang w:val="bg-BG"/>
              </w:rPr>
              <w:t>apartment</w:t>
            </w:r>
            <w:proofErr w:type="spellEnd"/>
            <w:r w:rsidRPr="006F3533">
              <w:rPr>
                <w:rFonts w:cs="Times New Roman"/>
                <w:i/>
                <w:iCs/>
                <w:szCs w:val="24"/>
                <w:lang w:val="bg-BG"/>
              </w:rPr>
              <w:t xml:space="preserve"> </w:t>
            </w:r>
            <w:proofErr w:type="spellStart"/>
            <w:r w:rsidRPr="006F3533">
              <w:rPr>
                <w:rFonts w:cs="Times New Roman"/>
                <w:i/>
                <w:iCs/>
                <w:szCs w:val="24"/>
                <w:lang w:val="bg-BG"/>
              </w:rPr>
              <w:t>blocks</w:t>
            </w:r>
            <w:proofErr w:type="spellEnd"/>
            <w:r w:rsidRPr="006F3533">
              <w:rPr>
                <w:rFonts w:cs="Times New Roman"/>
                <w:i/>
                <w:iCs/>
                <w:szCs w:val="24"/>
                <w:lang w:val="bg-BG"/>
              </w:rPr>
              <w:t xml:space="preserve"> </w:t>
            </w:r>
            <w:proofErr w:type="spellStart"/>
            <w:r w:rsidRPr="006F3533">
              <w:rPr>
                <w:rFonts w:cs="Times New Roman"/>
                <w:i/>
                <w:iCs/>
                <w:szCs w:val="24"/>
                <w:lang w:val="bg-BG"/>
              </w:rPr>
              <w:t>or</w:t>
            </w:r>
            <w:proofErr w:type="spellEnd"/>
            <w:r w:rsidRPr="006F3533">
              <w:rPr>
                <w:rFonts w:cs="Times New Roman"/>
                <w:i/>
                <w:iCs/>
                <w:szCs w:val="24"/>
                <w:lang w:val="bg-BG"/>
              </w:rPr>
              <w:t xml:space="preserve"> </w:t>
            </w:r>
            <w:proofErr w:type="spellStart"/>
            <w:r w:rsidRPr="006F3533">
              <w:rPr>
                <w:rFonts w:cs="Times New Roman"/>
                <w:i/>
                <w:iCs/>
                <w:szCs w:val="24"/>
                <w:lang w:val="bg-BG"/>
              </w:rPr>
              <w:t>multi-family</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r w:rsidRPr="006F3533">
              <w:rPr>
                <w:rFonts w:cs="Times New Roman"/>
                <w:i/>
                <w:iCs/>
                <w:szCs w:val="24"/>
                <w:lang w:val="bg-BG"/>
              </w:rPr>
              <w:t xml:space="preserve"> </w:t>
            </w:r>
          </w:p>
          <w:p w14:paraId="7C70855B" w14:textId="77777777" w:rsidR="00E02028" w:rsidRPr="006F3533" w:rsidRDefault="00E02028" w:rsidP="00077D42">
            <w:pPr>
              <w:pStyle w:val="ListParagraph"/>
              <w:ind w:left="0"/>
              <w:jc w:val="both"/>
              <w:rPr>
                <w:rFonts w:cs="Times New Roman"/>
                <w:i/>
                <w:iCs/>
                <w:szCs w:val="24"/>
                <w:lang w:val="bg-BG"/>
              </w:rPr>
            </w:pPr>
          </w:p>
          <w:p w14:paraId="795E6696" w14:textId="77777777" w:rsidR="00E02028" w:rsidRPr="006F3533" w:rsidRDefault="00E02028" w:rsidP="00077D42">
            <w:pPr>
              <w:pStyle w:val="ListParagraph"/>
              <w:ind w:left="0"/>
              <w:jc w:val="both"/>
              <w:rPr>
                <w:rFonts w:cs="Times New Roman"/>
                <w:i/>
                <w:iCs/>
                <w:szCs w:val="24"/>
                <w:lang w:val="bg-BG"/>
              </w:rPr>
            </w:pPr>
          </w:p>
        </w:tc>
        <w:tc>
          <w:tcPr>
            <w:tcW w:w="482" w:type="pct"/>
          </w:tcPr>
          <w:p w14:paraId="35929223" w14:textId="77777777" w:rsidR="00E02028" w:rsidRPr="006F3533" w:rsidRDefault="00E02028"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p w14:paraId="52FD161D" w14:textId="77777777" w:rsidR="00E02028" w:rsidRPr="006F3533" w:rsidRDefault="00E02028" w:rsidP="00077D42">
            <w:pPr>
              <w:pStyle w:val="ListParagraph"/>
              <w:ind w:left="0"/>
              <w:jc w:val="both"/>
              <w:rPr>
                <w:rFonts w:cs="Times New Roman"/>
                <w:szCs w:val="24"/>
                <w:lang w:val="bg-BG"/>
              </w:rPr>
            </w:pPr>
          </w:p>
          <w:p w14:paraId="524648BA" w14:textId="77777777" w:rsidR="00E02028" w:rsidRPr="006F3533" w:rsidRDefault="00E02028" w:rsidP="00077D42">
            <w:pPr>
              <w:pStyle w:val="ListParagraph"/>
              <w:ind w:left="0"/>
              <w:jc w:val="both"/>
              <w:rPr>
                <w:rFonts w:cs="Times New Roman"/>
                <w:szCs w:val="24"/>
                <w:lang w:val="bg-BG"/>
              </w:rPr>
            </w:pPr>
          </w:p>
          <w:p w14:paraId="6D60DA83" w14:textId="44810377" w:rsidR="00E02028" w:rsidRPr="006F3533" w:rsidRDefault="00E02028" w:rsidP="00077D42">
            <w:pPr>
              <w:pStyle w:val="ListParagraph"/>
              <w:ind w:left="0"/>
              <w:jc w:val="both"/>
              <w:rPr>
                <w:rFonts w:cs="Times New Roman"/>
                <w:szCs w:val="24"/>
                <w:lang w:val="bg-BG"/>
              </w:rPr>
            </w:pPr>
          </w:p>
        </w:tc>
        <w:tc>
          <w:tcPr>
            <w:tcW w:w="1179" w:type="pct"/>
          </w:tcPr>
          <w:p w14:paraId="37ABD6B7" w14:textId="77777777" w:rsidR="00E02028" w:rsidRPr="006F3533" w:rsidRDefault="00E02028" w:rsidP="00077D42">
            <w:pPr>
              <w:pStyle w:val="ListParagraph"/>
              <w:ind w:left="0"/>
              <w:jc w:val="both"/>
              <w:rPr>
                <w:rFonts w:cs="Times New Roman"/>
                <w:color w:val="0070C0"/>
                <w:szCs w:val="24"/>
                <w:lang w:val="bg-BG"/>
              </w:rPr>
            </w:pPr>
          </w:p>
        </w:tc>
        <w:tc>
          <w:tcPr>
            <w:tcW w:w="1246" w:type="pct"/>
            <w:vMerge w:val="restart"/>
          </w:tcPr>
          <w:p w14:paraId="5658FF86" w14:textId="77777777" w:rsidR="00E02028" w:rsidRPr="006F3533" w:rsidRDefault="00E02028" w:rsidP="00077D42">
            <w:pPr>
              <w:pStyle w:val="ListParagraph"/>
              <w:ind w:left="0"/>
              <w:jc w:val="both"/>
              <w:rPr>
                <w:rFonts w:cs="Times New Roman"/>
                <w:color w:val="0070C0"/>
                <w:szCs w:val="24"/>
                <w:lang w:val="bg-BG"/>
              </w:rPr>
            </w:pPr>
          </w:p>
        </w:tc>
      </w:tr>
      <w:tr w:rsidR="00E02028" w:rsidRPr="006F3533" w14:paraId="36B079B9" w14:textId="77777777" w:rsidTr="0039488E">
        <w:trPr>
          <w:trHeight w:val="300"/>
        </w:trPr>
        <w:tc>
          <w:tcPr>
            <w:tcW w:w="428" w:type="pct"/>
          </w:tcPr>
          <w:p w14:paraId="67E857CF" w14:textId="3051A623" w:rsidR="00E02028" w:rsidRPr="006F3533" w:rsidRDefault="00E02028" w:rsidP="00077D42">
            <w:pPr>
              <w:pStyle w:val="ListParagraph"/>
              <w:ind w:left="0"/>
              <w:jc w:val="both"/>
              <w:rPr>
                <w:rFonts w:cs="Times New Roman"/>
                <w:i/>
                <w:iCs/>
                <w:szCs w:val="24"/>
                <w:lang w:val="bg-BG"/>
              </w:rPr>
            </w:pPr>
            <w:r w:rsidRPr="006F3533">
              <w:rPr>
                <w:rFonts w:cs="Times New Roman"/>
                <w:i/>
                <w:iCs/>
                <w:szCs w:val="24"/>
                <w:lang w:val="bg-BG"/>
              </w:rPr>
              <w:t>(b2)</w:t>
            </w:r>
          </w:p>
        </w:tc>
        <w:tc>
          <w:tcPr>
            <w:tcW w:w="1664" w:type="pct"/>
          </w:tcPr>
          <w:p w14:paraId="6382F6D1" w14:textId="77777777" w:rsidR="00E02028" w:rsidRPr="006F3533" w:rsidRDefault="00E02028" w:rsidP="00077D42">
            <w:pPr>
              <w:pStyle w:val="ListParagraph"/>
              <w:ind w:left="0"/>
              <w:jc w:val="both"/>
              <w:rPr>
                <w:rFonts w:cs="Times New Roman"/>
                <w:i/>
                <w:iCs/>
                <w:szCs w:val="24"/>
                <w:lang w:val="bg-BG"/>
              </w:rPr>
            </w:pPr>
            <w:proofErr w:type="spellStart"/>
            <w:r w:rsidRPr="006F3533">
              <w:rPr>
                <w:rFonts w:cs="Times New Roman"/>
                <w:i/>
                <w:iCs/>
                <w:szCs w:val="24"/>
                <w:lang w:val="bg-BG"/>
              </w:rPr>
              <w:t>residential</w:t>
            </w:r>
            <w:proofErr w:type="spellEnd"/>
            <w:r w:rsidRPr="006F3533">
              <w:rPr>
                <w:rFonts w:cs="Times New Roman"/>
                <w:i/>
                <w:iCs/>
                <w:szCs w:val="24"/>
                <w:lang w:val="bg-BG"/>
              </w:rPr>
              <w:t xml:space="preserve"> </w:t>
            </w:r>
            <w:proofErr w:type="spellStart"/>
            <w:r w:rsidRPr="006F3533">
              <w:rPr>
                <w:rFonts w:cs="Times New Roman"/>
                <w:i/>
                <w:iCs/>
                <w:szCs w:val="24"/>
                <w:lang w:val="bg-BG"/>
              </w:rPr>
              <w:t>building</w:t>
            </w:r>
            <w:proofErr w:type="spellEnd"/>
            <w:r w:rsidRPr="006F3533">
              <w:rPr>
                <w:rFonts w:cs="Times New Roman"/>
                <w:i/>
                <w:iCs/>
                <w:szCs w:val="24"/>
                <w:lang w:val="bg-BG"/>
              </w:rPr>
              <w:t xml:space="preserve"> </w:t>
            </w:r>
            <w:proofErr w:type="spellStart"/>
            <w:r w:rsidRPr="006F3533">
              <w:rPr>
                <w:rFonts w:cs="Times New Roman"/>
                <w:i/>
                <w:iCs/>
                <w:szCs w:val="24"/>
                <w:lang w:val="bg-BG"/>
              </w:rPr>
              <w:t>unit</w:t>
            </w:r>
            <w:proofErr w:type="spellEnd"/>
            <w:r w:rsidRPr="006F3533">
              <w:rPr>
                <w:rFonts w:cs="Times New Roman"/>
                <w:i/>
                <w:iCs/>
                <w:szCs w:val="24"/>
                <w:lang w:val="bg-BG"/>
              </w:rPr>
              <w:t xml:space="preserve"> </w:t>
            </w:r>
            <w:proofErr w:type="spellStart"/>
            <w:r w:rsidRPr="006F3533">
              <w:rPr>
                <w:rFonts w:cs="Times New Roman"/>
                <w:i/>
                <w:iCs/>
                <w:szCs w:val="24"/>
                <w:lang w:val="bg-BG"/>
              </w:rPr>
              <w:t>in</w:t>
            </w:r>
            <w:proofErr w:type="spellEnd"/>
          </w:p>
          <w:p w14:paraId="3243A3D7" w14:textId="77777777" w:rsidR="00E02028" w:rsidRPr="006F3533" w:rsidRDefault="00E02028" w:rsidP="00077D42">
            <w:pPr>
              <w:pStyle w:val="ListParagraph"/>
              <w:ind w:left="0"/>
              <w:jc w:val="both"/>
              <w:rPr>
                <w:rFonts w:cs="Times New Roman"/>
                <w:i/>
                <w:iCs/>
                <w:szCs w:val="24"/>
                <w:lang w:val="bg-BG"/>
              </w:rPr>
            </w:pPr>
            <w:proofErr w:type="spellStart"/>
            <w:r w:rsidRPr="006F3533">
              <w:rPr>
                <w:rFonts w:cs="Times New Roman"/>
                <w:i/>
                <w:iCs/>
                <w:szCs w:val="24"/>
                <w:lang w:val="bg-BG"/>
              </w:rPr>
              <w:t>apartment</w:t>
            </w:r>
            <w:proofErr w:type="spellEnd"/>
            <w:r w:rsidRPr="006F3533">
              <w:rPr>
                <w:rFonts w:cs="Times New Roman"/>
                <w:i/>
                <w:iCs/>
                <w:szCs w:val="24"/>
                <w:lang w:val="bg-BG"/>
              </w:rPr>
              <w:t xml:space="preserve"> </w:t>
            </w:r>
            <w:proofErr w:type="spellStart"/>
            <w:r w:rsidRPr="006F3533">
              <w:rPr>
                <w:rFonts w:cs="Times New Roman"/>
                <w:i/>
                <w:iCs/>
                <w:szCs w:val="24"/>
                <w:lang w:val="bg-BG"/>
              </w:rPr>
              <w:t>blocks</w:t>
            </w:r>
            <w:proofErr w:type="spellEnd"/>
            <w:r w:rsidRPr="006F3533">
              <w:rPr>
                <w:rFonts w:cs="Times New Roman"/>
                <w:i/>
                <w:iCs/>
                <w:szCs w:val="24"/>
                <w:lang w:val="bg-BG"/>
              </w:rPr>
              <w:t xml:space="preserve"> </w:t>
            </w:r>
            <w:proofErr w:type="spellStart"/>
            <w:r w:rsidRPr="006F3533">
              <w:rPr>
                <w:rFonts w:cs="Times New Roman"/>
                <w:i/>
                <w:iCs/>
                <w:szCs w:val="24"/>
                <w:lang w:val="bg-BG"/>
              </w:rPr>
              <w:t>or</w:t>
            </w:r>
            <w:proofErr w:type="spellEnd"/>
            <w:r w:rsidRPr="006F3533">
              <w:rPr>
                <w:rFonts w:cs="Times New Roman"/>
                <w:i/>
                <w:iCs/>
                <w:szCs w:val="24"/>
                <w:lang w:val="bg-BG"/>
              </w:rPr>
              <w:t xml:space="preserve"> </w:t>
            </w:r>
            <w:proofErr w:type="spellStart"/>
            <w:r w:rsidRPr="006F3533">
              <w:rPr>
                <w:rFonts w:cs="Times New Roman"/>
                <w:i/>
                <w:iCs/>
                <w:szCs w:val="24"/>
                <w:lang w:val="bg-BG"/>
              </w:rPr>
              <w:t>multi-family</w:t>
            </w:r>
            <w:proofErr w:type="spellEnd"/>
            <w:r w:rsidRPr="006F3533">
              <w:rPr>
                <w:rFonts w:cs="Times New Roman"/>
                <w:i/>
                <w:iCs/>
                <w:szCs w:val="24"/>
                <w:lang w:val="bg-BG"/>
              </w:rPr>
              <w:t xml:space="preserve"> </w:t>
            </w:r>
            <w:proofErr w:type="spellStart"/>
            <w:r w:rsidRPr="006F3533">
              <w:rPr>
                <w:rFonts w:cs="Times New Roman"/>
                <w:i/>
                <w:iCs/>
                <w:szCs w:val="24"/>
                <w:lang w:val="bg-BG"/>
              </w:rPr>
              <w:t>buildings</w:t>
            </w:r>
            <w:proofErr w:type="spellEnd"/>
          </w:p>
          <w:p w14:paraId="577D89D9" w14:textId="77777777" w:rsidR="00E02028" w:rsidRPr="006F3533" w:rsidRDefault="00E02028" w:rsidP="00077D42">
            <w:pPr>
              <w:pStyle w:val="ListParagraph"/>
              <w:ind w:left="0"/>
              <w:jc w:val="both"/>
              <w:rPr>
                <w:rFonts w:cs="Times New Roman"/>
                <w:i/>
                <w:iCs/>
                <w:szCs w:val="24"/>
                <w:lang w:val="bg-BG"/>
              </w:rPr>
            </w:pPr>
          </w:p>
        </w:tc>
        <w:tc>
          <w:tcPr>
            <w:tcW w:w="482" w:type="pct"/>
          </w:tcPr>
          <w:p w14:paraId="061E2805" w14:textId="246EB271" w:rsidR="00E02028" w:rsidRPr="006F3533" w:rsidRDefault="00E02028" w:rsidP="00077D42">
            <w:pPr>
              <w:pStyle w:val="ListParagraph"/>
              <w:ind w:left="0"/>
              <w:jc w:val="both"/>
              <w:rPr>
                <w:rFonts w:cs="Times New Roman"/>
                <w:szCs w:val="24"/>
                <w:lang w:val="bg-BG"/>
              </w:rPr>
            </w:pPr>
            <w:proofErr w:type="spellStart"/>
            <w:r w:rsidRPr="006F3533">
              <w:rPr>
                <w:rFonts w:cs="Times New Roman"/>
                <w:szCs w:val="24"/>
                <w:lang w:val="bg-BG"/>
              </w:rPr>
              <w:t>Miav</w:t>
            </w:r>
            <w:proofErr w:type="spellEnd"/>
          </w:p>
        </w:tc>
        <w:tc>
          <w:tcPr>
            <w:tcW w:w="1179" w:type="pct"/>
          </w:tcPr>
          <w:p w14:paraId="4DF207A8" w14:textId="77777777" w:rsidR="00E02028" w:rsidRPr="006F3533" w:rsidRDefault="00E02028" w:rsidP="00077D42">
            <w:pPr>
              <w:pStyle w:val="ListParagraph"/>
              <w:ind w:left="0"/>
              <w:jc w:val="both"/>
              <w:rPr>
                <w:rFonts w:cs="Times New Roman"/>
                <w:color w:val="0070C0"/>
                <w:szCs w:val="24"/>
                <w:lang w:val="bg-BG"/>
              </w:rPr>
            </w:pPr>
          </w:p>
        </w:tc>
        <w:tc>
          <w:tcPr>
            <w:tcW w:w="1246" w:type="pct"/>
            <w:vMerge/>
          </w:tcPr>
          <w:p w14:paraId="591C8894" w14:textId="77777777" w:rsidR="00E02028" w:rsidRPr="006F3533" w:rsidRDefault="00E02028" w:rsidP="00077D42">
            <w:pPr>
              <w:pStyle w:val="ListParagraph"/>
              <w:ind w:left="0"/>
              <w:jc w:val="both"/>
              <w:rPr>
                <w:rFonts w:cs="Times New Roman"/>
                <w:color w:val="0070C0"/>
                <w:szCs w:val="24"/>
                <w:lang w:val="bg-BG"/>
              </w:rPr>
            </w:pPr>
          </w:p>
        </w:tc>
      </w:tr>
      <w:tr w:rsidR="004E3016" w:rsidRPr="006F3533" w14:paraId="6A39025C" w14:textId="77777777" w:rsidTr="0039488E">
        <w:trPr>
          <w:trHeight w:val="300"/>
        </w:trPr>
        <w:tc>
          <w:tcPr>
            <w:tcW w:w="428" w:type="pct"/>
          </w:tcPr>
          <w:p w14:paraId="1B7D0242"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NR</w:t>
            </w:r>
          </w:p>
        </w:tc>
        <w:tc>
          <w:tcPr>
            <w:tcW w:w="1664" w:type="pct"/>
          </w:tcPr>
          <w:p w14:paraId="25CC543A" w14:textId="77777777" w:rsidR="004E3016" w:rsidRPr="006F3533" w:rsidRDefault="004E3016" w:rsidP="00077D42">
            <w:pPr>
              <w:jc w:val="both"/>
              <w:rPr>
                <w:rFonts w:cs="Times New Roman"/>
                <w:szCs w:val="24"/>
                <w:lang w:val="bg-BG"/>
              </w:rPr>
            </w:pPr>
            <w:proofErr w:type="spellStart"/>
            <w:r w:rsidRPr="006F3533">
              <w:rPr>
                <w:rFonts w:cs="Times New Roman"/>
                <w:szCs w:val="24"/>
                <w:lang w:val="bg-BG"/>
              </w:rPr>
              <w:t>Non-residential</w:t>
            </w:r>
            <w:proofErr w:type="spellEnd"/>
          </w:p>
          <w:p w14:paraId="2AC7FC07" w14:textId="77777777" w:rsidR="004E3016" w:rsidRPr="006F3533" w:rsidRDefault="004E3016" w:rsidP="00077D42">
            <w:pPr>
              <w:jc w:val="both"/>
              <w:rPr>
                <w:rFonts w:cs="Times New Roman"/>
                <w:szCs w:val="24"/>
                <w:lang w:val="bg-BG"/>
              </w:rPr>
            </w:pPr>
          </w:p>
          <w:p w14:paraId="551C72E8" w14:textId="77777777" w:rsidR="004E3016" w:rsidRPr="006F3533" w:rsidRDefault="004E3016" w:rsidP="00077D42">
            <w:pPr>
              <w:jc w:val="both"/>
              <w:rPr>
                <w:rFonts w:cs="Times New Roman"/>
                <w:szCs w:val="24"/>
                <w:lang w:val="bg-BG"/>
              </w:rPr>
            </w:pPr>
            <w:r w:rsidRPr="006F3533">
              <w:rPr>
                <w:rFonts w:cs="Times New Roman"/>
                <w:i/>
                <w:iCs/>
                <w:szCs w:val="24"/>
                <w:lang w:val="bg-BG"/>
              </w:rPr>
              <w:t xml:space="preserve"> </w:t>
            </w:r>
            <w:proofErr w:type="spellStart"/>
            <w:r w:rsidRPr="006F3533">
              <w:rPr>
                <w:rFonts w:cs="Times New Roman"/>
                <w:i/>
                <w:iCs/>
                <w:szCs w:val="24"/>
                <w:lang w:val="bg-BG"/>
              </w:rPr>
              <w:t>Out</w:t>
            </w:r>
            <w:proofErr w:type="spellEnd"/>
            <w:r w:rsidRPr="006F3533">
              <w:rPr>
                <w:rFonts w:cs="Times New Roman"/>
                <w:i/>
                <w:iCs/>
                <w:szCs w:val="24"/>
                <w:lang w:val="bg-BG"/>
              </w:rPr>
              <w:t xml:space="preserve"> </w:t>
            </w:r>
            <w:proofErr w:type="spellStart"/>
            <w:r w:rsidRPr="006F3533">
              <w:rPr>
                <w:rFonts w:cs="Times New Roman"/>
                <w:i/>
                <w:iCs/>
                <w:szCs w:val="24"/>
                <w:lang w:val="bg-BG"/>
              </w:rPr>
              <w:t>of</w:t>
            </w:r>
            <w:proofErr w:type="spellEnd"/>
            <w:r w:rsidRPr="006F3533">
              <w:rPr>
                <w:rFonts w:cs="Times New Roman"/>
                <w:i/>
                <w:iCs/>
                <w:szCs w:val="24"/>
                <w:lang w:val="bg-BG"/>
              </w:rPr>
              <w:t xml:space="preserve"> </w:t>
            </w:r>
            <w:proofErr w:type="spellStart"/>
            <w:r w:rsidRPr="006F3533">
              <w:rPr>
                <w:rFonts w:cs="Times New Roman"/>
                <w:i/>
                <w:iCs/>
                <w:szCs w:val="24"/>
                <w:lang w:val="bg-BG"/>
              </w:rPr>
              <w:t>which</w:t>
            </w:r>
            <w:proofErr w:type="spellEnd"/>
          </w:p>
        </w:tc>
        <w:tc>
          <w:tcPr>
            <w:tcW w:w="482" w:type="pct"/>
          </w:tcPr>
          <w:p w14:paraId="3F710A5E"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M</w:t>
            </w:r>
          </w:p>
        </w:tc>
        <w:tc>
          <w:tcPr>
            <w:tcW w:w="1179" w:type="pct"/>
          </w:tcPr>
          <w:p w14:paraId="6EA79B0D" w14:textId="0D1CD083" w:rsidR="004E3016" w:rsidRPr="006F3533" w:rsidRDefault="00384445" w:rsidP="00077D42">
            <w:pPr>
              <w:pStyle w:val="ListParagraph"/>
              <w:ind w:left="0"/>
              <w:jc w:val="both"/>
              <w:rPr>
                <w:rFonts w:cs="Times New Roman"/>
                <w:color w:val="0070C0"/>
                <w:szCs w:val="24"/>
                <w:lang w:val="bg-BG"/>
              </w:rPr>
            </w:pPr>
            <w:r w:rsidRPr="006F3533">
              <w:rPr>
                <w:rFonts w:cs="Times New Roman"/>
                <w:szCs w:val="24"/>
                <w:lang w:val="bg-BG"/>
              </w:rPr>
              <w:t>4.</w:t>
            </w:r>
            <w:r w:rsidR="00026757" w:rsidRPr="006F3533">
              <w:rPr>
                <w:rFonts w:cs="Times New Roman"/>
                <w:szCs w:val="24"/>
                <w:lang w:val="bg-BG"/>
              </w:rPr>
              <w:t>72</w:t>
            </w:r>
            <w:r w:rsidRPr="006F3533">
              <w:rPr>
                <w:rFonts w:cs="Times New Roman"/>
                <w:color w:val="0070C0"/>
                <w:szCs w:val="24"/>
                <w:lang w:val="bg-BG"/>
              </w:rPr>
              <w:br/>
            </w:r>
            <w:r w:rsidR="004E3016" w:rsidRPr="006F3533">
              <w:rPr>
                <w:rFonts w:cs="Times New Roman"/>
                <w:color w:val="0070C0"/>
                <w:szCs w:val="24"/>
                <w:lang w:val="bg-BG"/>
              </w:rPr>
              <w:t>NR = (c) + (d) + (e) + (f) +(g) + (h) +(i)</w:t>
            </w:r>
          </w:p>
        </w:tc>
        <w:tc>
          <w:tcPr>
            <w:tcW w:w="1246" w:type="pct"/>
          </w:tcPr>
          <w:p w14:paraId="2EF438EF" w14:textId="7A8D4030" w:rsidR="004E3016" w:rsidRPr="006F3533" w:rsidRDefault="0039488E" w:rsidP="00077D42">
            <w:pPr>
              <w:pStyle w:val="ListParagraph"/>
              <w:ind w:left="0"/>
              <w:jc w:val="both"/>
              <w:rPr>
                <w:rFonts w:cs="Times New Roman"/>
                <w:color w:val="0070C0"/>
                <w:szCs w:val="24"/>
                <w:lang w:val="bg-BG"/>
              </w:rPr>
            </w:pPr>
            <w:r w:rsidRPr="006F3533">
              <w:rPr>
                <w:rFonts w:cs="Times New Roman"/>
                <w:szCs w:val="24"/>
                <w:lang w:val="bg-BG"/>
              </w:rPr>
              <w:t>50.59</w:t>
            </w:r>
            <w:r w:rsidR="009B2EC0" w:rsidRPr="006F3533">
              <w:rPr>
                <w:rFonts w:cs="Times New Roman"/>
                <w:color w:val="0070C0"/>
                <w:szCs w:val="24"/>
                <w:lang w:val="bg-BG"/>
              </w:rPr>
              <w:br/>
            </w:r>
            <w:r w:rsidR="004E3016" w:rsidRPr="006F3533">
              <w:rPr>
                <w:rFonts w:cs="Times New Roman"/>
                <w:color w:val="0070C0"/>
                <w:szCs w:val="24"/>
                <w:lang w:val="bg-BG"/>
              </w:rPr>
              <w:t>NR’ = NR/ (</w:t>
            </w:r>
            <w:proofErr w:type="spellStart"/>
            <w:r w:rsidR="004E3016" w:rsidRPr="006F3533">
              <w:rPr>
                <w:rFonts w:cs="Times New Roman"/>
                <w:color w:val="0070C0"/>
                <w:szCs w:val="24"/>
                <w:lang w:val="bg-BG"/>
              </w:rPr>
              <w:t>non-residential</w:t>
            </w:r>
            <w:proofErr w:type="spellEnd"/>
            <w:r w:rsidR="004E3016" w:rsidRPr="006F3533">
              <w:rPr>
                <w:rFonts w:cs="Times New Roman"/>
                <w:color w:val="0070C0"/>
                <w:szCs w:val="24"/>
                <w:lang w:val="bg-BG"/>
              </w:rPr>
              <w:t xml:space="preserve"> </w:t>
            </w:r>
            <w:proofErr w:type="spellStart"/>
            <w:r w:rsidR="004E3016" w:rsidRPr="006F3533">
              <w:rPr>
                <w:rFonts w:cs="Times New Roman"/>
                <w:color w:val="0070C0"/>
                <w:szCs w:val="24"/>
                <w:lang w:val="bg-BG"/>
              </w:rPr>
              <w:t>floor</w:t>
            </w:r>
            <w:proofErr w:type="spellEnd"/>
            <w:r w:rsidR="004E3016" w:rsidRPr="006F3533">
              <w:rPr>
                <w:rFonts w:cs="Times New Roman"/>
                <w:color w:val="0070C0"/>
                <w:szCs w:val="24"/>
                <w:lang w:val="bg-BG"/>
              </w:rPr>
              <w:t xml:space="preserve"> </w:t>
            </w:r>
            <w:proofErr w:type="spellStart"/>
            <w:r w:rsidR="004E3016" w:rsidRPr="006F3533">
              <w:rPr>
                <w:rFonts w:cs="Times New Roman"/>
                <w:color w:val="0070C0"/>
                <w:szCs w:val="24"/>
                <w:lang w:val="bg-BG"/>
              </w:rPr>
              <w:t>area</w:t>
            </w:r>
            <w:proofErr w:type="spellEnd"/>
            <w:r w:rsidR="004E3016" w:rsidRPr="006F3533">
              <w:rPr>
                <w:rFonts w:cs="Times New Roman"/>
                <w:color w:val="0070C0"/>
                <w:szCs w:val="24"/>
                <w:lang w:val="bg-BG"/>
              </w:rPr>
              <w:t>)</w:t>
            </w:r>
          </w:p>
        </w:tc>
      </w:tr>
      <w:tr w:rsidR="004E3016" w:rsidRPr="006F3533" w14:paraId="0551969E" w14:textId="77777777" w:rsidTr="0039488E">
        <w:trPr>
          <w:trHeight w:val="300"/>
        </w:trPr>
        <w:tc>
          <w:tcPr>
            <w:tcW w:w="428" w:type="pct"/>
          </w:tcPr>
          <w:p w14:paraId="1B28472A"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T</w:t>
            </w:r>
          </w:p>
        </w:tc>
        <w:tc>
          <w:tcPr>
            <w:tcW w:w="1664" w:type="pct"/>
          </w:tcPr>
          <w:p w14:paraId="733EE0CF" w14:textId="77777777" w:rsidR="004E3016" w:rsidRPr="006F3533" w:rsidRDefault="004E3016" w:rsidP="00077D42">
            <w:pPr>
              <w:pStyle w:val="ListParagraph"/>
              <w:ind w:left="0"/>
              <w:jc w:val="both"/>
              <w:rPr>
                <w:rFonts w:cs="Times New Roman"/>
                <w:szCs w:val="24"/>
                <w:lang w:val="bg-BG"/>
              </w:rPr>
            </w:pPr>
            <w:r w:rsidRPr="006F3533">
              <w:rPr>
                <w:rFonts w:cs="Times New Roman"/>
                <w:szCs w:val="24"/>
                <w:lang w:val="bg-BG"/>
              </w:rPr>
              <w:t>Total</w:t>
            </w:r>
          </w:p>
        </w:tc>
        <w:tc>
          <w:tcPr>
            <w:tcW w:w="482" w:type="pct"/>
          </w:tcPr>
          <w:p w14:paraId="4E435B23" w14:textId="07DBEE48" w:rsidR="004E3016" w:rsidRPr="006F3533" w:rsidRDefault="007E7122" w:rsidP="00077D42">
            <w:pPr>
              <w:pStyle w:val="ListParagraph"/>
              <w:ind w:left="0"/>
              <w:jc w:val="both"/>
              <w:rPr>
                <w:rFonts w:cs="Times New Roman"/>
                <w:szCs w:val="24"/>
                <w:lang w:val="bg-BG"/>
              </w:rPr>
            </w:pPr>
            <w:r w:rsidRPr="006F3533">
              <w:rPr>
                <w:rFonts w:cs="Times New Roman"/>
                <w:szCs w:val="24"/>
                <w:lang w:val="bg-BG"/>
              </w:rPr>
              <w:t>M</w:t>
            </w:r>
          </w:p>
        </w:tc>
        <w:tc>
          <w:tcPr>
            <w:tcW w:w="1179" w:type="pct"/>
          </w:tcPr>
          <w:p w14:paraId="4D5FED97" w14:textId="77777777" w:rsidR="004E3016" w:rsidRPr="006F3533" w:rsidRDefault="004E3016" w:rsidP="00077D42">
            <w:pPr>
              <w:pStyle w:val="ListParagraph"/>
              <w:ind w:left="0"/>
              <w:jc w:val="both"/>
              <w:rPr>
                <w:rFonts w:cs="Times New Roman"/>
                <w:color w:val="0070C0"/>
                <w:szCs w:val="24"/>
                <w:lang w:val="bg-BG"/>
              </w:rPr>
            </w:pPr>
            <w:r w:rsidRPr="006F3533">
              <w:rPr>
                <w:rFonts w:cs="Times New Roman"/>
                <w:color w:val="0070C0"/>
                <w:szCs w:val="24"/>
                <w:lang w:val="bg-BG"/>
              </w:rPr>
              <w:t>T=R + NR</w:t>
            </w:r>
          </w:p>
          <w:p w14:paraId="090C23F6" w14:textId="584D9904" w:rsidR="00384445" w:rsidRPr="006F3533" w:rsidRDefault="00384445" w:rsidP="00077D42">
            <w:pPr>
              <w:pStyle w:val="ListParagraph"/>
              <w:ind w:left="0"/>
              <w:jc w:val="both"/>
              <w:rPr>
                <w:rFonts w:cs="Times New Roman"/>
                <w:szCs w:val="24"/>
                <w:lang w:val="bg-BG"/>
              </w:rPr>
            </w:pPr>
            <w:r w:rsidRPr="006F3533">
              <w:rPr>
                <w:rFonts w:cs="Times New Roman"/>
                <w:color w:val="0070C0"/>
                <w:szCs w:val="24"/>
                <w:lang w:val="bg-BG"/>
              </w:rPr>
              <w:t>T = R</w:t>
            </w:r>
            <w:r w:rsidRPr="006F3533">
              <w:rPr>
                <w:rFonts w:cs="Times New Roman"/>
                <w:szCs w:val="24"/>
                <w:lang w:val="bg-BG"/>
              </w:rPr>
              <w:t>+4.</w:t>
            </w:r>
            <w:r w:rsidR="00026757" w:rsidRPr="006F3533">
              <w:rPr>
                <w:rFonts w:cs="Times New Roman"/>
                <w:szCs w:val="24"/>
                <w:lang w:val="bg-BG"/>
              </w:rPr>
              <w:t>72</w:t>
            </w:r>
          </w:p>
        </w:tc>
        <w:tc>
          <w:tcPr>
            <w:tcW w:w="1246" w:type="pct"/>
          </w:tcPr>
          <w:p w14:paraId="31CC4A77" w14:textId="42415245" w:rsidR="004E3016" w:rsidRPr="006F3533" w:rsidRDefault="7A6F5190" w:rsidP="00077D42">
            <w:pPr>
              <w:pStyle w:val="ListParagraph"/>
              <w:ind w:left="0"/>
              <w:jc w:val="both"/>
              <w:rPr>
                <w:rFonts w:cs="Times New Roman"/>
                <w:color w:val="0070C0"/>
                <w:szCs w:val="24"/>
                <w:lang w:val="bg-BG"/>
              </w:rPr>
            </w:pPr>
            <w:r w:rsidRPr="006F3533">
              <w:rPr>
                <w:rFonts w:cs="Times New Roman"/>
                <w:color w:val="0070C0"/>
                <w:szCs w:val="24"/>
                <w:lang w:val="bg-BG"/>
              </w:rPr>
              <w:t>T’=T/(</w:t>
            </w:r>
            <w:proofErr w:type="spellStart"/>
            <w:r w:rsidRPr="006F3533">
              <w:rPr>
                <w:rFonts w:cs="Times New Roman"/>
                <w:color w:val="0070C0"/>
                <w:szCs w:val="24"/>
                <w:lang w:val="bg-BG"/>
              </w:rPr>
              <w:t>total</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floor</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area</w:t>
            </w:r>
            <w:proofErr w:type="spellEnd"/>
            <w:r w:rsidRPr="006F3533">
              <w:rPr>
                <w:rFonts w:cs="Times New Roman"/>
                <w:color w:val="0070C0"/>
                <w:szCs w:val="24"/>
                <w:lang w:val="bg-BG"/>
              </w:rPr>
              <w:t>)</w:t>
            </w:r>
          </w:p>
        </w:tc>
      </w:tr>
    </w:tbl>
    <w:p w14:paraId="331C4D16" w14:textId="77777777" w:rsidR="004E3016" w:rsidRPr="006F3533" w:rsidRDefault="004E3016" w:rsidP="00077D42">
      <w:pPr>
        <w:pStyle w:val="ListParagraph"/>
        <w:spacing w:line="240" w:lineRule="auto"/>
        <w:ind w:left="1440"/>
        <w:jc w:val="both"/>
        <w:rPr>
          <w:rFonts w:cs="Times New Roman"/>
          <w:szCs w:val="24"/>
          <w:lang w:val="bg-BG"/>
        </w:rPr>
      </w:pPr>
    </w:p>
    <w:p w14:paraId="496C9926" w14:textId="6E135C5C" w:rsidR="00D87030" w:rsidRPr="006F3533" w:rsidRDefault="00D87030" w:rsidP="00077D42">
      <w:pPr>
        <w:pStyle w:val="Heading2"/>
        <w:jc w:val="both"/>
        <w:rPr>
          <w:lang w:val="bg-BG"/>
        </w:rPr>
      </w:pPr>
      <w:bookmarkStart w:id="135" w:name="_Toc217888789"/>
      <w:r w:rsidRPr="006F3533">
        <w:rPr>
          <w:lang w:val="bg-BG"/>
        </w:rPr>
        <w:t>Годишно намаление на оперативните емисии на парникови газове по видове сгради (</w:t>
      </w:r>
      <w:proofErr w:type="spellStart"/>
      <w:r w:rsidRPr="006F3533">
        <w:rPr>
          <w:lang w:val="bg-BG"/>
        </w:rPr>
        <w:t>kgCO₂eq</w:t>
      </w:r>
      <w:proofErr w:type="spellEnd"/>
      <w:r w:rsidRPr="006F3533">
        <w:rPr>
          <w:lang w:val="bg-BG"/>
        </w:rPr>
        <w:t>/(m²·година))</w:t>
      </w:r>
      <w:bookmarkEnd w:id="135"/>
      <w:r w:rsidRPr="006F3533">
        <w:rPr>
          <w:lang w:val="bg-BG"/>
        </w:rPr>
        <w:t xml:space="preserve"> </w:t>
      </w:r>
    </w:p>
    <w:p w14:paraId="40EF4E9B" w14:textId="44323668" w:rsidR="00D87030" w:rsidRPr="006F3533" w:rsidRDefault="00D87030" w:rsidP="00077D42">
      <w:pPr>
        <w:jc w:val="both"/>
        <w:rPr>
          <w:lang w:val="bg-BG"/>
        </w:rPr>
      </w:pPr>
      <w:r w:rsidRPr="006F3533">
        <w:rPr>
          <w:lang w:val="bg-BG"/>
        </w:rPr>
        <w:t>За нежилищните сгради намалението на емисиите е изразено като разлика в специфичните емисии на единица площ (</w:t>
      </w:r>
      <w:proofErr w:type="spellStart"/>
      <w:r w:rsidRPr="006F3533">
        <w:rPr>
          <w:lang w:val="bg-BG"/>
        </w:rPr>
        <w:t>kgCO₂eq</w:t>
      </w:r>
      <w:proofErr w:type="spellEnd"/>
      <w:r w:rsidRPr="006F3533">
        <w:rPr>
          <w:lang w:val="bg-BG"/>
        </w:rPr>
        <w:t xml:space="preserve">/(m²·година)) между базовата и референтната година (в случая – 2019 и 2023 г.), използвайки единични данни за крайното потребление на сектор „Търговия и услуги“ от националните енергийни баланси на НСИ и прилагайки еднаква методология и емисионни фактори, определени в </w:t>
      </w:r>
      <w:r w:rsidRPr="006F3533">
        <w:rPr>
          <w:i/>
          <w:iCs/>
          <w:lang w:val="bg-BG"/>
        </w:rPr>
        <w:t>Наредба № РД-02-20-3 за техническите изисквания към енергийните характеристики на сградите</w:t>
      </w:r>
      <w:r w:rsidRPr="006F3533">
        <w:rPr>
          <w:lang w:val="bg-BG"/>
        </w:rPr>
        <w:t>. По този начин се гарантира съпоставимост на резултатите и връзка с оценките, използвани при енергийните обследвания и сертифицирането на енергийните характеристики на сградите.</w:t>
      </w:r>
    </w:p>
    <w:p w14:paraId="4B75F198" w14:textId="77777777" w:rsidR="00D87030" w:rsidRPr="006F3533" w:rsidRDefault="00D87030" w:rsidP="00077D42">
      <w:pPr>
        <w:jc w:val="both"/>
        <w:rPr>
          <w:lang w:val="bg-BG"/>
        </w:rPr>
      </w:pPr>
      <w:r w:rsidRPr="006F3533">
        <w:rPr>
          <w:lang w:val="bg-BG"/>
        </w:rPr>
        <w:t>В резултат на промените в крайното енергийно потребление, подобряването на енергийната ефективност и увеличаването на дела на възобновяемите енергийни източници, годишното намаление на оперативните емисии на парникови газове за нежилищните сгради възлиза на:</w:t>
      </w:r>
    </w:p>
    <w:p w14:paraId="06C2279E" w14:textId="247EDF88" w:rsidR="00D87030" w:rsidRPr="006F3533" w:rsidRDefault="0039488E" w:rsidP="00077D42">
      <w:pPr>
        <w:jc w:val="both"/>
        <w:rPr>
          <w:b/>
          <w:bCs/>
          <w:lang w:val="bg-BG"/>
        </w:rPr>
      </w:pPr>
      <w:r w:rsidRPr="006F3533">
        <w:rPr>
          <w:b/>
          <w:bCs/>
          <w:lang w:val="bg-BG"/>
        </w:rPr>
        <w:t>16,37</w:t>
      </w:r>
      <w:r w:rsidR="00D87030" w:rsidRPr="006F3533">
        <w:rPr>
          <w:b/>
          <w:bCs/>
          <w:lang w:val="bg-BG"/>
        </w:rPr>
        <w:t xml:space="preserve"> </w:t>
      </w:r>
      <w:proofErr w:type="spellStart"/>
      <w:r w:rsidR="00D87030" w:rsidRPr="006F3533">
        <w:rPr>
          <w:b/>
          <w:bCs/>
          <w:lang w:val="bg-BG"/>
        </w:rPr>
        <w:t>kgCO₂eq</w:t>
      </w:r>
      <w:proofErr w:type="spellEnd"/>
      <w:r w:rsidR="00D87030" w:rsidRPr="006F3533">
        <w:rPr>
          <w:b/>
          <w:bCs/>
          <w:lang w:val="bg-BG"/>
        </w:rPr>
        <w:t>/(m²·година)</w:t>
      </w:r>
    </w:p>
    <w:p w14:paraId="3CBB9836" w14:textId="27DFC46F" w:rsidR="00D87030" w:rsidRPr="006F3533" w:rsidRDefault="00D87030" w:rsidP="00077D42">
      <w:pPr>
        <w:jc w:val="both"/>
        <w:rPr>
          <w:lang w:val="bg-BG"/>
        </w:rPr>
      </w:pPr>
      <w:r w:rsidRPr="006F3533">
        <w:rPr>
          <w:lang w:val="bg-BG"/>
        </w:rPr>
        <w:t xml:space="preserve">Отчетеното намаление на оперативните емисии потвърждава, че сградният сектор, и по-специално сегмента на нежилищните сгради, вече допринася за постепенна </w:t>
      </w:r>
      <w:proofErr w:type="spellStart"/>
      <w:r w:rsidRPr="006F3533">
        <w:rPr>
          <w:lang w:val="bg-BG"/>
        </w:rPr>
        <w:t>декарбонизация</w:t>
      </w:r>
      <w:proofErr w:type="spellEnd"/>
      <w:r w:rsidRPr="006F3533">
        <w:rPr>
          <w:lang w:val="bg-BG"/>
        </w:rPr>
        <w:t>, въпреки нарастването на общата площ на сградния фонд. Това подчертава значението на:</w:t>
      </w:r>
    </w:p>
    <w:p w14:paraId="03CB22F1" w14:textId="77777777" w:rsidR="00D87030" w:rsidRPr="006F3533" w:rsidRDefault="00D87030" w:rsidP="00551FED">
      <w:pPr>
        <w:pStyle w:val="ListParagraph"/>
        <w:numPr>
          <w:ilvl w:val="0"/>
          <w:numId w:val="84"/>
        </w:numPr>
        <w:jc w:val="both"/>
        <w:rPr>
          <w:lang w:val="bg-BG"/>
        </w:rPr>
      </w:pPr>
      <w:r w:rsidRPr="006F3533">
        <w:rPr>
          <w:lang w:val="bg-BG"/>
        </w:rPr>
        <w:t>подобряването на енергийните характеристики на сградите;</w:t>
      </w:r>
    </w:p>
    <w:p w14:paraId="23082A6E" w14:textId="77777777" w:rsidR="00D87030" w:rsidRPr="006F3533" w:rsidRDefault="00D87030" w:rsidP="00551FED">
      <w:pPr>
        <w:pStyle w:val="ListParagraph"/>
        <w:numPr>
          <w:ilvl w:val="0"/>
          <w:numId w:val="84"/>
        </w:numPr>
        <w:jc w:val="both"/>
        <w:rPr>
          <w:lang w:val="bg-BG"/>
        </w:rPr>
      </w:pPr>
      <w:r w:rsidRPr="006F3533">
        <w:rPr>
          <w:lang w:val="bg-BG"/>
        </w:rPr>
        <w:t>промяната в енергийния микс;</w:t>
      </w:r>
    </w:p>
    <w:p w14:paraId="0B507E41" w14:textId="77777777" w:rsidR="00D87030" w:rsidRPr="006F3533" w:rsidRDefault="00D87030" w:rsidP="00551FED">
      <w:pPr>
        <w:pStyle w:val="ListParagraph"/>
        <w:numPr>
          <w:ilvl w:val="0"/>
          <w:numId w:val="84"/>
        </w:numPr>
        <w:jc w:val="both"/>
        <w:rPr>
          <w:lang w:val="bg-BG"/>
        </w:rPr>
      </w:pPr>
      <w:r w:rsidRPr="006F3533">
        <w:rPr>
          <w:lang w:val="bg-BG"/>
        </w:rPr>
        <w:t>последователното прилагане на националната методология за оценка на енергийните характеристики.</w:t>
      </w:r>
    </w:p>
    <w:p w14:paraId="1DC950A5" w14:textId="77777777" w:rsidR="004323E6" w:rsidRPr="006F3533" w:rsidRDefault="004323E6" w:rsidP="00077D42">
      <w:pPr>
        <w:pStyle w:val="ListParagraph"/>
        <w:spacing w:line="240" w:lineRule="auto"/>
        <w:jc w:val="both"/>
        <w:rPr>
          <w:rFonts w:cs="Times New Roman"/>
          <w:i/>
          <w:iCs/>
          <w:color w:val="0070C0"/>
          <w:szCs w:val="24"/>
          <w:lang w:val="bg-BG"/>
        </w:rPr>
      </w:pPr>
    </w:p>
    <w:p w14:paraId="688659DF" w14:textId="591750B0" w:rsidR="00DA06E4" w:rsidRPr="006F3533" w:rsidRDefault="001D6C9D" w:rsidP="00077D42">
      <w:pPr>
        <w:spacing w:line="240" w:lineRule="auto"/>
        <w:jc w:val="both"/>
        <w:rPr>
          <w:rFonts w:cs="Times New Roman"/>
          <w:i/>
          <w:iCs/>
          <w:color w:val="0070C0"/>
          <w:szCs w:val="24"/>
          <w:lang w:val="bg-BG"/>
        </w:rPr>
      </w:pPr>
      <w:r w:rsidRPr="006F3533">
        <w:rPr>
          <w:rFonts w:cs="Times New Roman"/>
          <w:i/>
          <w:iCs/>
          <w:color w:val="0070C0"/>
          <w:szCs w:val="24"/>
          <w:lang w:val="bg-BG"/>
        </w:rPr>
        <w:lastRenderedPageBreak/>
        <w:t>Таблица 12. Намаление на годишните оперативни въглеродни емисии по видове сгради към 2023 г. спрямо базовата година</w:t>
      </w:r>
    </w:p>
    <w:tbl>
      <w:tblPr>
        <w:tblStyle w:val="TableGrid"/>
        <w:tblW w:w="5000" w:type="pct"/>
        <w:tblLook w:val="04A0" w:firstRow="1" w:lastRow="0" w:firstColumn="1" w:lastColumn="0" w:noHBand="0" w:noVBand="1"/>
      </w:tblPr>
      <w:tblGrid>
        <w:gridCol w:w="3795"/>
        <w:gridCol w:w="5267"/>
      </w:tblGrid>
      <w:tr w:rsidR="006B60A1" w:rsidRPr="006F3533" w14:paraId="25CE1DDD" w14:textId="77777777" w:rsidTr="00552DC2">
        <w:tc>
          <w:tcPr>
            <w:tcW w:w="2094" w:type="pct"/>
            <w:shd w:val="clear" w:color="auto" w:fill="D9D9D9" w:themeFill="background1" w:themeFillShade="D9"/>
          </w:tcPr>
          <w:p w14:paraId="0532B102" w14:textId="19FD947D" w:rsidR="006B60A1" w:rsidRPr="006F3533" w:rsidRDefault="007867FD" w:rsidP="00077D42">
            <w:pPr>
              <w:pStyle w:val="ListParagraph"/>
              <w:ind w:left="0"/>
              <w:jc w:val="both"/>
              <w:rPr>
                <w:rFonts w:cs="Times New Roman"/>
                <w:szCs w:val="24"/>
                <w:lang w:val="bg-BG"/>
              </w:rPr>
            </w:pPr>
            <w:r w:rsidRPr="006F3533">
              <w:rPr>
                <w:rFonts w:cs="Times New Roman"/>
                <w:szCs w:val="24"/>
                <w:lang w:val="bg-BG"/>
              </w:rPr>
              <w:t xml:space="preserve">Building </w:t>
            </w:r>
            <w:proofErr w:type="spellStart"/>
            <w:r w:rsidRPr="006F3533">
              <w:rPr>
                <w:rFonts w:cs="Times New Roman"/>
                <w:szCs w:val="24"/>
                <w:lang w:val="bg-BG"/>
              </w:rPr>
              <w:t>type</w:t>
            </w:r>
            <w:proofErr w:type="spellEnd"/>
          </w:p>
        </w:tc>
        <w:tc>
          <w:tcPr>
            <w:tcW w:w="2906" w:type="pct"/>
            <w:shd w:val="clear" w:color="auto" w:fill="D9D9D9" w:themeFill="background1" w:themeFillShade="D9"/>
          </w:tcPr>
          <w:p w14:paraId="04BD49E9" w14:textId="38890EA3" w:rsidR="006B60A1" w:rsidRPr="006F3533" w:rsidRDefault="006B60A1" w:rsidP="00077D42">
            <w:pPr>
              <w:pStyle w:val="ListParagraph"/>
              <w:ind w:left="0"/>
              <w:jc w:val="both"/>
              <w:rPr>
                <w:rFonts w:cs="Times New Roman"/>
                <w:szCs w:val="24"/>
                <w:lang w:val="bg-BG"/>
              </w:rPr>
            </w:pPr>
            <w:proofErr w:type="spellStart"/>
            <w:r w:rsidRPr="006F3533">
              <w:rPr>
                <w:rFonts w:cs="Times New Roman"/>
                <w:szCs w:val="24"/>
                <w:lang w:val="bg-BG"/>
              </w:rPr>
              <w:t>Reduction</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annual</w:t>
            </w:r>
            <w:proofErr w:type="spellEnd"/>
            <w:r w:rsidRPr="006F3533">
              <w:rPr>
                <w:rFonts w:cs="Times New Roman"/>
                <w:szCs w:val="24"/>
                <w:lang w:val="bg-BG"/>
              </w:rPr>
              <w:t xml:space="preserve"> </w:t>
            </w:r>
            <w:proofErr w:type="spellStart"/>
            <w:r w:rsidRPr="006F3533">
              <w:rPr>
                <w:rFonts w:cs="Times New Roman"/>
                <w:szCs w:val="24"/>
                <w:lang w:val="bg-BG"/>
              </w:rPr>
              <w:t>operational</w:t>
            </w:r>
            <w:proofErr w:type="spellEnd"/>
            <w:r w:rsidRPr="006F3533">
              <w:rPr>
                <w:rFonts w:cs="Times New Roman"/>
                <w:szCs w:val="24"/>
                <w:lang w:val="bg-BG"/>
              </w:rPr>
              <w:t xml:space="preserve"> </w:t>
            </w:r>
            <w:proofErr w:type="spellStart"/>
            <w:r w:rsidRPr="006F3533">
              <w:rPr>
                <w:rFonts w:cs="Times New Roman"/>
                <w:szCs w:val="24"/>
                <w:lang w:val="bg-BG"/>
              </w:rPr>
              <w:t>greenhouse</w:t>
            </w:r>
            <w:proofErr w:type="spellEnd"/>
            <w:r w:rsidRPr="006F3533">
              <w:rPr>
                <w:rFonts w:cs="Times New Roman"/>
                <w:szCs w:val="24"/>
                <w:lang w:val="bg-BG"/>
              </w:rPr>
              <w:t xml:space="preserve"> </w:t>
            </w:r>
            <w:proofErr w:type="spellStart"/>
            <w:r w:rsidRPr="006F3533">
              <w:rPr>
                <w:rFonts w:cs="Times New Roman"/>
                <w:szCs w:val="24"/>
                <w:lang w:val="bg-BG"/>
              </w:rPr>
              <w:t>gas</w:t>
            </w:r>
            <w:proofErr w:type="spellEnd"/>
            <w:r w:rsidRPr="006F3533">
              <w:rPr>
                <w:rFonts w:cs="Times New Roman"/>
                <w:szCs w:val="24"/>
                <w:lang w:val="bg-BG"/>
              </w:rPr>
              <w:t xml:space="preserve"> </w:t>
            </w:r>
            <w:proofErr w:type="spellStart"/>
            <w:r w:rsidRPr="006F3533">
              <w:rPr>
                <w:rFonts w:cs="Times New Roman"/>
                <w:szCs w:val="24"/>
                <w:lang w:val="bg-BG"/>
              </w:rPr>
              <w:t>emission</w:t>
            </w:r>
            <w:r w:rsidR="00E9460E" w:rsidRPr="006F3533">
              <w:rPr>
                <w:rFonts w:cs="Times New Roman"/>
                <w:szCs w:val="24"/>
                <w:lang w:val="bg-BG"/>
              </w:rPr>
              <w:t>s</w:t>
            </w:r>
            <w:proofErr w:type="spellEnd"/>
          </w:p>
          <w:p w14:paraId="6CC91B40" w14:textId="73BB5311" w:rsidR="006B60A1" w:rsidRPr="006F3533" w:rsidRDefault="006B60A1" w:rsidP="00077D42">
            <w:pPr>
              <w:pStyle w:val="ListParagraph"/>
              <w:ind w:left="0"/>
              <w:jc w:val="both"/>
              <w:rPr>
                <w:rFonts w:cs="Times New Roman"/>
                <w:szCs w:val="24"/>
                <w:lang w:val="bg-BG"/>
              </w:rPr>
            </w:pPr>
            <w:r w:rsidRPr="006F3533">
              <w:rPr>
                <w:rFonts w:cs="Times New Roman"/>
                <w:szCs w:val="24"/>
                <w:lang w:val="bg-BG"/>
              </w:rPr>
              <w:t>kgCO2eq/(m</w:t>
            </w:r>
            <w:r w:rsidR="00B1626B" w:rsidRPr="006F3533">
              <w:rPr>
                <w:rFonts w:cs="Times New Roman"/>
                <w:szCs w:val="24"/>
                <w:lang w:val="bg-BG"/>
              </w:rPr>
              <w:t>²</w:t>
            </w:r>
            <w:r w:rsidRPr="006F3533">
              <w:rPr>
                <w:rFonts w:cs="Times New Roman"/>
                <w:szCs w:val="24"/>
                <w:lang w:val="bg-BG"/>
              </w:rPr>
              <w:t>.y</w:t>
            </w:r>
            <w:r w:rsidR="00B1626B" w:rsidRPr="006F3533">
              <w:rPr>
                <w:rFonts w:cs="Times New Roman"/>
                <w:szCs w:val="24"/>
                <w:lang w:val="bg-BG"/>
              </w:rPr>
              <w:t>)</w:t>
            </w:r>
          </w:p>
        </w:tc>
      </w:tr>
      <w:tr w:rsidR="006B60A1" w:rsidRPr="006F3533" w14:paraId="6462AD2B" w14:textId="77777777" w:rsidTr="00552DC2">
        <w:trPr>
          <w:trHeight w:val="875"/>
        </w:trPr>
        <w:tc>
          <w:tcPr>
            <w:tcW w:w="2094" w:type="pct"/>
          </w:tcPr>
          <w:p w14:paraId="6F5C6805" w14:textId="77777777" w:rsidR="006B60A1" w:rsidRPr="006F3533" w:rsidRDefault="006B60A1" w:rsidP="00077D42">
            <w:pPr>
              <w:pStyle w:val="ListParagraph"/>
              <w:ind w:left="0"/>
              <w:jc w:val="both"/>
              <w:rPr>
                <w:rFonts w:cs="Times New Roman"/>
                <w:szCs w:val="24"/>
                <w:lang w:val="bg-BG"/>
              </w:rPr>
            </w:pPr>
            <w:proofErr w:type="spellStart"/>
            <w:r w:rsidRPr="006F3533">
              <w:rPr>
                <w:rFonts w:cs="Times New Roman"/>
                <w:szCs w:val="24"/>
                <w:lang w:val="bg-BG"/>
              </w:rPr>
              <w:t>Residential</w:t>
            </w:r>
            <w:proofErr w:type="spellEnd"/>
          </w:p>
        </w:tc>
        <w:tc>
          <w:tcPr>
            <w:tcW w:w="2906" w:type="pct"/>
          </w:tcPr>
          <w:p w14:paraId="470F859F" w14:textId="2BBC0FA0" w:rsidR="006B60A1" w:rsidRPr="006F3533" w:rsidRDefault="006B60A1" w:rsidP="00077D42">
            <w:pPr>
              <w:pStyle w:val="ListParagraph"/>
              <w:ind w:left="0"/>
              <w:jc w:val="both"/>
              <w:rPr>
                <w:rFonts w:cs="Times New Roman"/>
                <w:color w:val="0070C0"/>
                <w:szCs w:val="24"/>
                <w:lang w:val="bg-BG"/>
              </w:rPr>
            </w:pP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Year</w:t>
            </w:r>
            <w:proofErr w:type="spellEnd"/>
            <w:r w:rsidRPr="006F3533">
              <w:rPr>
                <w:rFonts w:cs="Times New Roman"/>
                <w:color w:val="0070C0"/>
                <w:szCs w:val="24"/>
                <w:lang w:val="bg-BG"/>
              </w:rPr>
              <w:t xml:space="preserve"> (X-2) – </w:t>
            </w:r>
            <w:proofErr w:type="spellStart"/>
            <w:r w:rsidRPr="006F3533">
              <w:rPr>
                <w:rFonts w:cs="Times New Roman"/>
                <w:color w:val="0070C0"/>
                <w:szCs w:val="24"/>
                <w:lang w:val="bg-BG"/>
              </w:rPr>
              <w:t>value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in</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the</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previous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plan</w:t>
            </w:r>
            <w:proofErr w:type="spellEnd"/>
          </w:p>
        </w:tc>
      </w:tr>
      <w:tr w:rsidR="006B60A1" w:rsidRPr="006F3533" w14:paraId="47429EB3" w14:textId="77777777" w:rsidTr="00552DC2">
        <w:tc>
          <w:tcPr>
            <w:tcW w:w="2094" w:type="pct"/>
          </w:tcPr>
          <w:p w14:paraId="389A2F1A" w14:textId="77777777" w:rsidR="006B60A1" w:rsidRPr="006F3533" w:rsidRDefault="006B60A1" w:rsidP="00077D42">
            <w:pPr>
              <w:pStyle w:val="ListParagraph"/>
              <w:ind w:left="0"/>
              <w:jc w:val="both"/>
              <w:rPr>
                <w:rFonts w:cs="Times New Roman"/>
                <w:szCs w:val="24"/>
                <w:lang w:val="bg-BG"/>
              </w:rPr>
            </w:pPr>
            <w:proofErr w:type="spellStart"/>
            <w:r w:rsidRPr="006F3533">
              <w:rPr>
                <w:rFonts w:cs="Times New Roman"/>
                <w:szCs w:val="24"/>
                <w:lang w:val="bg-BG"/>
              </w:rPr>
              <w:t>Non-residential</w:t>
            </w:r>
            <w:proofErr w:type="spellEnd"/>
            <w:r w:rsidRPr="006F3533">
              <w:rPr>
                <w:rFonts w:cs="Times New Roman"/>
                <w:szCs w:val="24"/>
                <w:lang w:val="bg-BG"/>
              </w:rPr>
              <w:t xml:space="preserve"> </w:t>
            </w:r>
          </w:p>
        </w:tc>
        <w:tc>
          <w:tcPr>
            <w:tcW w:w="2906" w:type="pct"/>
          </w:tcPr>
          <w:p w14:paraId="0E0DC22E" w14:textId="2F14500B" w:rsidR="006B60A1" w:rsidRPr="006F3533" w:rsidRDefault="0039488E" w:rsidP="00077D42">
            <w:pPr>
              <w:pStyle w:val="ListParagraph"/>
              <w:ind w:left="0"/>
              <w:jc w:val="both"/>
              <w:rPr>
                <w:rFonts w:cs="Times New Roman"/>
                <w:color w:val="0070C0"/>
                <w:szCs w:val="24"/>
                <w:lang w:val="bg-BG"/>
              </w:rPr>
            </w:pPr>
            <w:r w:rsidRPr="006F3533">
              <w:rPr>
                <w:rFonts w:cs="Times New Roman"/>
                <w:color w:val="EE0000"/>
                <w:szCs w:val="24"/>
                <w:lang w:val="bg-BG"/>
              </w:rPr>
              <w:t>16</w:t>
            </w:r>
            <w:r w:rsidR="00EA711E" w:rsidRPr="006F3533">
              <w:rPr>
                <w:rFonts w:cs="Times New Roman"/>
                <w:color w:val="EE0000"/>
                <w:szCs w:val="24"/>
                <w:lang w:val="bg-BG"/>
              </w:rPr>
              <w:t>.</w:t>
            </w:r>
            <w:r w:rsidRPr="006F3533">
              <w:rPr>
                <w:rFonts w:cs="Times New Roman"/>
                <w:color w:val="EE0000"/>
                <w:szCs w:val="24"/>
                <w:lang w:val="bg-BG"/>
              </w:rPr>
              <w:t>37</w:t>
            </w:r>
            <w:r w:rsidR="00670BCB" w:rsidRPr="006F3533">
              <w:rPr>
                <w:rFonts w:cs="Times New Roman"/>
                <w:color w:val="EE0000"/>
                <w:szCs w:val="24"/>
                <w:lang w:val="bg-BG"/>
              </w:rPr>
              <w:br/>
            </w:r>
            <w:proofErr w:type="spellStart"/>
            <w:r w:rsidR="00670BCB" w:rsidRPr="006F3533">
              <w:rPr>
                <w:rFonts w:cs="Times New Roman"/>
                <w:color w:val="4472C4" w:themeColor="accent1"/>
                <w:szCs w:val="24"/>
                <w:lang w:val="bg-BG"/>
              </w:rPr>
              <w:t>V</w:t>
            </w:r>
            <w:r w:rsidR="00670BCB" w:rsidRPr="006F3533">
              <w:rPr>
                <w:rFonts w:cs="Times New Roman"/>
                <w:color w:val="0070C0"/>
                <w:szCs w:val="24"/>
                <w:lang w:val="bg-BG"/>
              </w:rPr>
              <w:t>alue</w:t>
            </w:r>
            <w:proofErr w:type="spellEnd"/>
            <w:r w:rsidR="00670BCB" w:rsidRPr="006F3533">
              <w:rPr>
                <w:rFonts w:cs="Times New Roman"/>
                <w:color w:val="0070C0"/>
                <w:szCs w:val="24"/>
                <w:lang w:val="bg-BG"/>
              </w:rPr>
              <w:t xml:space="preserve"> </w:t>
            </w:r>
            <w:proofErr w:type="spellStart"/>
            <w:r w:rsidR="00670BCB" w:rsidRPr="006F3533">
              <w:rPr>
                <w:rFonts w:cs="Times New Roman"/>
                <w:color w:val="0070C0"/>
                <w:szCs w:val="24"/>
                <w:lang w:val="bg-BG"/>
              </w:rPr>
              <w:t>in</w:t>
            </w:r>
            <w:proofErr w:type="spellEnd"/>
            <w:r w:rsidR="00670BCB" w:rsidRPr="006F3533">
              <w:rPr>
                <w:rFonts w:cs="Times New Roman"/>
                <w:color w:val="0070C0"/>
                <w:szCs w:val="24"/>
                <w:lang w:val="bg-BG"/>
              </w:rPr>
              <w:t xml:space="preserve"> </w:t>
            </w:r>
            <w:proofErr w:type="spellStart"/>
            <w:r w:rsidR="00670BCB" w:rsidRPr="006F3533">
              <w:rPr>
                <w:rFonts w:cs="Times New Roman"/>
                <w:color w:val="0070C0"/>
                <w:szCs w:val="24"/>
                <w:lang w:val="bg-BG"/>
              </w:rPr>
              <w:t>the</w:t>
            </w:r>
            <w:proofErr w:type="spellEnd"/>
            <w:r w:rsidR="00670BCB" w:rsidRPr="006F3533">
              <w:rPr>
                <w:rFonts w:cs="Times New Roman"/>
                <w:color w:val="0070C0"/>
                <w:szCs w:val="24"/>
                <w:lang w:val="bg-BG"/>
              </w:rPr>
              <w:t xml:space="preserve"> </w:t>
            </w:r>
            <w:proofErr w:type="spellStart"/>
            <w:r w:rsidR="00670BCB" w:rsidRPr="006F3533">
              <w:rPr>
                <w:rFonts w:cs="Times New Roman"/>
                <w:color w:val="0070C0"/>
                <w:szCs w:val="24"/>
                <w:lang w:val="bg-BG"/>
              </w:rPr>
              <w:t>previous</w:t>
            </w:r>
            <w:proofErr w:type="spellEnd"/>
            <w:r w:rsidR="00670BCB" w:rsidRPr="006F3533">
              <w:rPr>
                <w:rFonts w:cs="Times New Roman"/>
                <w:color w:val="0070C0"/>
                <w:szCs w:val="24"/>
                <w:lang w:val="bg-BG"/>
              </w:rPr>
              <w:t xml:space="preserve"> </w:t>
            </w:r>
            <w:proofErr w:type="spellStart"/>
            <w:r w:rsidR="00670BCB" w:rsidRPr="006F3533">
              <w:rPr>
                <w:rFonts w:cs="Times New Roman"/>
                <w:color w:val="0070C0"/>
                <w:szCs w:val="24"/>
                <w:lang w:val="bg-BG"/>
              </w:rPr>
              <w:t>plan</w:t>
            </w:r>
            <w:proofErr w:type="spellEnd"/>
            <w:r w:rsidR="00670BCB" w:rsidRPr="006F3533">
              <w:rPr>
                <w:rFonts w:cs="Times New Roman"/>
                <w:color w:val="0070C0"/>
                <w:szCs w:val="24"/>
                <w:lang w:val="bg-BG"/>
              </w:rPr>
              <w:t xml:space="preserve"> 2019 – </w:t>
            </w:r>
            <w:proofErr w:type="spellStart"/>
            <w:r w:rsidR="006B60A1" w:rsidRPr="006F3533">
              <w:rPr>
                <w:rFonts w:cs="Times New Roman"/>
                <w:color w:val="0070C0"/>
                <w:szCs w:val="24"/>
                <w:lang w:val="bg-BG"/>
              </w:rPr>
              <w:t>Value</w:t>
            </w:r>
            <w:proofErr w:type="spellEnd"/>
            <w:r w:rsidR="006B60A1" w:rsidRPr="006F3533">
              <w:rPr>
                <w:rFonts w:cs="Times New Roman"/>
                <w:color w:val="0070C0"/>
                <w:szCs w:val="24"/>
                <w:lang w:val="bg-BG"/>
              </w:rPr>
              <w:t xml:space="preserve"> </w:t>
            </w:r>
            <w:proofErr w:type="spellStart"/>
            <w:r w:rsidR="006B60A1" w:rsidRPr="006F3533">
              <w:rPr>
                <w:rFonts w:cs="Times New Roman"/>
                <w:color w:val="0070C0"/>
                <w:szCs w:val="24"/>
                <w:lang w:val="bg-BG"/>
              </w:rPr>
              <w:t>in</w:t>
            </w:r>
            <w:proofErr w:type="spellEnd"/>
            <w:r w:rsidR="006B60A1" w:rsidRPr="006F3533">
              <w:rPr>
                <w:rFonts w:cs="Times New Roman"/>
                <w:color w:val="0070C0"/>
                <w:szCs w:val="24"/>
                <w:lang w:val="bg-BG"/>
              </w:rPr>
              <w:t xml:space="preserve"> (</w:t>
            </w:r>
            <w:proofErr w:type="spellStart"/>
            <w:r w:rsidR="006B60A1" w:rsidRPr="006F3533">
              <w:rPr>
                <w:rFonts w:cs="Times New Roman"/>
                <w:color w:val="0070C0"/>
                <w:szCs w:val="24"/>
                <w:lang w:val="bg-BG"/>
              </w:rPr>
              <w:t>Year</w:t>
            </w:r>
            <w:proofErr w:type="spellEnd"/>
            <w:r w:rsidR="006B60A1" w:rsidRPr="006F3533">
              <w:rPr>
                <w:rFonts w:cs="Times New Roman"/>
                <w:color w:val="0070C0"/>
                <w:szCs w:val="24"/>
                <w:lang w:val="bg-BG"/>
              </w:rPr>
              <w:t xml:space="preserve"> </w:t>
            </w:r>
            <w:r w:rsidR="00E56AC4" w:rsidRPr="006F3533">
              <w:rPr>
                <w:rFonts w:cs="Times New Roman"/>
                <w:color w:val="0070C0"/>
                <w:szCs w:val="24"/>
                <w:lang w:val="bg-BG"/>
              </w:rPr>
              <w:t>2023</w:t>
            </w:r>
            <w:r w:rsidR="006B60A1" w:rsidRPr="006F3533">
              <w:rPr>
                <w:rFonts w:cs="Times New Roman"/>
                <w:color w:val="0070C0"/>
                <w:szCs w:val="24"/>
                <w:lang w:val="bg-BG"/>
              </w:rPr>
              <w:t xml:space="preserve">) </w:t>
            </w:r>
          </w:p>
        </w:tc>
      </w:tr>
      <w:tr w:rsidR="006B60A1" w:rsidRPr="006F3533" w14:paraId="5D221575" w14:textId="77777777" w:rsidTr="00552DC2">
        <w:tc>
          <w:tcPr>
            <w:tcW w:w="2094" w:type="pct"/>
          </w:tcPr>
          <w:p w14:paraId="104CB9EE" w14:textId="77777777" w:rsidR="006B60A1" w:rsidRPr="006F3533" w:rsidRDefault="006B60A1" w:rsidP="00077D42">
            <w:pPr>
              <w:pStyle w:val="ListParagraph"/>
              <w:ind w:left="0"/>
              <w:jc w:val="both"/>
              <w:rPr>
                <w:rFonts w:cs="Times New Roman"/>
                <w:szCs w:val="24"/>
                <w:lang w:val="bg-BG"/>
              </w:rPr>
            </w:pPr>
            <w:r w:rsidRPr="006F3533">
              <w:rPr>
                <w:rFonts w:cs="Times New Roman"/>
                <w:szCs w:val="24"/>
                <w:lang w:val="bg-BG"/>
              </w:rPr>
              <w:t xml:space="preserve">Total </w:t>
            </w:r>
          </w:p>
        </w:tc>
        <w:tc>
          <w:tcPr>
            <w:tcW w:w="2906" w:type="pct"/>
          </w:tcPr>
          <w:p w14:paraId="6A859DCD" w14:textId="3CA142D4" w:rsidR="006B60A1" w:rsidRPr="006F3533" w:rsidRDefault="00E67954" w:rsidP="00077D42">
            <w:pPr>
              <w:pStyle w:val="ListParagraph"/>
              <w:ind w:left="0"/>
              <w:jc w:val="both"/>
              <w:rPr>
                <w:rFonts w:cs="Times New Roman"/>
                <w:szCs w:val="24"/>
                <w:lang w:val="bg-BG"/>
              </w:rPr>
            </w:pPr>
            <w:proofErr w:type="spellStart"/>
            <w:r w:rsidRPr="006F3533">
              <w:rPr>
                <w:rFonts w:cs="Times New Roman"/>
                <w:color w:val="0070C0"/>
                <w:szCs w:val="24"/>
                <w:lang w:val="bg-BG"/>
              </w:rPr>
              <w:t>Savings</w:t>
            </w:r>
            <w:proofErr w:type="spellEnd"/>
            <w:r w:rsidRPr="006F3533">
              <w:rPr>
                <w:rFonts w:cs="Times New Roman"/>
                <w:color w:val="0070C0"/>
                <w:szCs w:val="24"/>
                <w:lang w:val="bg-BG"/>
              </w:rPr>
              <w:t xml:space="preserve"> </w:t>
            </w:r>
            <w:proofErr w:type="spellStart"/>
            <w:r w:rsidRPr="006F3533">
              <w:rPr>
                <w:rFonts w:cs="Times New Roman"/>
                <w:color w:val="0070C0"/>
                <w:szCs w:val="24"/>
                <w:lang w:val="bg-BG"/>
              </w:rPr>
              <w:t>residential</w:t>
            </w:r>
            <w:proofErr w:type="spellEnd"/>
            <w:r w:rsidRPr="006F3533">
              <w:rPr>
                <w:rFonts w:cs="Times New Roman"/>
                <w:color w:val="0070C0"/>
                <w:szCs w:val="24"/>
                <w:lang w:val="bg-BG"/>
              </w:rPr>
              <w:t xml:space="preserve"> + </w:t>
            </w:r>
            <w:proofErr w:type="spellStart"/>
            <w:r w:rsidRPr="006F3533">
              <w:rPr>
                <w:rFonts w:cs="Times New Roman"/>
                <w:color w:val="0070C0"/>
                <w:szCs w:val="24"/>
                <w:lang w:val="bg-BG"/>
              </w:rPr>
              <w:t>non-residential</w:t>
            </w:r>
            <w:proofErr w:type="spellEnd"/>
          </w:p>
        </w:tc>
      </w:tr>
    </w:tbl>
    <w:p w14:paraId="295F291D" w14:textId="77777777" w:rsidR="00410661" w:rsidRPr="006F3533" w:rsidRDefault="00410661" w:rsidP="00077D42">
      <w:pPr>
        <w:pStyle w:val="ListParagraph"/>
        <w:spacing w:line="240" w:lineRule="auto"/>
        <w:ind w:firstLine="696"/>
        <w:jc w:val="both"/>
        <w:rPr>
          <w:rFonts w:cs="Times New Roman"/>
          <w:szCs w:val="24"/>
          <w:lang w:val="bg-BG"/>
        </w:rPr>
      </w:pPr>
    </w:p>
    <w:p w14:paraId="160003D1" w14:textId="1F5AF94D" w:rsidR="00EE0DE5" w:rsidRPr="006F3533" w:rsidRDefault="00EE0DE5" w:rsidP="00077D42">
      <w:pPr>
        <w:pStyle w:val="Heading1"/>
        <w:jc w:val="both"/>
        <w:rPr>
          <w:lang w:val="bg-BG"/>
        </w:rPr>
      </w:pPr>
      <w:bookmarkStart w:id="136" w:name="_Toc217888790"/>
      <w:r w:rsidRPr="006F3533">
        <w:rPr>
          <w:lang w:val="bg-BG"/>
        </w:rPr>
        <w:t>Описание на бариерите и неуспехите на пазара</w:t>
      </w:r>
      <w:bookmarkEnd w:id="136"/>
    </w:p>
    <w:p w14:paraId="6604F789" w14:textId="77777777" w:rsidR="00EE0DE5" w:rsidRPr="006F3533" w:rsidRDefault="00EE0DE5" w:rsidP="00077D42">
      <w:pPr>
        <w:pStyle w:val="Heading2"/>
        <w:jc w:val="both"/>
        <w:rPr>
          <w:lang w:val="bg-BG"/>
        </w:rPr>
      </w:pPr>
      <w:bookmarkStart w:id="137" w:name="_Toc216857783"/>
      <w:bookmarkStart w:id="138" w:name="_Toc217888791"/>
      <w:r w:rsidRPr="006F3533">
        <w:rPr>
          <w:lang w:val="bg-BG"/>
        </w:rPr>
        <w:t>Разделени стимули („</w:t>
      </w:r>
      <w:proofErr w:type="spellStart"/>
      <w:r w:rsidRPr="006F3533">
        <w:rPr>
          <w:lang w:val="bg-BG"/>
        </w:rPr>
        <w:t>split</w:t>
      </w:r>
      <w:proofErr w:type="spellEnd"/>
      <w:r w:rsidRPr="006F3533">
        <w:rPr>
          <w:lang w:val="bg-BG"/>
        </w:rPr>
        <w:t xml:space="preserve"> </w:t>
      </w:r>
      <w:proofErr w:type="spellStart"/>
      <w:r w:rsidRPr="006F3533">
        <w:rPr>
          <w:lang w:val="bg-BG"/>
        </w:rPr>
        <w:t>incentives</w:t>
      </w:r>
      <w:proofErr w:type="spellEnd"/>
      <w:r w:rsidRPr="006F3533">
        <w:rPr>
          <w:lang w:val="bg-BG"/>
        </w:rPr>
        <w:t>“)</w:t>
      </w:r>
      <w:bookmarkEnd w:id="137"/>
      <w:bookmarkEnd w:id="138"/>
    </w:p>
    <w:p w14:paraId="67993BED" w14:textId="1FEF4DB6" w:rsidR="00EE0DE5" w:rsidRPr="006F3533" w:rsidRDefault="00EE0DE5" w:rsidP="00077D42">
      <w:pPr>
        <w:jc w:val="both"/>
        <w:rPr>
          <w:rFonts w:cs="Times New Roman"/>
          <w:szCs w:val="24"/>
          <w:lang w:val="bg-BG"/>
        </w:rPr>
      </w:pPr>
      <w:r w:rsidRPr="006F3533">
        <w:rPr>
          <w:rFonts w:cs="Times New Roman"/>
          <w:szCs w:val="24"/>
          <w:lang w:val="bg-BG"/>
        </w:rPr>
        <w:t xml:space="preserve">В българския контекст проблемът с т.нар. </w:t>
      </w:r>
      <w:r w:rsidRPr="006F3533">
        <w:rPr>
          <w:rFonts w:cs="Times New Roman"/>
          <w:i/>
          <w:iCs/>
          <w:szCs w:val="24"/>
          <w:lang w:val="bg-BG"/>
        </w:rPr>
        <w:t>разделени стимули</w:t>
      </w:r>
      <w:r w:rsidRPr="006F3533">
        <w:rPr>
          <w:rFonts w:cs="Times New Roman"/>
          <w:szCs w:val="24"/>
          <w:lang w:val="bg-BG"/>
        </w:rPr>
        <w:t xml:space="preserve"> между собствениците и ползвателите на жилищата има ограничено, но специфично проявление. България се характеризира с изключително висок дял на домакинствата, живеещи в собствено жилище – 85,1% през 2023 г., спрямо средно 69,0% за Европейския съюз, според данните на Евростат (</w:t>
      </w:r>
      <w:r w:rsidRPr="006F3533">
        <w:rPr>
          <w:rFonts w:cs="Times New Roman"/>
          <w:i/>
          <w:iCs/>
          <w:szCs w:val="24"/>
          <w:lang w:val="bg-BG"/>
        </w:rPr>
        <w:t xml:space="preserve">EU-SILC, </w:t>
      </w:r>
      <w:proofErr w:type="spellStart"/>
      <w:r w:rsidRPr="006F3533">
        <w:rPr>
          <w:rFonts w:cs="Times New Roman"/>
          <w:i/>
          <w:iCs/>
          <w:szCs w:val="24"/>
          <w:lang w:val="bg-BG"/>
        </w:rPr>
        <w:t>indicator</w:t>
      </w:r>
      <w:proofErr w:type="spellEnd"/>
      <w:r w:rsidRPr="006F3533">
        <w:rPr>
          <w:rFonts w:cs="Times New Roman"/>
          <w:i/>
          <w:iCs/>
          <w:szCs w:val="24"/>
          <w:lang w:val="bg-BG"/>
        </w:rPr>
        <w:t xml:space="preserve"> ilc_lvho02, 2024 </w:t>
      </w:r>
      <w:proofErr w:type="spellStart"/>
      <w:r w:rsidRPr="006F3533">
        <w:rPr>
          <w:rFonts w:cs="Times New Roman"/>
          <w:i/>
          <w:iCs/>
          <w:szCs w:val="24"/>
          <w:lang w:val="bg-BG"/>
        </w:rPr>
        <w:t>edition</w:t>
      </w:r>
      <w:proofErr w:type="spellEnd"/>
      <w:r w:rsidRPr="006F3533">
        <w:rPr>
          <w:rFonts w:cs="Times New Roman"/>
          <w:szCs w:val="24"/>
          <w:lang w:val="bg-BG"/>
        </w:rPr>
        <w:t>) и НСИ (</w:t>
      </w:r>
      <w:r w:rsidRPr="006F3533">
        <w:rPr>
          <w:rFonts w:cs="Times New Roman"/>
          <w:i/>
          <w:iCs/>
          <w:szCs w:val="24"/>
          <w:lang w:val="bg-BG"/>
        </w:rPr>
        <w:t>Статистически годишник 2025, табл. 11.3</w:t>
      </w:r>
      <w:r w:rsidRPr="006F3533">
        <w:rPr>
          <w:rFonts w:cs="Times New Roman"/>
          <w:szCs w:val="24"/>
          <w:lang w:val="bg-BG"/>
        </w:rPr>
        <w:t>). Делът на домакинствата, живеещи под наем при пазарни условия, е около 14</w:t>
      </w:r>
      <w:r w:rsidR="00560454" w:rsidRPr="006F3533">
        <w:rPr>
          <w:rFonts w:cs="Times New Roman"/>
          <w:szCs w:val="24"/>
          <w:lang w:val="bg-BG"/>
        </w:rPr>
        <w:t>%</w:t>
      </w:r>
      <w:r w:rsidRPr="006F3533">
        <w:rPr>
          <w:rFonts w:cs="Times New Roman"/>
          <w:szCs w:val="24"/>
          <w:lang w:val="bg-BG"/>
        </w:rPr>
        <w:t>, което поставя България сред страните с най-висока степен на жилищна собственост в ЕС.</w:t>
      </w:r>
    </w:p>
    <w:p w14:paraId="7C9CE848" w14:textId="77777777" w:rsidR="00EE0DE5" w:rsidRPr="006F3533" w:rsidRDefault="00EE0DE5" w:rsidP="00077D42">
      <w:pPr>
        <w:jc w:val="both"/>
        <w:rPr>
          <w:rFonts w:cs="Times New Roman"/>
          <w:szCs w:val="24"/>
          <w:lang w:val="bg-BG"/>
        </w:rPr>
      </w:pPr>
      <w:r w:rsidRPr="006F3533">
        <w:rPr>
          <w:rFonts w:cs="Times New Roman"/>
          <w:szCs w:val="24"/>
          <w:lang w:val="bg-BG"/>
        </w:rPr>
        <w:t xml:space="preserve">Тази структура на жилищния пазар предопределя относително по-слабо изразен риск от класически ситуации на </w:t>
      </w:r>
      <w:proofErr w:type="spellStart"/>
      <w:r w:rsidRPr="006F3533">
        <w:rPr>
          <w:rFonts w:cs="Times New Roman"/>
          <w:i/>
          <w:iCs/>
          <w:szCs w:val="24"/>
          <w:lang w:val="bg-BG"/>
        </w:rPr>
        <w:t>split</w:t>
      </w:r>
      <w:proofErr w:type="spellEnd"/>
      <w:r w:rsidRPr="006F3533">
        <w:rPr>
          <w:rFonts w:cs="Times New Roman"/>
          <w:i/>
          <w:iCs/>
          <w:szCs w:val="24"/>
          <w:lang w:val="bg-BG"/>
        </w:rPr>
        <w:t xml:space="preserve"> </w:t>
      </w:r>
      <w:proofErr w:type="spellStart"/>
      <w:r w:rsidRPr="006F3533">
        <w:rPr>
          <w:rFonts w:cs="Times New Roman"/>
          <w:i/>
          <w:iCs/>
          <w:szCs w:val="24"/>
          <w:lang w:val="bg-BG"/>
        </w:rPr>
        <w:t>incentives</w:t>
      </w:r>
      <w:proofErr w:type="spellEnd"/>
      <w:r w:rsidRPr="006F3533">
        <w:rPr>
          <w:rFonts w:cs="Times New Roman"/>
          <w:szCs w:val="24"/>
          <w:lang w:val="bg-BG"/>
        </w:rPr>
        <w:t>, при които наемателят поема разходите за енергия, но няма контрол върху инвестициите в енергийна ефективност. За разлика от много други държави членки, в България значителна част от обновяванията се реализират чрез публични програми с пълно или почти пълно субсидиране, което допълнително редуцира ефекта от липсата на стимули за участниците на наемния пазар.</w:t>
      </w:r>
    </w:p>
    <w:p w14:paraId="2A8815A8" w14:textId="1D24374F" w:rsidR="00EE0DE5" w:rsidRPr="006F3533" w:rsidRDefault="00EE0DE5" w:rsidP="00077D42">
      <w:pPr>
        <w:jc w:val="both"/>
        <w:rPr>
          <w:rFonts w:cs="Times New Roman"/>
          <w:szCs w:val="24"/>
          <w:lang w:val="bg-BG"/>
        </w:rPr>
      </w:pPr>
      <w:r w:rsidRPr="006F3533">
        <w:rPr>
          <w:rFonts w:cs="Times New Roman"/>
          <w:szCs w:val="24"/>
          <w:lang w:val="bg-BG"/>
        </w:rPr>
        <w:t>Въпреки това, структурни особености на жилищния фонд предполагат потенциално задълбочаване на проблема при бъдещи схеми със съфинансиране. По данни на НСИ от преброяването на жилищния фонд през 2021 г., обитаваните жилища са 2 603 713, или 61,1% от жилищния фонд, докато необитавани са 1 657 741, или 38,9%. Делът на необитаваните жилища е най-висок в областите Видин (55,4</w:t>
      </w:r>
      <w:r w:rsidR="00560454" w:rsidRPr="006F3533">
        <w:rPr>
          <w:rFonts w:cs="Times New Roman"/>
          <w:szCs w:val="24"/>
          <w:lang w:val="bg-BG"/>
        </w:rPr>
        <w:t>%</w:t>
      </w:r>
      <w:r w:rsidRPr="006F3533">
        <w:rPr>
          <w:rFonts w:cs="Times New Roman"/>
          <w:szCs w:val="24"/>
          <w:lang w:val="bg-BG"/>
        </w:rPr>
        <w:t>), Бургас (53,7</w:t>
      </w:r>
      <w:r w:rsidR="00560454" w:rsidRPr="006F3533">
        <w:rPr>
          <w:rFonts w:cs="Times New Roman"/>
          <w:szCs w:val="24"/>
          <w:lang w:val="bg-BG"/>
        </w:rPr>
        <w:t>%</w:t>
      </w:r>
      <w:r w:rsidRPr="006F3533">
        <w:rPr>
          <w:rFonts w:cs="Times New Roman"/>
          <w:szCs w:val="24"/>
          <w:lang w:val="bg-BG"/>
        </w:rPr>
        <w:t>) и Перник (53,6</w:t>
      </w:r>
      <w:r w:rsidR="00560454" w:rsidRPr="006F3533">
        <w:rPr>
          <w:rFonts w:cs="Times New Roman"/>
          <w:szCs w:val="24"/>
          <w:lang w:val="bg-BG"/>
        </w:rPr>
        <w:t>%</w:t>
      </w:r>
      <w:r w:rsidRPr="006F3533">
        <w:rPr>
          <w:rFonts w:cs="Times New Roman"/>
          <w:szCs w:val="24"/>
          <w:lang w:val="bg-BG"/>
        </w:rPr>
        <w:t>), а най-нисък в София (столица) (30,3</w:t>
      </w:r>
      <w:r w:rsidR="00560454" w:rsidRPr="006F3533">
        <w:rPr>
          <w:rFonts w:cs="Times New Roman"/>
          <w:szCs w:val="24"/>
          <w:lang w:val="bg-BG"/>
        </w:rPr>
        <w:t>%</w:t>
      </w:r>
      <w:r w:rsidRPr="006F3533">
        <w:rPr>
          <w:rFonts w:cs="Times New Roman"/>
          <w:szCs w:val="24"/>
          <w:lang w:val="bg-BG"/>
        </w:rPr>
        <w:t>) и Пловдив (31,1</w:t>
      </w:r>
      <w:r w:rsidR="00560454" w:rsidRPr="006F3533">
        <w:rPr>
          <w:rFonts w:cs="Times New Roman"/>
          <w:szCs w:val="24"/>
          <w:lang w:val="bg-BG"/>
        </w:rPr>
        <w:t>%</w:t>
      </w:r>
      <w:r w:rsidRPr="006F3533">
        <w:rPr>
          <w:rFonts w:cs="Times New Roman"/>
          <w:szCs w:val="24"/>
          <w:lang w:val="bg-BG"/>
        </w:rPr>
        <w:t>). Много от тези имоти са собственост на лица, които живеят в други населени места или извън страната, което затруднява участието им в сдружения на собствениците и във вземането на решения за обновяване. При въвеждане на програми, изискващи собствен принос, тази група може да се превърне в съществена пречка за постигане на целите за реновация, тъй като липсата на активни собственици ще забави колективните процеси и ще намали дела на включените сгради.</w:t>
      </w:r>
    </w:p>
    <w:p w14:paraId="41B39F7B" w14:textId="394F741D" w:rsidR="00EE0DE5" w:rsidRPr="006F3533" w:rsidRDefault="00EE0DE5" w:rsidP="00077D42">
      <w:pPr>
        <w:jc w:val="both"/>
        <w:rPr>
          <w:rFonts w:cs="Times New Roman"/>
          <w:szCs w:val="24"/>
          <w:lang w:val="bg-BG"/>
        </w:rPr>
      </w:pPr>
      <w:r w:rsidRPr="006F3533">
        <w:rPr>
          <w:rFonts w:cs="Times New Roman"/>
          <w:szCs w:val="24"/>
          <w:lang w:val="bg-BG"/>
        </w:rPr>
        <w:lastRenderedPageBreak/>
        <w:t xml:space="preserve">Паралелно с това, в сегмента на наемните жилища рискът от </w:t>
      </w:r>
      <w:proofErr w:type="spellStart"/>
      <w:r w:rsidRPr="006F3533">
        <w:rPr>
          <w:rFonts w:cs="Times New Roman"/>
          <w:i/>
          <w:iCs/>
          <w:szCs w:val="24"/>
          <w:lang w:val="bg-BG"/>
        </w:rPr>
        <w:t>split</w:t>
      </w:r>
      <w:proofErr w:type="spellEnd"/>
      <w:r w:rsidRPr="006F3533">
        <w:rPr>
          <w:rFonts w:cs="Times New Roman"/>
          <w:i/>
          <w:iCs/>
          <w:szCs w:val="24"/>
          <w:lang w:val="bg-BG"/>
        </w:rPr>
        <w:t xml:space="preserve"> </w:t>
      </w:r>
      <w:proofErr w:type="spellStart"/>
      <w:r w:rsidRPr="006F3533">
        <w:rPr>
          <w:rFonts w:cs="Times New Roman"/>
          <w:i/>
          <w:iCs/>
          <w:szCs w:val="24"/>
          <w:lang w:val="bg-BG"/>
        </w:rPr>
        <w:t>incentives</w:t>
      </w:r>
      <w:proofErr w:type="spellEnd"/>
      <w:r w:rsidRPr="006F3533">
        <w:rPr>
          <w:rFonts w:cs="Times New Roman"/>
          <w:szCs w:val="24"/>
          <w:lang w:val="bg-BG"/>
        </w:rPr>
        <w:t xml:space="preserve"> е концентриран предимно в големите градове, където жилищният пазар е по-динамичен, а сградният фонд остава преобладаващо стар и с по-ниска енергийна ефективност. В тези случаи наемателите поемат текущите разходи за енергия, докато собствениците не получават пряк икономически стимул да инвестират в обновяване, което ограничава интереса към обновяване в този сегмент.</w:t>
      </w:r>
    </w:p>
    <w:p w14:paraId="22F9F62C" w14:textId="3EA88393" w:rsidR="00EE0DE5" w:rsidRPr="006F3533" w:rsidRDefault="00EE0DE5" w:rsidP="00077D42">
      <w:pPr>
        <w:jc w:val="both"/>
        <w:rPr>
          <w:rFonts w:cs="Times New Roman"/>
          <w:szCs w:val="24"/>
          <w:lang w:val="bg-BG"/>
        </w:rPr>
      </w:pPr>
      <w:r w:rsidRPr="006F3533">
        <w:rPr>
          <w:rFonts w:cs="Times New Roman"/>
          <w:szCs w:val="24"/>
          <w:lang w:val="bg-BG"/>
        </w:rPr>
        <w:t>Отделно от горното, енергийната бедност</w:t>
      </w:r>
      <w:r w:rsidR="00567099" w:rsidRPr="006F3533">
        <w:rPr>
          <w:rStyle w:val="FootnoteReference"/>
          <w:rFonts w:cs="Times New Roman"/>
          <w:szCs w:val="24"/>
          <w:lang w:val="bg-BG"/>
        </w:rPr>
        <w:footnoteReference w:id="34"/>
      </w:r>
      <w:r w:rsidRPr="006F3533">
        <w:rPr>
          <w:rFonts w:cs="Times New Roman"/>
          <w:szCs w:val="24"/>
          <w:lang w:val="bg-BG"/>
        </w:rPr>
        <w:t xml:space="preserve"> представлява самостоятелно предизвикателство, което не произтича от разделени стимули, а от ниски доходи и ограничен достъп до финансиране. Според Евростат (</w:t>
      </w:r>
      <w:proofErr w:type="spellStart"/>
      <w:r w:rsidRPr="006F3533">
        <w:rPr>
          <w:rFonts w:cs="Times New Roman"/>
          <w:szCs w:val="24"/>
          <w:lang w:val="bg-BG"/>
        </w:rPr>
        <w:t>indicator</w:t>
      </w:r>
      <w:proofErr w:type="spellEnd"/>
      <w:r w:rsidRPr="006F3533">
        <w:rPr>
          <w:rFonts w:cs="Times New Roman"/>
          <w:szCs w:val="24"/>
          <w:lang w:val="bg-BG"/>
        </w:rPr>
        <w:t xml:space="preserve"> ilc_mdes01, 2024) около 20,7</w:t>
      </w:r>
      <w:r w:rsidR="00560454" w:rsidRPr="006F3533">
        <w:rPr>
          <w:rFonts w:cs="Times New Roman"/>
          <w:szCs w:val="24"/>
          <w:lang w:val="bg-BG"/>
        </w:rPr>
        <w:t>%</w:t>
      </w:r>
      <w:r w:rsidRPr="006F3533">
        <w:rPr>
          <w:rFonts w:cs="Times New Roman"/>
          <w:szCs w:val="24"/>
          <w:lang w:val="bg-BG"/>
        </w:rPr>
        <w:t xml:space="preserve"> от домакинствата в България съобщават, че не могат да поддържат жилището си достатъчно топло – вторият най-висок дял в ЕС. Това показва, че значителна част от населението е икономически уязвимо и няма финансовата възможност да участва в програми със съфинансиране, независимо от повишената мотивация, породена от високите разходи за енергия. Следователно, докато енергийните шокове могат да повишават интереса към обновяване, бедността сама по себе си ограничава реалното участие в процеса.</w:t>
      </w:r>
    </w:p>
    <w:p w14:paraId="077093EE" w14:textId="631C55E9" w:rsidR="00C0423C" w:rsidRPr="006F3533" w:rsidRDefault="00EE0DE5" w:rsidP="00077D42">
      <w:pPr>
        <w:jc w:val="both"/>
        <w:rPr>
          <w:rFonts w:cs="Times New Roman"/>
          <w:szCs w:val="24"/>
          <w:lang w:val="bg-BG"/>
        </w:rPr>
      </w:pPr>
      <w:r w:rsidRPr="006F3533">
        <w:rPr>
          <w:rFonts w:cs="Times New Roman"/>
          <w:szCs w:val="24"/>
          <w:lang w:val="bg-BG"/>
        </w:rPr>
        <w:t xml:space="preserve">В заключение, макар класическите прояви на </w:t>
      </w:r>
      <w:proofErr w:type="spellStart"/>
      <w:r w:rsidRPr="006F3533">
        <w:rPr>
          <w:rFonts w:cs="Times New Roman"/>
          <w:i/>
          <w:iCs/>
          <w:szCs w:val="24"/>
          <w:lang w:val="bg-BG"/>
        </w:rPr>
        <w:t>split</w:t>
      </w:r>
      <w:proofErr w:type="spellEnd"/>
      <w:r w:rsidRPr="006F3533">
        <w:rPr>
          <w:rFonts w:cs="Times New Roman"/>
          <w:i/>
          <w:iCs/>
          <w:szCs w:val="24"/>
          <w:lang w:val="bg-BG"/>
        </w:rPr>
        <w:t xml:space="preserve"> </w:t>
      </w:r>
      <w:proofErr w:type="spellStart"/>
      <w:r w:rsidRPr="006F3533">
        <w:rPr>
          <w:rFonts w:cs="Times New Roman"/>
          <w:i/>
          <w:iCs/>
          <w:szCs w:val="24"/>
          <w:lang w:val="bg-BG"/>
        </w:rPr>
        <w:t>incentives</w:t>
      </w:r>
      <w:proofErr w:type="spellEnd"/>
      <w:r w:rsidRPr="006F3533">
        <w:rPr>
          <w:rFonts w:cs="Times New Roman"/>
          <w:szCs w:val="24"/>
          <w:lang w:val="bg-BG"/>
        </w:rPr>
        <w:t xml:space="preserve"> да са относително ограничени поради високата жилищна собственост, необитаваните жилища и ниските доходи на значителна част от населението създават специфични бариери пред реализацията на националните цели за сградно обновяване и могат да окажат влияние върху ефективното прилагане на модели със съфинансиране.</w:t>
      </w:r>
    </w:p>
    <w:p w14:paraId="5E224DF2" w14:textId="77777777" w:rsidR="00567099" w:rsidRPr="00551FED" w:rsidRDefault="00567099" w:rsidP="00AB1EDD">
      <w:pPr>
        <w:pStyle w:val="Heading2"/>
        <w:rPr>
          <w:lang w:val="bg-BG"/>
        </w:rPr>
      </w:pPr>
      <w:bookmarkStart w:id="139" w:name="_Toc217837138"/>
      <w:bookmarkStart w:id="140" w:name="_Toc217888792"/>
      <w:r w:rsidRPr="00551FED">
        <w:rPr>
          <w:lang w:val="bg-BG"/>
        </w:rPr>
        <w:t>Други бариери, произтичащи от  спецификите в жилищния сектор и провежданите политики за енергийно обновяване в страната</w:t>
      </w:r>
      <w:bookmarkEnd w:id="139"/>
      <w:bookmarkEnd w:id="140"/>
    </w:p>
    <w:p w14:paraId="6515318A"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Политическа нестабилност и продължаващо отлагане на либерализацията на пазара за битови потребители</w:t>
      </w:r>
    </w:p>
    <w:p w14:paraId="791A5D96"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Продължителната политическа нестабилност и липсата на устойчив политически консенсус по ключови реформи в енергийния сектор водят до системно отлагане на либерализацията на пазара за битови потребители. Това има пряко отражение върху мотивацията на домакинствата да инвестират в енергийна ефективност и обновяване на жилищата.</w:t>
      </w:r>
    </w:p>
    <w:p w14:paraId="03853743"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При регулирани и относително ниски цени на електроенергията икономическите стимули за намаляване на потреблението и за дългосрочни инвестиции в сградите остават слабо изразени. В резултат:</w:t>
      </w:r>
    </w:p>
    <w:p w14:paraId="28A5AAE1"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„дълбокото“ енергийно-ефективно обновяване не се възприема като икономическа необходимост;</w:t>
      </w:r>
    </w:p>
    <w:p w14:paraId="769953A6"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липсва стабилна ценова сигнализация, която да подкрепи бизнес модели, базирани на спестена енергия;</w:t>
      </w:r>
    </w:p>
    <w:p w14:paraId="732B064E"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lastRenderedPageBreak/>
        <w:t xml:space="preserve">домакинствата очакват бъдещи компенсации или нови </w:t>
      </w:r>
      <w:proofErr w:type="spellStart"/>
      <w:r w:rsidRPr="006F3533">
        <w:rPr>
          <w:rFonts w:eastAsia="Calibri" w:cs="Times New Roman"/>
          <w:szCs w:val="24"/>
          <w:lang w:val="bg-BG"/>
        </w:rPr>
        <w:t>грантови</w:t>
      </w:r>
      <w:proofErr w:type="spellEnd"/>
      <w:r w:rsidRPr="006F3533">
        <w:rPr>
          <w:rFonts w:eastAsia="Calibri" w:cs="Times New Roman"/>
          <w:szCs w:val="24"/>
          <w:lang w:val="bg-BG"/>
        </w:rPr>
        <w:t xml:space="preserve"> програми, вместо да планират самостоятелни инвестиции.</w:t>
      </w:r>
    </w:p>
    <w:p w14:paraId="549DDA0B"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Тази среда възпроизвежда зависимостта от публично финансиране и възпрепятства прехода към по-пазарно ориентиран модел на обновяване.</w:t>
      </w:r>
    </w:p>
    <w:p w14:paraId="46C2ADA4"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Кампанийност на програмите и липса на предвидимост („</w:t>
      </w:r>
      <w:proofErr w:type="spellStart"/>
      <w:r w:rsidRPr="006F3533">
        <w:rPr>
          <w:rFonts w:eastAsia="Times New Roman" w:cs="Times New Roman"/>
          <w:b/>
          <w:bCs/>
          <w:szCs w:val="24"/>
          <w:lang w:val="bg-BG" w:eastAsia="bg-BG"/>
        </w:rPr>
        <w:t>stop</w:t>
      </w:r>
      <w:proofErr w:type="spellEnd"/>
      <w:r w:rsidRPr="006F3533">
        <w:rPr>
          <w:rFonts w:eastAsia="Times New Roman" w:cs="Times New Roman"/>
          <w:b/>
          <w:bCs/>
          <w:szCs w:val="24"/>
          <w:lang w:val="bg-BG" w:eastAsia="bg-BG"/>
        </w:rPr>
        <w:t>-and-</w:t>
      </w:r>
      <w:proofErr w:type="spellStart"/>
      <w:r w:rsidRPr="006F3533">
        <w:rPr>
          <w:rFonts w:eastAsia="Times New Roman" w:cs="Times New Roman"/>
          <w:b/>
          <w:bCs/>
          <w:szCs w:val="24"/>
          <w:lang w:val="bg-BG" w:eastAsia="bg-BG"/>
        </w:rPr>
        <w:t>go</w:t>
      </w:r>
      <w:proofErr w:type="spellEnd"/>
      <w:r w:rsidRPr="006F3533">
        <w:rPr>
          <w:rFonts w:eastAsia="Times New Roman" w:cs="Times New Roman"/>
          <w:b/>
          <w:bCs/>
          <w:szCs w:val="24"/>
          <w:lang w:val="bg-BG" w:eastAsia="bg-BG"/>
        </w:rPr>
        <w:t>“ подход)</w:t>
      </w:r>
    </w:p>
    <w:p w14:paraId="358C37A8"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Изпълняваните до момента програми за саниране се характеризират с ясно изразена кампанийност и непредсказуемост. Подходът „</w:t>
      </w:r>
      <w:proofErr w:type="spellStart"/>
      <w:r w:rsidRPr="006F3533">
        <w:rPr>
          <w:rFonts w:eastAsia="Calibri" w:cs="Times New Roman"/>
          <w:szCs w:val="24"/>
          <w:lang w:val="bg-BG"/>
        </w:rPr>
        <w:t>stop</w:t>
      </w:r>
      <w:proofErr w:type="spellEnd"/>
      <w:r w:rsidRPr="006F3533">
        <w:rPr>
          <w:rFonts w:eastAsia="Calibri" w:cs="Times New Roman"/>
          <w:szCs w:val="24"/>
          <w:lang w:val="bg-BG"/>
        </w:rPr>
        <w:t xml:space="preserve"> and </w:t>
      </w:r>
      <w:proofErr w:type="spellStart"/>
      <w:r w:rsidRPr="006F3533">
        <w:rPr>
          <w:rFonts w:eastAsia="Calibri" w:cs="Times New Roman"/>
          <w:szCs w:val="24"/>
          <w:lang w:val="bg-BG"/>
        </w:rPr>
        <w:t>go</w:t>
      </w:r>
      <w:proofErr w:type="spellEnd"/>
      <w:r w:rsidRPr="006F3533">
        <w:rPr>
          <w:rFonts w:eastAsia="Calibri" w:cs="Times New Roman"/>
          <w:szCs w:val="24"/>
          <w:lang w:val="bg-BG"/>
        </w:rPr>
        <w:t>“, при който се редуват кратки периоди на интензивна активност с дълги паузи, представлява съществена бариера както за публичния, така и за частния сектор.</w:t>
      </w:r>
    </w:p>
    <w:p w14:paraId="5F400205"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Тази непоследователност:</w:t>
      </w:r>
    </w:p>
    <w:p w14:paraId="359A596D"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възпрепятства развитието на устойчив капацитет в строителния сектор, проектантските и консултантските услуги;</w:t>
      </w:r>
    </w:p>
    <w:p w14:paraId="7D657BBE"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води до циклично навлизане и излизане на фирми от пазара, често за сметка на качеството;</w:t>
      </w:r>
    </w:p>
    <w:p w14:paraId="39491D5D"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затруднява инвестициите в обучение на кадри, нови технологии и дългосрочни бизнес модели.</w:t>
      </w:r>
    </w:p>
    <w:p w14:paraId="44F83DA5"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В условията на „програмна несигурност“ частният бизнес реагира опортюнистично, а не стратегически, което се отразява негативно върху качеството на изпълнение и общественото доверие в процеса на обновяване.</w:t>
      </w:r>
    </w:p>
    <w:p w14:paraId="0261BA03"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Зависимост от пълно публично финансиране и отсъствие на устойчив пазарен модел</w:t>
      </w:r>
    </w:p>
    <w:p w14:paraId="304A1D7F" w14:textId="4A97E175"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 xml:space="preserve">Прилагането на модел на „пълно (100%) безвъзмездно финансиране“ за обновяване на жилищния фонд води до съществено изкривяване на пазарните механизми и до парадоксално забавяне на темповете на обновяване. От една страна, „частните пазарни участници“ (ЕСКО компании, проектанти, инженерингови фирми, консултанти, доставчици на финансови и енергийни услуги) са демотивирани да развиват устойчиви бизнес модели, тъй като ролята им се свежда до участие в административно управлявани, краткосрочни и силно конкурентни </w:t>
      </w:r>
      <w:proofErr w:type="spellStart"/>
      <w:r w:rsidRPr="006F3533">
        <w:rPr>
          <w:rFonts w:eastAsia="Calibri" w:cs="Times New Roman"/>
          <w:szCs w:val="24"/>
          <w:lang w:val="bg-BG"/>
        </w:rPr>
        <w:t>грантови</w:t>
      </w:r>
      <w:proofErr w:type="spellEnd"/>
      <w:r w:rsidRPr="006F3533">
        <w:rPr>
          <w:rFonts w:eastAsia="Calibri" w:cs="Times New Roman"/>
          <w:szCs w:val="24"/>
          <w:lang w:val="bg-BG"/>
        </w:rPr>
        <w:t xml:space="preserve"> процедури с висока регулаторна несигурност. Липсва стимул за инвестиции в капацитет, иновации и дългосрочно присъствие на пазара на обновяване. От друга страна, собствениците на жилища и сдруженията на собственици възприемат обновяването на сградата им като дейност, която следва да се реализира само при наличие на пълно публично финансиране, което създава поведение на изчакване. Дори домакинства и сгради с реален финансов капацитет за съфинансиране отлагат решенията си в очакване на следваща програма със 100% грант, което води до ниска проектна готовност и ограничен обхват на обновяването.</w:t>
      </w:r>
      <w:r w:rsidR="00763B5E" w:rsidRPr="006F3533">
        <w:rPr>
          <w:rFonts w:eastAsia="Calibri" w:cs="Times New Roman"/>
          <w:szCs w:val="24"/>
          <w:lang w:val="bg-BG"/>
        </w:rPr>
        <w:t xml:space="preserve"> </w:t>
      </w:r>
      <w:r w:rsidRPr="006F3533">
        <w:rPr>
          <w:rFonts w:eastAsia="Calibri" w:cs="Times New Roman"/>
          <w:szCs w:val="24"/>
          <w:lang w:val="bg-BG"/>
        </w:rPr>
        <w:t xml:space="preserve">В резултат се формира затворен модел на периодични „вълни“ на саниране, зависими изцяло от наличието на публични средства, вместо „постоянен, </w:t>
      </w:r>
      <w:proofErr w:type="spellStart"/>
      <w:r w:rsidRPr="006F3533">
        <w:rPr>
          <w:rFonts w:eastAsia="Calibri" w:cs="Times New Roman"/>
          <w:szCs w:val="24"/>
          <w:lang w:val="bg-BG"/>
        </w:rPr>
        <w:t>мащабируем</w:t>
      </w:r>
      <w:proofErr w:type="spellEnd"/>
      <w:r w:rsidRPr="006F3533">
        <w:rPr>
          <w:rFonts w:eastAsia="Calibri" w:cs="Times New Roman"/>
          <w:szCs w:val="24"/>
          <w:lang w:val="bg-BG"/>
        </w:rPr>
        <w:t xml:space="preserve"> и </w:t>
      </w:r>
      <w:proofErr w:type="spellStart"/>
      <w:r w:rsidRPr="006F3533">
        <w:rPr>
          <w:rFonts w:eastAsia="Calibri" w:cs="Times New Roman"/>
          <w:szCs w:val="24"/>
          <w:lang w:val="bg-BG"/>
        </w:rPr>
        <w:t>самоподдържащ</w:t>
      </w:r>
      <w:proofErr w:type="spellEnd"/>
      <w:r w:rsidRPr="006F3533">
        <w:rPr>
          <w:rFonts w:eastAsia="Calibri" w:cs="Times New Roman"/>
          <w:szCs w:val="24"/>
          <w:lang w:val="bg-BG"/>
        </w:rPr>
        <w:t xml:space="preserve"> се пазар“. Това прави практически невъзможно постигането на необходимите темпове за обновяване на сградния фонд, заложени в дългосрочната визия до 2050 г.</w:t>
      </w:r>
    </w:p>
    <w:p w14:paraId="265A54F3"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lastRenderedPageBreak/>
        <w:t>Административни пречки, произтичащи от модела на 100% безвъзмездна финансова помощ</w:t>
      </w:r>
    </w:p>
    <w:p w14:paraId="7279B083"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Прилагането на програми със 100% безвъзмездна финансова помощ за обновяване на жилищни сгради, макар и  частна собственост – по своята същност предпоставя водеща роля на публичните власти в администрирането на целия процес. Този модел изисква публичният сектор да поеме функциите по иницииране, организация, кандидатстване, управление и контрол на дейности, които по принцип засягат частни активи и следва да бъдат задвижвани от самите собственици.</w:t>
      </w:r>
    </w:p>
    <w:p w14:paraId="4175814F"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В резултат инициативата за обновяване на жилищните сгради беше практически иззета от собствениците и поставена в пълна зависимост от:</w:t>
      </w:r>
    </w:p>
    <w:p w14:paraId="53EE86F2"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готовността на общините да участват в програмите;</w:t>
      </w:r>
    </w:p>
    <w:p w14:paraId="00BBC431"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наличния административен, технически и управленски капацитет на местно ниво;</w:t>
      </w:r>
    </w:p>
    <w:p w14:paraId="3E6229D9"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политическите и организационни приоритети на конкретната общинска администрация.</w:t>
      </w:r>
    </w:p>
    <w:p w14:paraId="56EC3D74"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Този подход доведе до ситуация, в която активността на домакинствата и сдруженията на собственици не е определящ фактор за реализиране на обновяване. Дори при наличие на ясно изразена мотивация от страна на собствениците, липсата на инициатива или капацитет в съответната община се превръща в непреодолима бариера за достъп до програмите.</w:t>
      </w:r>
    </w:p>
    <w:p w14:paraId="3FFE655B"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Емпиричен резултат от този модел е фактът, че в над 120 общини в страната не е обновена нито една жилищна сграда по националните програми за саниране. Това не може да бъде обяснено с липса на нужда или интерес от страна на гражданите, а е пряко следствие от административния дизайн на програмите, който концентрира контрола и отговорността изцяло в публичния сектор.</w:t>
      </w:r>
    </w:p>
    <w:p w14:paraId="1D832236"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 xml:space="preserve">Допълнително, прилаганият (при повечето програми) критерий </w:t>
      </w:r>
      <w:r w:rsidRPr="006F3533">
        <w:rPr>
          <w:rFonts w:eastAsia="Calibri" w:cs="Times New Roman"/>
          <w:b/>
          <w:bCs/>
          <w:szCs w:val="24"/>
          <w:lang w:val="bg-BG"/>
        </w:rPr>
        <w:t xml:space="preserve">„първи дошъл – първи обслужен“ </w:t>
      </w:r>
      <w:r w:rsidRPr="006F3533">
        <w:rPr>
          <w:rFonts w:eastAsia="Calibri" w:cs="Times New Roman"/>
          <w:szCs w:val="24"/>
          <w:lang w:val="bg-BG"/>
        </w:rPr>
        <w:t>засили този структурен дисбаланс. Вместо да насърчи системен и равнопоставен достъп до обновяване, той:</w:t>
      </w:r>
    </w:p>
    <w:p w14:paraId="4AC43667"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фаворизира общини с по-висок предварителен административен капацитет;</w:t>
      </w:r>
    </w:p>
    <w:p w14:paraId="6467DD84"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възпроизвежда регионални и институционални неравенства;</w:t>
      </w:r>
    </w:p>
    <w:p w14:paraId="7FA9F175"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не създава условия за постепенно изграждане на капацитет в по-слабо подготвените общини.</w:t>
      </w:r>
    </w:p>
    <w:p w14:paraId="35A113E9"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По този начин програмите със 100% БФП не само не стимулираха активна роля на собствениците, но и ограничиха възможността за еволюция към по-децентрализиран и пазарно ориентиран модел на обновяване. Вместо да се изгражда култура на отговорност и дългосрочно планиране сред домакинствата, се затвърди очакването, че обновяването е изцяло публична задача, зависеща от наличието на програма и административна готовност на общината.</w:t>
      </w:r>
    </w:p>
    <w:p w14:paraId="7F85959A"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 xml:space="preserve">Този модел се явява структурна бариера пред мащабното и устойчиво обновяване на сградния фонд до 2050 г. и изисква </w:t>
      </w:r>
      <w:r w:rsidRPr="006F3533">
        <w:rPr>
          <w:rFonts w:eastAsia="Calibri" w:cs="Times New Roman"/>
          <w:b/>
          <w:bCs/>
          <w:szCs w:val="24"/>
          <w:lang w:val="bg-BG"/>
        </w:rPr>
        <w:t>преосмисляне</w:t>
      </w:r>
      <w:r w:rsidRPr="006F3533">
        <w:rPr>
          <w:rFonts w:eastAsia="Calibri" w:cs="Times New Roman"/>
          <w:szCs w:val="24"/>
          <w:lang w:val="bg-BG"/>
        </w:rPr>
        <w:t xml:space="preserve"> в посока:</w:t>
      </w:r>
    </w:p>
    <w:p w14:paraId="42C92B7B"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lastRenderedPageBreak/>
        <w:t>връщане на инициативата към собствениците;</w:t>
      </w:r>
    </w:p>
    <w:p w14:paraId="3A95F54F"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 xml:space="preserve">намаляване на ролята на публичната администрация като „оператор“ и засилване на ролята ѝ като регулатор и </w:t>
      </w:r>
      <w:proofErr w:type="spellStart"/>
      <w:r w:rsidRPr="006F3533">
        <w:rPr>
          <w:rFonts w:eastAsia="Calibri" w:cs="Times New Roman"/>
          <w:szCs w:val="24"/>
          <w:lang w:val="bg-BG"/>
        </w:rPr>
        <w:t>фасилитатор</w:t>
      </w:r>
      <w:proofErr w:type="spellEnd"/>
      <w:r w:rsidRPr="006F3533">
        <w:rPr>
          <w:rFonts w:eastAsia="Calibri" w:cs="Times New Roman"/>
          <w:szCs w:val="24"/>
          <w:lang w:val="bg-BG"/>
        </w:rPr>
        <w:t>;</w:t>
      </w:r>
    </w:p>
    <w:p w14:paraId="25F0B98F" w14:textId="77777777" w:rsidR="00567099" w:rsidRPr="006F3533"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създаване на механизми, които позволяват обновяване независимо от моментния капацитет на конкретна община.</w:t>
      </w:r>
    </w:p>
    <w:p w14:paraId="1F0B5EF8"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Пазарни ограничения и дефицит на финансови инструменти за жилищно обновяване</w:t>
      </w:r>
    </w:p>
    <w:p w14:paraId="12471688" w14:textId="77777777" w:rsidR="00567099" w:rsidRPr="00551FED" w:rsidRDefault="00567099" w:rsidP="00551FED">
      <w:pPr>
        <w:spacing w:before="100" w:beforeAutospacing="1" w:after="100" w:afterAutospacing="1" w:line="240" w:lineRule="auto"/>
        <w:jc w:val="both"/>
        <w:rPr>
          <w:rFonts w:eastAsia="Calibri" w:cs="Times New Roman"/>
          <w:kern w:val="2"/>
          <w:szCs w:val="24"/>
          <w:lang w:val="bg-BG"/>
          <w14:ligatures w14:val="standardContextual"/>
        </w:rPr>
      </w:pPr>
      <w:r w:rsidRPr="00551FED">
        <w:rPr>
          <w:rFonts w:eastAsia="Calibri" w:cs="Times New Roman"/>
          <w:kern w:val="2"/>
          <w:szCs w:val="24"/>
          <w:lang w:val="bg-BG"/>
          <w14:ligatures w14:val="standardContextual"/>
        </w:rPr>
        <w:t>Липсата на финансови продукти за обновяване на жилищни сгради от страна на търговските банки ясно показва, че пазарът не функционира. В условията на доминиращи програми със 100% БФП, финансовите институции нямат стимул да разработват и предлагат специализирани кредитни продукти, комбинирани финансови инструменти или дългосрочни схеми за финансиране.</w:t>
      </w:r>
    </w:p>
    <w:p w14:paraId="4C3808FE" w14:textId="77777777" w:rsidR="00567099" w:rsidRPr="00551FED" w:rsidRDefault="00567099" w:rsidP="00567099">
      <w:pPr>
        <w:spacing w:before="100" w:beforeAutospacing="1" w:after="100" w:afterAutospacing="1" w:line="240" w:lineRule="auto"/>
        <w:rPr>
          <w:rFonts w:eastAsia="Calibri" w:cs="Times New Roman"/>
          <w:kern w:val="2"/>
          <w:szCs w:val="24"/>
          <w:lang w:val="bg-BG"/>
          <w14:ligatures w14:val="standardContextual"/>
        </w:rPr>
      </w:pPr>
      <w:r w:rsidRPr="00551FED">
        <w:rPr>
          <w:rFonts w:eastAsia="Calibri" w:cs="Times New Roman"/>
          <w:kern w:val="2"/>
          <w:szCs w:val="24"/>
          <w:lang w:val="bg-BG"/>
          <w14:ligatures w14:val="standardContextual"/>
        </w:rPr>
        <w:t>Това води до:</w:t>
      </w:r>
    </w:p>
    <w:p w14:paraId="1CBDCAD9" w14:textId="3A476305" w:rsidR="00567099" w:rsidRPr="00551FED"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551FED">
        <w:rPr>
          <w:rFonts w:eastAsia="Calibri" w:cs="Times New Roman"/>
          <w:szCs w:val="24"/>
          <w:lang w:val="bg-BG"/>
        </w:rPr>
        <w:t xml:space="preserve">ограничен достъп до финансиране за </w:t>
      </w:r>
      <w:r w:rsidR="00763B5E" w:rsidRPr="00551FED">
        <w:rPr>
          <w:rFonts w:eastAsia="Calibri" w:cs="Times New Roman"/>
          <w:szCs w:val="24"/>
          <w:lang w:val="bg-BG"/>
        </w:rPr>
        <w:t xml:space="preserve">огромната част от българските </w:t>
      </w:r>
      <w:r w:rsidRPr="00551FED">
        <w:rPr>
          <w:rFonts w:eastAsia="Calibri" w:cs="Times New Roman"/>
          <w:szCs w:val="24"/>
          <w:lang w:val="bg-BG"/>
        </w:rPr>
        <w:t>домакинства</w:t>
      </w:r>
      <w:r w:rsidR="00763B5E" w:rsidRPr="00551FED">
        <w:rPr>
          <w:rFonts w:eastAsia="Calibri" w:cs="Times New Roman"/>
          <w:szCs w:val="24"/>
          <w:lang w:val="bg-BG"/>
        </w:rPr>
        <w:t xml:space="preserve">, които остават </w:t>
      </w:r>
      <w:r w:rsidRPr="00551FED">
        <w:rPr>
          <w:rFonts w:eastAsia="Calibri" w:cs="Times New Roman"/>
          <w:szCs w:val="24"/>
          <w:lang w:val="bg-BG"/>
        </w:rPr>
        <w:t xml:space="preserve">извън </w:t>
      </w:r>
      <w:r w:rsidR="00763B5E" w:rsidRPr="00551FED">
        <w:rPr>
          <w:rFonts w:eastAsia="Calibri" w:cs="Times New Roman"/>
          <w:szCs w:val="24"/>
          <w:lang w:val="bg-BG"/>
        </w:rPr>
        <w:t xml:space="preserve">ограничения </w:t>
      </w:r>
      <w:r w:rsidRPr="00551FED">
        <w:rPr>
          <w:rFonts w:eastAsia="Calibri" w:cs="Times New Roman"/>
          <w:szCs w:val="24"/>
          <w:lang w:val="bg-BG"/>
        </w:rPr>
        <w:t xml:space="preserve">обхват на </w:t>
      </w:r>
      <w:proofErr w:type="spellStart"/>
      <w:r w:rsidRPr="00551FED">
        <w:rPr>
          <w:rFonts w:eastAsia="Calibri" w:cs="Times New Roman"/>
          <w:szCs w:val="24"/>
          <w:lang w:val="bg-BG"/>
        </w:rPr>
        <w:t>грантовите</w:t>
      </w:r>
      <w:proofErr w:type="spellEnd"/>
      <w:r w:rsidRPr="00551FED">
        <w:rPr>
          <w:rFonts w:eastAsia="Calibri" w:cs="Times New Roman"/>
          <w:szCs w:val="24"/>
          <w:lang w:val="bg-BG"/>
        </w:rPr>
        <w:t xml:space="preserve"> програми;</w:t>
      </w:r>
    </w:p>
    <w:p w14:paraId="381BA0C1" w14:textId="77777777" w:rsidR="00567099" w:rsidRPr="00551FED"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551FED">
        <w:rPr>
          <w:rFonts w:eastAsia="Calibri" w:cs="Times New Roman"/>
          <w:szCs w:val="24"/>
          <w:lang w:val="bg-BG"/>
        </w:rPr>
        <w:t>липса на финансови решения за поетапно обновяване;</w:t>
      </w:r>
    </w:p>
    <w:p w14:paraId="16F2CF40" w14:textId="77777777" w:rsidR="00567099" w:rsidRPr="00551FED" w:rsidRDefault="00567099" w:rsidP="00551FED">
      <w:pPr>
        <w:numPr>
          <w:ilvl w:val="0"/>
          <w:numId w:val="113"/>
        </w:numPr>
        <w:spacing w:before="100" w:beforeAutospacing="1" w:after="100" w:afterAutospacing="1" w:line="240" w:lineRule="auto"/>
        <w:jc w:val="both"/>
        <w:rPr>
          <w:rFonts w:eastAsia="Calibri" w:cs="Times New Roman"/>
          <w:szCs w:val="24"/>
          <w:lang w:val="bg-BG"/>
        </w:rPr>
      </w:pPr>
      <w:r w:rsidRPr="00551FED">
        <w:rPr>
          <w:rFonts w:eastAsia="Calibri" w:cs="Times New Roman"/>
          <w:szCs w:val="24"/>
          <w:lang w:val="bg-BG"/>
        </w:rPr>
        <w:t>невъзможност за устойчиво мащабиране на процеса след изчерпване на публичните средства</w:t>
      </w:r>
    </w:p>
    <w:p w14:paraId="2EC73E27" w14:textId="7D069A5C" w:rsidR="00567099" w:rsidRPr="00551FED" w:rsidRDefault="00567099" w:rsidP="00C44EFB">
      <w:pPr>
        <w:spacing w:before="100" w:beforeAutospacing="1" w:after="100" w:afterAutospacing="1" w:line="240" w:lineRule="auto"/>
        <w:jc w:val="both"/>
        <w:rPr>
          <w:rFonts w:eastAsia="Calibri" w:cs="Times New Roman"/>
          <w:szCs w:val="24"/>
          <w:lang w:val="bg-BG"/>
        </w:rPr>
      </w:pPr>
      <w:r w:rsidRPr="00551FED">
        <w:rPr>
          <w:rFonts w:eastAsia="Calibri" w:cs="Times New Roman"/>
          <w:szCs w:val="24"/>
          <w:lang w:val="bg-BG"/>
        </w:rPr>
        <w:t xml:space="preserve">Конкуренцията между пазарни финансови продукти и 100% </w:t>
      </w:r>
      <w:proofErr w:type="spellStart"/>
      <w:r w:rsidRPr="00551FED">
        <w:rPr>
          <w:rFonts w:eastAsia="Calibri" w:cs="Times New Roman"/>
          <w:szCs w:val="24"/>
          <w:lang w:val="bg-BG"/>
        </w:rPr>
        <w:t>грантово</w:t>
      </w:r>
      <w:proofErr w:type="spellEnd"/>
      <w:r w:rsidRPr="00551FED">
        <w:rPr>
          <w:rFonts w:eastAsia="Calibri" w:cs="Times New Roman"/>
          <w:szCs w:val="24"/>
          <w:lang w:val="bg-BG"/>
        </w:rPr>
        <w:t xml:space="preserve"> финансиране деформира пазара и възпрепятства развитието на устойчиви, </w:t>
      </w:r>
      <w:proofErr w:type="spellStart"/>
      <w:r w:rsidRPr="00551FED">
        <w:rPr>
          <w:rFonts w:eastAsia="Calibri" w:cs="Times New Roman"/>
          <w:szCs w:val="24"/>
          <w:lang w:val="bg-BG"/>
        </w:rPr>
        <w:t>самоподдържащи</w:t>
      </w:r>
      <w:proofErr w:type="spellEnd"/>
      <w:r w:rsidRPr="00551FED">
        <w:rPr>
          <w:rFonts w:eastAsia="Calibri" w:cs="Times New Roman"/>
          <w:szCs w:val="24"/>
          <w:lang w:val="bg-BG"/>
        </w:rPr>
        <w:t xml:space="preserve"> се модели за обновяване на сградния фонд.</w:t>
      </w:r>
    </w:p>
    <w:p w14:paraId="3DE31519" w14:textId="7157FAFC" w:rsidR="00C44EFB" w:rsidRPr="00551FED" w:rsidRDefault="00C44EFB" w:rsidP="00C44EFB">
      <w:pPr>
        <w:spacing w:before="100" w:beforeAutospacing="1" w:after="100" w:afterAutospacing="1" w:line="240" w:lineRule="auto"/>
        <w:jc w:val="both"/>
        <w:rPr>
          <w:rFonts w:eastAsia="Times New Roman" w:cs="Times New Roman"/>
          <w:szCs w:val="24"/>
          <w:lang w:val="bg-BG" w:eastAsia="en-GB"/>
        </w:rPr>
      </w:pPr>
      <w:r w:rsidRPr="00551FED">
        <w:rPr>
          <w:rFonts w:eastAsia="Times New Roman" w:cs="Times New Roman"/>
          <w:szCs w:val="24"/>
          <w:lang w:val="bg-BG" w:eastAsia="en-GB"/>
        </w:rPr>
        <w:t xml:space="preserve">В същото време, проучванията и анализите на потенциалния интерес на банките, включително на основните бариери пред тяхното участие, извършени в рамките на проект LIFE 2022 </w:t>
      </w:r>
      <w:proofErr w:type="spellStart"/>
      <w:r w:rsidRPr="00551FED">
        <w:rPr>
          <w:rFonts w:eastAsia="Times New Roman" w:cs="Times New Roman"/>
          <w:szCs w:val="24"/>
          <w:lang w:val="bg-BG" w:eastAsia="en-GB"/>
        </w:rPr>
        <w:t>INSPIRenov</w:t>
      </w:r>
      <w:proofErr w:type="spellEnd"/>
      <w:r w:rsidRPr="00551FED">
        <w:rPr>
          <w:rFonts w:eastAsia="Times New Roman" w:cs="Times New Roman"/>
          <w:szCs w:val="24"/>
          <w:lang w:val="bg-BG" w:eastAsia="en-GB"/>
        </w:rPr>
        <w:t>, показват, че търговските банки ясно разпознават значителния пазарен потенциал на сградното обновяване. Въпреки това, те не са склонни да отпускат кредити без наличието на адекватни гаранции, не разполагат с утвърден кредитен продукт, насочен към сдружения на собственици, и отчитат висок административен и транзакционен разход, свързан с подготовката и управлението на подобни проекти.</w:t>
      </w:r>
    </w:p>
    <w:p w14:paraId="4CF342AB" w14:textId="77777777" w:rsidR="00C44EFB" w:rsidRPr="00551FED" w:rsidRDefault="00C44EFB" w:rsidP="00C44EFB">
      <w:pPr>
        <w:spacing w:before="100" w:beforeAutospacing="1" w:after="100" w:afterAutospacing="1" w:line="240" w:lineRule="auto"/>
        <w:jc w:val="both"/>
        <w:rPr>
          <w:rFonts w:eastAsia="Times New Roman" w:cs="Times New Roman"/>
          <w:szCs w:val="24"/>
          <w:lang w:val="bg-BG" w:eastAsia="en-GB"/>
        </w:rPr>
      </w:pPr>
      <w:r w:rsidRPr="00551FED">
        <w:rPr>
          <w:rFonts w:eastAsia="Times New Roman" w:cs="Times New Roman"/>
          <w:szCs w:val="24"/>
          <w:lang w:val="bg-BG" w:eastAsia="en-GB"/>
        </w:rPr>
        <w:t xml:space="preserve">Основната бариера, идентифицирана от банките, е липсата на държавна гаранция или механизъм за споделяне на риска. Очакванията са за гаранция от Националния фонд за </w:t>
      </w:r>
      <w:proofErr w:type="spellStart"/>
      <w:r w:rsidRPr="00551FED">
        <w:rPr>
          <w:rFonts w:eastAsia="Times New Roman" w:cs="Times New Roman"/>
          <w:szCs w:val="24"/>
          <w:lang w:val="bg-BG" w:eastAsia="en-GB"/>
        </w:rPr>
        <w:t>декарбонизация</w:t>
      </w:r>
      <w:proofErr w:type="spellEnd"/>
      <w:r w:rsidRPr="00551FED">
        <w:rPr>
          <w:rFonts w:eastAsia="Times New Roman" w:cs="Times New Roman"/>
          <w:szCs w:val="24"/>
          <w:lang w:val="bg-BG" w:eastAsia="en-GB"/>
        </w:rPr>
        <w:t xml:space="preserve"> или Фонда на фондовете, която да покрива първоначалния, най-рисков слой от загуби, както и за ясна и предвидима рамка за управление на риска. Втора ключова пречка е колективната отговорност на сдруженията на собственици, която представлява непознат правен и кредитен модел, особено по отношение на процедури при отказващи или неплатежоспособни собственици. Поради това се подчертава необходимостта от стандартизирани договори и процедури.</w:t>
      </w:r>
    </w:p>
    <w:p w14:paraId="6F926DC2" w14:textId="77777777" w:rsidR="00C44EFB" w:rsidRPr="00551FED" w:rsidRDefault="00C44EFB" w:rsidP="00C44EFB">
      <w:pPr>
        <w:spacing w:before="100" w:beforeAutospacing="1" w:after="100" w:afterAutospacing="1" w:line="240" w:lineRule="auto"/>
        <w:jc w:val="both"/>
        <w:rPr>
          <w:rFonts w:eastAsia="Times New Roman" w:cs="Times New Roman"/>
          <w:szCs w:val="24"/>
          <w:lang w:val="bg-BG" w:eastAsia="en-GB"/>
        </w:rPr>
      </w:pPr>
      <w:r w:rsidRPr="00551FED">
        <w:rPr>
          <w:rFonts w:eastAsia="Times New Roman" w:cs="Times New Roman"/>
          <w:szCs w:val="24"/>
          <w:lang w:val="bg-BG" w:eastAsia="en-GB"/>
        </w:rPr>
        <w:t>Допълнителна бариера е липсата на технически структури за подготовка на проектите, тъй като банките не могат самостоятелно да координират обследвания, технически спецификации и договори. Това налага изграждането на Центрове за комплексно обслужване или „</w:t>
      </w:r>
      <w:proofErr w:type="spellStart"/>
      <w:r w:rsidRPr="00551FED">
        <w:rPr>
          <w:rFonts w:eastAsia="Times New Roman" w:cs="Times New Roman"/>
          <w:szCs w:val="24"/>
          <w:lang w:val="bg-BG" w:eastAsia="en-GB"/>
        </w:rPr>
        <w:t>one-stop-shop</w:t>
      </w:r>
      <w:proofErr w:type="spellEnd"/>
      <w:r w:rsidRPr="00551FED">
        <w:rPr>
          <w:rFonts w:eastAsia="Times New Roman" w:cs="Times New Roman"/>
          <w:szCs w:val="24"/>
          <w:lang w:val="bg-BG" w:eastAsia="en-GB"/>
        </w:rPr>
        <w:t xml:space="preserve">“ структури с подкрепа от Националния фонд за </w:t>
      </w:r>
      <w:proofErr w:type="spellStart"/>
      <w:r w:rsidRPr="00551FED">
        <w:rPr>
          <w:rFonts w:eastAsia="Times New Roman" w:cs="Times New Roman"/>
          <w:szCs w:val="24"/>
          <w:lang w:val="bg-BG" w:eastAsia="en-GB"/>
        </w:rPr>
        <w:lastRenderedPageBreak/>
        <w:t>декарбонизация</w:t>
      </w:r>
      <w:proofErr w:type="spellEnd"/>
      <w:r w:rsidRPr="00551FED">
        <w:rPr>
          <w:rFonts w:eastAsia="Times New Roman" w:cs="Times New Roman"/>
          <w:szCs w:val="24"/>
          <w:lang w:val="bg-BG" w:eastAsia="en-GB"/>
        </w:rPr>
        <w:t>. Същевременно, високите транзакционни разходи при малки сгради ограничават интереса на банките, като Европейската инвестиционна банка подчертава значението на агрегирането на малки проекти за успешно привличане на частно финансиране.</w:t>
      </w:r>
    </w:p>
    <w:p w14:paraId="4CADF510" w14:textId="76551B98" w:rsidR="00B359D8" w:rsidRPr="00551FED" w:rsidRDefault="00C44EFB" w:rsidP="00C44EFB">
      <w:pPr>
        <w:spacing w:before="100" w:beforeAutospacing="1" w:after="100" w:afterAutospacing="1" w:line="240" w:lineRule="auto"/>
        <w:jc w:val="both"/>
        <w:rPr>
          <w:rFonts w:eastAsia="Times New Roman" w:cs="Times New Roman"/>
          <w:szCs w:val="24"/>
          <w:lang w:val="bg-BG" w:eastAsia="en-GB"/>
        </w:rPr>
      </w:pPr>
      <w:r w:rsidRPr="00551FED">
        <w:rPr>
          <w:rFonts w:eastAsia="Times New Roman" w:cs="Times New Roman"/>
          <w:szCs w:val="24"/>
          <w:lang w:val="bg-BG" w:eastAsia="en-GB"/>
        </w:rPr>
        <w:t xml:space="preserve">В този контекст, въпреки дефинираните бариери, банките заявяват готовност за активно участие, но при наличие на гаранционен механизъм с покритие от поне 40–60 процента, стандартизирани документи и ясни правила при просрочия, технически партньор за подготовка на проектите и </w:t>
      </w:r>
      <w:proofErr w:type="spellStart"/>
      <w:r w:rsidRPr="00551FED">
        <w:rPr>
          <w:rFonts w:eastAsia="Times New Roman" w:cs="Times New Roman"/>
          <w:szCs w:val="24"/>
          <w:lang w:val="bg-BG" w:eastAsia="en-GB"/>
        </w:rPr>
        <w:t>грантов</w:t>
      </w:r>
      <w:proofErr w:type="spellEnd"/>
      <w:r w:rsidRPr="00551FED">
        <w:rPr>
          <w:rFonts w:eastAsia="Times New Roman" w:cs="Times New Roman"/>
          <w:szCs w:val="24"/>
          <w:lang w:val="bg-BG" w:eastAsia="en-GB"/>
        </w:rPr>
        <w:t xml:space="preserve"> компонент, който да намали месечната финансова тежест за крайните ползватели до приемливи нива.</w:t>
      </w:r>
    </w:p>
    <w:p w14:paraId="2CA82F8B"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bookmarkStart w:id="141" w:name="_Toc29217532"/>
      <w:r w:rsidRPr="006F3533">
        <w:rPr>
          <w:rFonts w:eastAsia="Times New Roman" w:cs="Times New Roman"/>
          <w:b/>
          <w:bCs/>
          <w:szCs w:val="24"/>
          <w:lang w:val="bg-BG" w:eastAsia="bg-BG"/>
        </w:rPr>
        <w:t>Бариери от законово и регулаторно естество</w:t>
      </w:r>
      <w:bookmarkEnd w:id="141"/>
    </w:p>
    <w:p w14:paraId="4B34A503" w14:textId="41B8E0FC" w:rsidR="00567099" w:rsidRPr="006F3533" w:rsidRDefault="005963BF"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bCs/>
          <w:szCs w:val="24"/>
          <w:lang w:val="bg-BG"/>
        </w:rPr>
        <w:t xml:space="preserve">За съжаление, </w:t>
      </w:r>
      <w:r w:rsidR="00567099" w:rsidRPr="006F3533">
        <w:rPr>
          <w:rFonts w:eastAsia="Calibri" w:cs="Times New Roman"/>
          <w:bCs/>
          <w:szCs w:val="24"/>
          <w:lang w:val="bg-BG"/>
        </w:rPr>
        <w:t>Закон</w:t>
      </w:r>
      <w:r w:rsidRPr="006F3533">
        <w:rPr>
          <w:rFonts w:eastAsia="Calibri" w:cs="Times New Roman"/>
          <w:bCs/>
          <w:szCs w:val="24"/>
          <w:lang w:val="bg-BG"/>
        </w:rPr>
        <w:t>а</w:t>
      </w:r>
      <w:r w:rsidR="00567099" w:rsidRPr="006F3533">
        <w:rPr>
          <w:rFonts w:eastAsia="Calibri" w:cs="Times New Roman"/>
          <w:bCs/>
          <w:szCs w:val="24"/>
          <w:lang w:val="bg-BG"/>
        </w:rPr>
        <w:t xml:space="preserve"> за управление на етажната собственост (ЗУЕС) не предоставя</w:t>
      </w:r>
      <w:r w:rsidR="00567099" w:rsidRPr="006F3533">
        <w:rPr>
          <w:rFonts w:eastAsia="Calibri" w:cs="Times New Roman"/>
          <w:szCs w:val="24"/>
          <w:lang w:val="bg-BG"/>
        </w:rPr>
        <w:t xml:space="preserve"> достатъчно надеждна основа за функциониране на етажната собственост/Сдружението на собствениците в многофамилни сгради. Това се оценява от търговските банки като значим проблем</w:t>
      </w:r>
      <w:r w:rsidRPr="006F3533">
        <w:rPr>
          <w:rFonts w:eastAsia="Calibri" w:cs="Times New Roman"/>
          <w:szCs w:val="24"/>
          <w:lang w:val="bg-BG"/>
        </w:rPr>
        <w:t>, а самите сдружения - като</w:t>
      </w:r>
      <w:r w:rsidR="00567099" w:rsidRPr="006F3533">
        <w:rPr>
          <w:rFonts w:eastAsia="Calibri" w:cs="Times New Roman"/>
          <w:szCs w:val="24"/>
          <w:lang w:val="bg-BG"/>
        </w:rPr>
        <w:t xml:space="preserve"> високорисков клиент. В </w:t>
      </w:r>
      <w:r w:rsidRPr="006F3533">
        <w:rPr>
          <w:rFonts w:eastAsia="Calibri" w:cs="Times New Roman"/>
          <w:szCs w:val="24"/>
          <w:lang w:val="bg-BG"/>
        </w:rPr>
        <w:t xml:space="preserve">Националната </w:t>
      </w:r>
      <w:r w:rsidR="00567099" w:rsidRPr="006F3533">
        <w:rPr>
          <w:rFonts w:eastAsia="Calibri" w:cs="Times New Roman"/>
          <w:szCs w:val="24"/>
          <w:lang w:val="bg-BG"/>
        </w:rPr>
        <w:t>дългосрочната стратегия за обновяване на сградния фонд (2020 г</w:t>
      </w:r>
      <w:r w:rsidRPr="006F3533">
        <w:rPr>
          <w:rFonts w:eastAsia="Calibri" w:cs="Times New Roman"/>
          <w:szCs w:val="24"/>
          <w:lang w:val="bg-BG"/>
        </w:rPr>
        <w:t>.</w:t>
      </w:r>
      <w:r w:rsidR="00567099" w:rsidRPr="006F3533">
        <w:rPr>
          <w:rFonts w:eastAsia="Calibri" w:cs="Times New Roman"/>
          <w:szCs w:val="24"/>
          <w:lang w:val="bg-BG"/>
        </w:rPr>
        <w:t>) бяха идентифицирани редица предизвикателства:</w:t>
      </w:r>
    </w:p>
    <w:p w14:paraId="3DAB42CD" w14:textId="2AAAADF5" w:rsidR="00567099" w:rsidRPr="006F3533" w:rsidRDefault="00567099" w:rsidP="00551FED">
      <w:pPr>
        <w:pStyle w:val="ListParagraph"/>
        <w:numPr>
          <w:ilvl w:val="0"/>
          <w:numId w:val="126"/>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 xml:space="preserve">Трудно постигане на необходимото съгласие за обновяване за ЕЕ, поради високия изискуем кворум (67%), наличие на висок </w:t>
      </w:r>
      <w:r w:rsidR="005963BF" w:rsidRPr="006F3533">
        <w:rPr>
          <w:rFonts w:eastAsia="Calibri" w:cs="Times New Roman"/>
          <w:szCs w:val="24"/>
          <w:lang w:val="bg-BG"/>
        </w:rPr>
        <w:t>дял</w:t>
      </w:r>
      <w:r w:rsidRPr="006F3533">
        <w:rPr>
          <w:rFonts w:eastAsia="Calibri" w:cs="Times New Roman"/>
          <w:szCs w:val="24"/>
          <w:lang w:val="bg-BG"/>
        </w:rPr>
        <w:t xml:space="preserve"> (38.9</w:t>
      </w:r>
      <w:r w:rsidR="005963BF" w:rsidRPr="006F3533">
        <w:rPr>
          <w:rFonts w:eastAsia="Calibri" w:cs="Times New Roman"/>
          <w:szCs w:val="24"/>
          <w:lang w:val="bg-BG"/>
        </w:rPr>
        <w:t>%</w:t>
      </w:r>
      <w:r w:rsidRPr="006F3533">
        <w:rPr>
          <w:rFonts w:eastAsia="Calibri" w:cs="Times New Roman"/>
          <w:szCs w:val="24"/>
          <w:lang w:val="bg-BG"/>
        </w:rPr>
        <w:t>) необитавани жилища (с тенденция за непрекъснато увеличаване) и др.</w:t>
      </w:r>
    </w:p>
    <w:p w14:paraId="6E2E7CB9" w14:textId="77777777" w:rsidR="00567099" w:rsidRPr="006F3533" w:rsidRDefault="00567099" w:rsidP="00551FED">
      <w:pPr>
        <w:pStyle w:val="ListParagraph"/>
        <w:numPr>
          <w:ilvl w:val="0"/>
          <w:numId w:val="126"/>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Необходимост от регламентиране на професионалното управление на етажната собственост в многофамилни жилищни сгради,  като ключов фактор за качественото и ефективно управление на сградата, особено необходимо в процеса за обновяване за ЕЕ;</w:t>
      </w:r>
    </w:p>
    <w:p w14:paraId="0873C5A3" w14:textId="77777777" w:rsidR="00567099" w:rsidRPr="006F3533" w:rsidRDefault="00567099" w:rsidP="00551FED">
      <w:pPr>
        <w:pStyle w:val="ListParagraph"/>
        <w:numPr>
          <w:ilvl w:val="0"/>
          <w:numId w:val="126"/>
        </w:num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Необходимост от промени, свързани с невъзможността сдруженията на собствениците  да съхраняват паричните си средства за управление и поддръжка в банкова сметка.</w:t>
      </w:r>
    </w:p>
    <w:p w14:paraId="5C71BE94" w14:textId="539B170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Извършените в последствие</w:t>
      </w:r>
      <w:r w:rsidR="005963BF" w:rsidRPr="006F3533">
        <w:rPr>
          <w:rFonts w:eastAsia="Calibri" w:cs="Times New Roman"/>
          <w:szCs w:val="24"/>
          <w:lang w:val="bg-BG"/>
        </w:rPr>
        <w:t xml:space="preserve"> </w:t>
      </w:r>
      <w:r w:rsidRPr="006F3533">
        <w:rPr>
          <w:rFonts w:eastAsia="Calibri" w:cs="Times New Roman"/>
          <w:szCs w:val="24"/>
          <w:lang w:val="bg-BG"/>
        </w:rPr>
        <w:t xml:space="preserve">промени в ЗУЕС в рамките на </w:t>
      </w:r>
      <w:r w:rsidRPr="006F3533">
        <w:rPr>
          <w:rFonts w:eastAsia="Calibri" w:cs="Times New Roman"/>
          <w:b/>
          <w:bCs/>
          <w:szCs w:val="24"/>
          <w:lang w:val="bg-BG"/>
        </w:rPr>
        <w:t>Реформа</w:t>
      </w:r>
      <w:r w:rsidRPr="006F3533">
        <w:rPr>
          <w:rFonts w:eastAsia="Calibri" w:cs="Times New Roman"/>
          <w:szCs w:val="24"/>
          <w:lang w:val="bg-BG"/>
        </w:rPr>
        <w:t xml:space="preserve">: „Улесняване и повишаване ефективността на инвестиции в енергийна ефективност на многофамилни жилищни сгради” по Националния план за възстановяване и устойчивост, включват: </w:t>
      </w:r>
    </w:p>
    <w:p w14:paraId="12A90EBB" w14:textId="312CBE68" w:rsidR="00567099" w:rsidRPr="006F3533" w:rsidRDefault="00567099" w:rsidP="00551FED">
      <w:pPr>
        <w:numPr>
          <w:ilvl w:val="0"/>
          <w:numId w:val="114"/>
        </w:numPr>
        <w:spacing w:before="100" w:beforeAutospacing="1" w:after="100" w:afterAutospacing="1" w:line="240" w:lineRule="auto"/>
        <w:jc w:val="both"/>
        <w:rPr>
          <w:rFonts w:eastAsia="Calibri" w:cs="Times New Roman"/>
          <w:szCs w:val="24"/>
          <w:lang w:val="bg-BG"/>
        </w:rPr>
      </w:pPr>
      <w:r w:rsidRPr="006F3533">
        <w:rPr>
          <w:rFonts w:eastAsia="Calibri" w:cs="Times New Roman"/>
          <w:b/>
          <w:bCs/>
          <w:szCs w:val="24"/>
          <w:lang w:val="bg-BG"/>
        </w:rPr>
        <w:t>улесняване вземането на решения за обновяване</w:t>
      </w:r>
      <w:r w:rsidRPr="006F3533">
        <w:rPr>
          <w:rFonts w:eastAsia="Calibri" w:cs="Times New Roman"/>
          <w:szCs w:val="24"/>
          <w:lang w:val="bg-BG"/>
        </w:rPr>
        <w:t>, чрез възможност за смесен режим на работа на общото събрание - онлайн и присъствено, възможност за неприсъствено гласуване за вземане на решения, намаляване на кворума за провеждане на общо събрание от най-малко 67</w:t>
      </w:r>
      <w:r w:rsidR="005963BF" w:rsidRPr="006F3533">
        <w:rPr>
          <w:rFonts w:eastAsia="Calibri" w:cs="Times New Roman"/>
          <w:szCs w:val="24"/>
          <w:lang w:val="bg-BG"/>
        </w:rPr>
        <w:t>%</w:t>
      </w:r>
      <w:r w:rsidRPr="006F3533">
        <w:rPr>
          <w:rFonts w:eastAsia="Calibri" w:cs="Times New Roman"/>
          <w:szCs w:val="24"/>
          <w:lang w:val="bg-BG"/>
        </w:rPr>
        <w:t xml:space="preserve"> от идеалните части от общите части на 51</w:t>
      </w:r>
      <w:r w:rsidR="005963BF" w:rsidRPr="006F3533">
        <w:rPr>
          <w:rFonts w:eastAsia="Calibri" w:cs="Times New Roman"/>
          <w:szCs w:val="24"/>
          <w:lang w:val="bg-BG"/>
        </w:rPr>
        <w:t>%;</w:t>
      </w:r>
    </w:p>
    <w:p w14:paraId="7AA6E30A" w14:textId="08E34216" w:rsidR="00567099" w:rsidRPr="006F3533" w:rsidRDefault="00567099" w:rsidP="00551FED">
      <w:pPr>
        <w:numPr>
          <w:ilvl w:val="0"/>
          <w:numId w:val="114"/>
        </w:numPr>
        <w:spacing w:before="100" w:beforeAutospacing="1" w:after="100" w:afterAutospacing="1" w:line="240" w:lineRule="auto"/>
        <w:jc w:val="both"/>
        <w:rPr>
          <w:rFonts w:eastAsia="Calibri" w:cs="Times New Roman"/>
          <w:szCs w:val="24"/>
          <w:lang w:val="bg-BG"/>
        </w:rPr>
      </w:pPr>
      <w:r w:rsidRPr="006F3533">
        <w:rPr>
          <w:rFonts w:eastAsia="Calibri" w:cs="Times New Roman"/>
          <w:b/>
          <w:bCs/>
          <w:szCs w:val="24"/>
          <w:lang w:val="bg-BG"/>
        </w:rPr>
        <w:t>правна регламентация на професионалните управители</w:t>
      </w:r>
      <w:r w:rsidRPr="006F3533">
        <w:rPr>
          <w:rFonts w:eastAsia="Calibri" w:cs="Times New Roman"/>
          <w:szCs w:val="24"/>
          <w:lang w:val="bg-BG"/>
        </w:rPr>
        <w:t xml:space="preserve"> на етажна собственост</w:t>
      </w:r>
      <w:r w:rsidR="005963BF" w:rsidRPr="006F3533">
        <w:rPr>
          <w:rFonts w:eastAsia="Calibri" w:cs="Times New Roman"/>
          <w:szCs w:val="24"/>
          <w:lang w:val="bg-BG"/>
        </w:rPr>
        <w:t xml:space="preserve"> </w:t>
      </w:r>
      <w:r w:rsidRPr="006F3533">
        <w:rPr>
          <w:rFonts w:eastAsia="Calibri" w:cs="Times New Roman"/>
          <w:szCs w:val="24"/>
          <w:lang w:val="bg-BG"/>
        </w:rPr>
        <w:t>като фактор за добро управление и представителство пред финансовите институции</w:t>
      </w:r>
      <w:r w:rsidR="005963BF" w:rsidRPr="006F3533">
        <w:rPr>
          <w:rFonts w:eastAsia="Calibri" w:cs="Times New Roman"/>
          <w:szCs w:val="24"/>
          <w:lang w:val="bg-BG"/>
        </w:rPr>
        <w:t>;</w:t>
      </w:r>
    </w:p>
    <w:p w14:paraId="6F60DEEE" w14:textId="77777777" w:rsidR="00567099" w:rsidRPr="006F3533" w:rsidRDefault="00567099" w:rsidP="00551FED">
      <w:pPr>
        <w:numPr>
          <w:ilvl w:val="0"/>
          <w:numId w:val="114"/>
        </w:numPr>
        <w:spacing w:before="100" w:beforeAutospacing="1" w:after="100" w:afterAutospacing="1" w:line="240" w:lineRule="auto"/>
        <w:jc w:val="both"/>
        <w:rPr>
          <w:rFonts w:eastAsia="Calibri" w:cs="Times New Roman"/>
          <w:szCs w:val="24"/>
          <w:lang w:val="bg-BG"/>
        </w:rPr>
      </w:pPr>
      <w:r w:rsidRPr="006F3533">
        <w:rPr>
          <w:rFonts w:eastAsia="Calibri" w:cs="Times New Roman"/>
          <w:b/>
          <w:bCs/>
          <w:szCs w:val="24"/>
          <w:lang w:val="bg-BG"/>
        </w:rPr>
        <w:t>правна възможност за етажните собствености</w:t>
      </w:r>
      <w:r w:rsidRPr="006F3533">
        <w:rPr>
          <w:rFonts w:eastAsia="Calibri" w:cs="Times New Roman"/>
          <w:szCs w:val="24"/>
          <w:lang w:val="bg-BG"/>
        </w:rPr>
        <w:t xml:space="preserve"> да откриват банкови сметки и задължение за Сдруженията на собствениците да поддържат такива. </w:t>
      </w:r>
    </w:p>
    <w:p w14:paraId="72554AAB" w14:textId="3B2A8E1C"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 xml:space="preserve">Въпреки че направените промени в ЗУЕС са в правилната посока, серия от проучвания в банковия сектор, реализирани за целите на създаване на банкови продукти по проект </w:t>
      </w:r>
      <w:r w:rsidRPr="006F3533">
        <w:rPr>
          <w:rFonts w:eastAsia="Calibri" w:cs="Times New Roman"/>
          <w:szCs w:val="24"/>
          <w:lang w:val="bg-BG"/>
        </w:rPr>
        <w:lastRenderedPageBreak/>
        <w:t xml:space="preserve">LIFE 2022 </w:t>
      </w:r>
      <w:proofErr w:type="spellStart"/>
      <w:r w:rsidRPr="006F3533">
        <w:rPr>
          <w:rFonts w:eastAsia="Calibri" w:cs="Times New Roman"/>
          <w:szCs w:val="24"/>
          <w:lang w:val="bg-BG"/>
        </w:rPr>
        <w:t>INSPIRenov</w:t>
      </w:r>
      <w:proofErr w:type="spellEnd"/>
      <w:r w:rsidRPr="006F3533">
        <w:rPr>
          <w:rFonts w:eastAsia="Calibri" w:cs="Times New Roman"/>
          <w:szCs w:val="24"/>
          <w:lang w:val="bg-BG"/>
        </w:rPr>
        <w:t xml:space="preserve"> показват недостатъчност и </w:t>
      </w:r>
      <w:proofErr w:type="spellStart"/>
      <w:r w:rsidRPr="006F3533">
        <w:rPr>
          <w:rFonts w:eastAsia="Calibri" w:cs="Times New Roman"/>
          <w:szCs w:val="24"/>
          <w:lang w:val="bg-BG"/>
        </w:rPr>
        <w:t>несинхронизираност</w:t>
      </w:r>
      <w:proofErr w:type="spellEnd"/>
      <w:r w:rsidRPr="006F3533">
        <w:rPr>
          <w:rFonts w:eastAsia="Calibri" w:cs="Times New Roman"/>
          <w:szCs w:val="24"/>
          <w:lang w:val="bg-BG"/>
        </w:rPr>
        <w:t xml:space="preserve"> с други регулации. Така например, банките отказ</w:t>
      </w:r>
      <w:r w:rsidR="00E13238" w:rsidRPr="006F3533">
        <w:rPr>
          <w:rFonts w:eastAsia="Calibri" w:cs="Times New Roman"/>
          <w:szCs w:val="24"/>
          <w:lang w:val="bg-BG"/>
        </w:rPr>
        <w:t>в</w:t>
      </w:r>
      <w:r w:rsidRPr="006F3533">
        <w:rPr>
          <w:rFonts w:eastAsia="Calibri" w:cs="Times New Roman"/>
          <w:szCs w:val="24"/>
          <w:lang w:val="bg-BG"/>
        </w:rPr>
        <w:t xml:space="preserve">ат да откриват сметки на етажните собствености и едва две банки откриват сметки на </w:t>
      </w:r>
      <w:r w:rsidR="00E13238" w:rsidRPr="006F3533">
        <w:rPr>
          <w:rFonts w:eastAsia="Calibri" w:cs="Times New Roman"/>
          <w:szCs w:val="24"/>
          <w:lang w:val="bg-BG"/>
        </w:rPr>
        <w:t>с</w:t>
      </w:r>
      <w:r w:rsidRPr="006F3533">
        <w:rPr>
          <w:rFonts w:eastAsia="Calibri" w:cs="Times New Roman"/>
          <w:szCs w:val="24"/>
          <w:lang w:val="bg-BG"/>
        </w:rPr>
        <w:t>дружения на собствениците. Отказите са аргументирани с необходимостта да извършват  комплексната проверка (</w:t>
      </w:r>
      <w:proofErr w:type="spellStart"/>
      <w:r w:rsidRPr="006F3533">
        <w:rPr>
          <w:rFonts w:eastAsia="Calibri" w:cs="Times New Roman"/>
          <w:szCs w:val="24"/>
          <w:lang w:val="bg-BG"/>
        </w:rPr>
        <w:t>customer</w:t>
      </w:r>
      <w:proofErr w:type="spellEnd"/>
      <w:r w:rsidRPr="006F3533">
        <w:rPr>
          <w:rFonts w:eastAsia="Calibri" w:cs="Times New Roman"/>
          <w:szCs w:val="24"/>
          <w:lang w:val="bg-BG"/>
        </w:rPr>
        <w:t xml:space="preserve"> </w:t>
      </w:r>
      <w:proofErr w:type="spellStart"/>
      <w:r w:rsidRPr="006F3533">
        <w:rPr>
          <w:rFonts w:eastAsia="Calibri" w:cs="Times New Roman"/>
          <w:szCs w:val="24"/>
          <w:lang w:val="bg-BG"/>
        </w:rPr>
        <w:t>due</w:t>
      </w:r>
      <w:proofErr w:type="spellEnd"/>
      <w:r w:rsidRPr="006F3533">
        <w:rPr>
          <w:rFonts w:eastAsia="Calibri" w:cs="Times New Roman"/>
          <w:szCs w:val="24"/>
          <w:lang w:val="bg-BG"/>
        </w:rPr>
        <w:t xml:space="preserve"> </w:t>
      </w:r>
      <w:proofErr w:type="spellStart"/>
      <w:r w:rsidRPr="006F3533">
        <w:rPr>
          <w:rFonts w:eastAsia="Calibri" w:cs="Times New Roman"/>
          <w:szCs w:val="24"/>
          <w:lang w:val="bg-BG"/>
        </w:rPr>
        <w:t>diligence</w:t>
      </w:r>
      <w:proofErr w:type="spellEnd"/>
      <w:r w:rsidRPr="006F3533">
        <w:rPr>
          <w:rFonts w:eastAsia="Calibri" w:cs="Times New Roman"/>
          <w:szCs w:val="24"/>
          <w:lang w:val="bg-BG"/>
        </w:rPr>
        <w:t>) на своите клиенти като част от мерките за борба с изпирането на пари и финансирането на тероризма. Действително, това изискване на Закона за мерките срещу изпирането на пари (ЗМИП) касае собствениците на юридически лица, каквито етажната собственост/СС  не са. В бъдеще този проблем и още други, свързани с правния статут на СС трябва да намерят по-адекватно решение, за да се удовлетворят исканията на финансовите институции и да се подобри възможността за пазарно кредитиране на СС.</w:t>
      </w:r>
    </w:p>
    <w:p w14:paraId="7584F6C6" w14:textId="77777777" w:rsidR="00E13238" w:rsidRPr="006F3533" w:rsidRDefault="00E13238" w:rsidP="00E13238">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Липса на механизми за колективно кредитиране при ниска индивидуална кредитоспособност</w:t>
      </w:r>
    </w:p>
    <w:p w14:paraId="08FC0C15" w14:textId="5CA7372C" w:rsidR="00E13238" w:rsidRPr="006F3533" w:rsidRDefault="00E13238" w:rsidP="00E13238">
      <w:pPr>
        <w:tabs>
          <w:tab w:val="left" w:pos="582"/>
        </w:tabs>
        <w:spacing w:before="100" w:beforeAutospacing="1" w:after="100" w:afterAutospacing="1" w:line="240" w:lineRule="auto"/>
        <w:ind w:right="23"/>
        <w:jc w:val="both"/>
        <w:rPr>
          <w:rFonts w:eastAsia="Times New Roman" w:cs="Times New Roman"/>
          <w:szCs w:val="24"/>
          <w:lang w:val="bg-BG" w:eastAsia="bg-BG"/>
        </w:rPr>
      </w:pPr>
      <w:r w:rsidRPr="006F3533">
        <w:rPr>
          <w:rFonts w:eastAsia="Times New Roman" w:cs="Times New Roman"/>
          <w:szCs w:val="24"/>
          <w:lang w:val="bg-BG" w:eastAsia="bg-BG"/>
        </w:rPr>
        <w:t>В тази връзка,</w:t>
      </w:r>
      <w:r w:rsidRPr="006F3533">
        <w:rPr>
          <w:rFonts w:eastAsia="Times New Roman" w:cs="Times New Roman"/>
          <w:b/>
          <w:bCs/>
          <w:szCs w:val="24"/>
          <w:lang w:val="bg-BG" w:eastAsia="bg-BG"/>
        </w:rPr>
        <w:t xml:space="preserve"> ниската индивидуална кредитоспособност</w:t>
      </w:r>
      <w:r w:rsidRPr="006F3533">
        <w:rPr>
          <w:rFonts w:eastAsia="Times New Roman" w:cs="Times New Roman"/>
          <w:szCs w:val="24"/>
          <w:lang w:val="bg-BG" w:eastAsia="bg-BG"/>
        </w:rPr>
        <w:t xml:space="preserve"> на част от собствениците в многофамилните сгради представлява съществена бариера пред прилагането на модели на съфинансиране, при които именно тези домакинства най-често се нуждаят от кредит за осигуряване на собствено участие. Опитите в рамките на предходни програми да се разчита на индивидуално кредитиране не показаха ефективност, тъй като  нуждаещите се собственици не отговарят на стандартните банкови изисквания и не могат да предоставят адекватни обезпечения, което блокира обновяването на сградата като цяло.</w:t>
      </w:r>
    </w:p>
    <w:p w14:paraId="6CD2FEC7" w14:textId="486848BC" w:rsidR="00E13238" w:rsidRPr="006F3533" w:rsidRDefault="00E13238" w:rsidP="00E13238">
      <w:pPr>
        <w:spacing w:before="100" w:beforeAutospacing="1" w:after="100" w:afterAutospacing="1" w:line="240" w:lineRule="auto"/>
        <w:jc w:val="both"/>
        <w:rPr>
          <w:rFonts w:eastAsia="Calibri" w:cs="Times New Roman"/>
          <w:szCs w:val="24"/>
          <w:lang w:val="bg-BG"/>
        </w:rPr>
      </w:pPr>
      <w:r w:rsidRPr="006F3533">
        <w:rPr>
          <w:rFonts w:eastAsia="Times New Roman" w:cs="Times New Roman"/>
          <w:szCs w:val="24"/>
          <w:lang w:val="bg-BG" w:eastAsia="bg-BG"/>
        </w:rPr>
        <w:t xml:space="preserve">В същото време в България липсва утвърдена практика за </w:t>
      </w:r>
      <w:r w:rsidRPr="006F3533">
        <w:rPr>
          <w:rFonts w:eastAsia="Times New Roman" w:cs="Times New Roman"/>
          <w:b/>
          <w:bCs/>
          <w:szCs w:val="24"/>
          <w:lang w:val="bg-BG" w:eastAsia="bg-BG"/>
        </w:rPr>
        <w:t>кредитиране на Сдружения на собствениците</w:t>
      </w:r>
      <w:r w:rsidRPr="006F3533">
        <w:rPr>
          <w:rFonts w:eastAsia="Times New Roman" w:cs="Times New Roman"/>
          <w:szCs w:val="24"/>
          <w:lang w:val="bg-BG" w:eastAsia="bg-BG"/>
        </w:rPr>
        <w:t>, въпреки че този подход е широко прилаган в други европейски държави като средство за преодоляване на ограниченията на индивидуалната кредитоспособност. Кредитирането на СС позволява включване на некредитоспособни собственици, осигурява гъвкавост при временна неплатежоспособност, намалява административната тежест и води до по-ниска цена на кредита. Отсъствието на подобен финансов механизъм се очертава като системна бариера пред устойчивото обновяване на многофамилните сгради.</w:t>
      </w:r>
    </w:p>
    <w:p w14:paraId="4D1E65DA"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Недостатъчен управленски и организационен капацитет в етажната собственост</w:t>
      </w:r>
    </w:p>
    <w:p w14:paraId="22362D0C" w14:textId="77777777" w:rsidR="00567099" w:rsidRPr="006F3533" w:rsidRDefault="00567099" w:rsidP="00567099">
      <w:pPr>
        <w:spacing w:before="100" w:beforeAutospacing="1" w:after="100" w:afterAutospacing="1" w:line="240" w:lineRule="auto"/>
        <w:jc w:val="both"/>
        <w:rPr>
          <w:rFonts w:eastAsia="Calibri" w:cs="Times New Roman"/>
          <w:kern w:val="2"/>
          <w:szCs w:val="24"/>
          <w:lang w:val="bg-BG"/>
          <w14:ligatures w14:val="standardContextual"/>
        </w:rPr>
      </w:pPr>
      <w:r w:rsidRPr="006F3533">
        <w:rPr>
          <w:rFonts w:eastAsia="Calibri" w:cs="Times New Roman"/>
          <w:kern w:val="2"/>
          <w:szCs w:val="24"/>
          <w:lang w:val="bg-BG"/>
          <w14:ligatures w14:val="standardContextual"/>
        </w:rPr>
        <w:t>Липсата на професионално управление в етажната собственост представлява съществена нефинансова бариера пред процеса на обновяване на жилищните сгради. Съгласно действащата нормативна рамка и утвърдената практика в страната управлението на етажната собственост обикновено се възлага на физическо лице, избрано измежду собствениците на самостоятелни обекти. В преобладаващия брой случаи това лице не разполага с необходимия административен и организационен капацитет, нито с мотивация да изпълнява функциите си на доброволен принцип.</w:t>
      </w:r>
    </w:p>
    <w:p w14:paraId="136AD877"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Практиката показва, че дори подготовката и организацията на кандидатстване по програми със 100% безвъзмездно публично финансиране се оказват сериозно предизвикателство за повечето етажни собствености. Липсата на ясно разпознаваема фигура на „инициатор и двигател“ на процеса води до парадоксалния резултат, при който минимален дял от допустимите за участие сгради успяват реално да подадат заявления за финансиране, въпреки пълното покриване на разходите.</w:t>
      </w:r>
    </w:p>
    <w:p w14:paraId="04FEFC11"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lastRenderedPageBreak/>
        <w:t xml:space="preserve">Редица проучвания, провеждани в различни периоди, включително последното в рамките на проект LIFE 2022 </w:t>
      </w:r>
      <w:proofErr w:type="spellStart"/>
      <w:r w:rsidRPr="006F3533">
        <w:rPr>
          <w:rFonts w:eastAsia="Calibri" w:cs="Times New Roman"/>
          <w:szCs w:val="24"/>
          <w:lang w:val="bg-BG"/>
        </w:rPr>
        <w:t>INSPIRenov</w:t>
      </w:r>
      <w:proofErr w:type="spellEnd"/>
      <w:r w:rsidRPr="006F3533">
        <w:rPr>
          <w:rFonts w:eastAsia="Calibri" w:cs="Times New Roman"/>
          <w:szCs w:val="24"/>
          <w:lang w:val="bg-BG"/>
        </w:rPr>
        <w:t xml:space="preserve">, еднозначно показват, че активността на етажните собствености е пряко свързана с наличието на административна, техническа и консултантска подкрепа – предоставяна от общини, центрове за комплексно обслужване / </w:t>
      </w:r>
      <w:proofErr w:type="spellStart"/>
      <w:r w:rsidRPr="006F3533">
        <w:rPr>
          <w:rFonts w:eastAsia="Calibri" w:cs="Times New Roman"/>
          <w:szCs w:val="24"/>
          <w:lang w:val="bg-BG"/>
        </w:rPr>
        <w:t>one-stop-shop</w:t>
      </w:r>
      <w:proofErr w:type="spellEnd"/>
      <w:r w:rsidRPr="006F3533">
        <w:rPr>
          <w:rFonts w:eastAsia="Calibri" w:cs="Times New Roman"/>
          <w:szCs w:val="24"/>
          <w:lang w:val="bg-BG"/>
        </w:rPr>
        <w:t xml:space="preserve"> структури и местни посредници. Липсата на подобна подкрепа се очертава като значима бариера извън финансовите фактори и емпирично доказва необходимостта от устойчиви структури за техническа помощ в бъдеще.</w:t>
      </w:r>
    </w:p>
    <w:p w14:paraId="4518B972"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 xml:space="preserve">Проучвания сред бенефициенти на програми за обновяване показват, че етажните собствености в преобладаващата си част не разполагат с капацитет да се </w:t>
      </w:r>
      <w:proofErr w:type="spellStart"/>
      <w:r w:rsidRPr="006F3533">
        <w:rPr>
          <w:rFonts w:eastAsia="Calibri" w:cs="Times New Roman"/>
          <w:szCs w:val="24"/>
          <w:lang w:val="bg-BG"/>
        </w:rPr>
        <w:t>самоорганизират</w:t>
      </w:r>
      <w:proofErr w:type="spellEnd"/>
      <w:r w:rsidRPr="006F3533">
        <w:rPr>
          <w:rFonts w:eastAsia="Calibri" w:cs="Times New Roman"/>
          <w:szCs w:val="24"/>
          <w:lang w:val="bg-BG"/>
        </w:rPr>
        <w:t xml:space="preserve"> и управляват процесите по енергийно обновяване, като едва около 10% от респондентите имат нагласа да заплащат за професионални управленски или консултантски услуги. В същото време предоставянето на комплексна техническа и административна помощ изисква значителен професионален ресурс и не може да бъде осигурявано на пазарен принцип от домакинствата, особено в условията на преминаване към модели на съфинансиране. Това превръща липсата на финансирани структури за техническа помощ в системна бариера пред мащабното изпълнение на Плана за саниране и обосновава необходимостта от осигуряване на устойчиво публично финансиране за </w:t>
      </w:r>
      <w:proofErr w:type="spellStart"/>
      <w:r w:rsidRPr="006F3533">
        <w:rPr>
          <w:rFonts w:eastAsia="Calibri" w:cs="Times New Roman"/>
          <w:b/>
          <w:bCs/>
          <w:szCs w:val="24"/>
          <w:lang w:val="bg-BG"/>
        </w:rPr>
        <w:t>one-stop-shop</w:t>
      </w:r>
      <w:proofErr w:type="spellEnd"/>
      <w:r w:rsidRPr="006F3533">
        <w:rPr>
          <w:rFonts w:eastAsia="Calibri" w:cs="Times New Roman"/>
          <w:b/>
          <w:bCs/>
          <w:szCs w:val="24"/>
          <w:lang w:val="bg-BG"/>
        </w:rPr>
        <w:t xml:space="preserve"> модели</w:t>
      </w:r>
      <w:r w:rsidRPr="006F3533">
        <w:rPr>
          <w:rFonts w:eastAsia="Calibri" w:cs="Times New Roman"/>
          <w:szCs w:val="24"/>
          <w:lang w:val="bg-BG"/>
        </w:rPr>
        <w:t>, които да подкрепят етажните собствености по цялата верига на обновяването.</w:t>
      </w:r>
    </w:p>
    <w:p w14:paraId="608F16C4"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Ограничена функционалност при прилагането на подхода „Едно гише“</w:t>
      </w:r>
    </w:p>
    <w:p w14:paraId="6C693A90"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 xml:space="preserve">Подходът </w:t>
      </w:r>
      <w:proofErr w:type="spellStart"/>
      <w:r w:rsidRPr="006F3533">
        <w:rPr>
          <w:rFonts w:eastAsia="Calibri" w:cs="Times New Roman"/>
          <w:b/>
          <w:bCs/>
          <w:i/>
          <w:iCs/>
          <w:szCs w:val="24"/>
          <w:lang w:val="bg-BG"/>
        </w:rPr>
        <w:t>one-stop-shop</w:t>
      </w:r>
      <w:proofErr w:type="spellEnd"/>
      <w:r w:rsidRPr="006F3533">
        <w:rPr>
          <w:rFonts w:eastAsia="Calibri" w:cs="Times New Roman"/>
          <w:szCs w:val="24"/>
          <w:lang w:val="bg-BG"/>
        </w:rPr>
        <w:t xml:space="preserve"> („Едно гише“) е замислен като инструмент за преодоляване на ограниченията в капацитета на собствениците на жилищни сгради да инициират, структурират, финансират и изпълняват проекти за енергийно обновяване. Неговата ефективност предполага предоставяне на </w:t>
      </w:r>
      <w:r w:rsidRPr="006F3533">
        <w:rPr>
          <w:rFonts w:eastAsia="Calibri" w:cs="Times New Roman"/>
          <w:b/>
          <w:bCs/>
          <w:szCs w:val="24"/>
          <w:lang w:val="bg-BG"/>
        </w:rPr>
        <w:t>интегрирани услуги</w:t>
      </w:r>
      <w:r w:rsidRPr="006F3533">
        <w:rPr>
          <w:rFonts w:eastAsia="Calibri" w:cs="Times New Roman"/>
          <w:szCs w:val="24"/>
          <w:lang w:val="bg-BG"/>
        </w:rPr>
        <w:t>, обхващащи техническите, финансовите и правните аспекти на процеса, както и активно съпътстване на домакинствата през всички етапи на обновяването.</w:t>
      </w:r>
    </w:p>
    <w:p w14:paraId="1BF88C98" w14:textId="77777777" w:rsidR="00567099" w:rsidRPr="006F3533" w:rsidRDefault="00567099" w:rsidP="00567099">
      <w:pPr>
        <w:spacing w:before="100" w:beforeAutospacing="1" w:after="100" w:afterAutospacing="1" w:line="240" w:lineRule="auto"/>
        <w:jc w:val="both"/>
        <w:rPr>
          <w:rFonts w:eastAsia="Calibri" w:cs="Times New Roman"/>
          <w:szCs w:val="24"/>
          <w:lang w:val="bg-BG"/>
        </w:rPr>
      </w:pPr>
      <w:r w:rsidRPr="006F3533">
        <w:rPr>
          <w:rFonts w:eastAsia="Calibri" w:cs="Times New Roman"/>
          <w:szCs w:val="24"/>
          <w:lang w:val="bg-BG"/>
        </w:rPr>
        <w:t>В рамките на Националния план за възстановяване и устойчивост този подход беше приложен като изпълнение на Реформа, в ограничен обхват и основно с информационен фокус. Предвидените структури – 28 областни информационни центрове  не разполагат с необходимия мандат, ресурс и функционален капацитет за предоставяне на комплексно обслужване и за реално поемане на ролята на посредник между домакинствата, изпълнителите и финансовите институции.</w:t>
      </w:r>
    </w:p>
    <w:p w14:paraId="29365473" w14:textId="77777777" w:rsidR="00567099" w:rsidRPr="006F3533" w:rsidRDefault="00567099" w:rsidP="00567099">
      <w:pPr>
        <w:spacing w:before="100" w:beforeAutospacing="1" w:after="100" w:afterAutospacing="1" w:line="240" w:lineRule="auto"/>
        <w:jc w:val="both"/>
        <w:rPr>
          <w:rFonts w:eastAsia="Calibri" w:cs="Times New Roman"/>
          <w:b/>
          <w:i/>
          <w:color w:val="548DD4"/>
          <w:szCs w:val="24"/>
          <w:lang w:val="bg-BG" w:eastAsia="bg-BG"/>
        </w:rPr>
      </w:pPr>
      <w:r w:rsidRPr="006F3533">
        <w:rPr>
          <w:rFonts w:eastAsia="Calibri" w:cs="Times New Roman"/>
          <w:szCs w:val="24"/>
          <w:lang w:val="bg-BG"/>
        </w:rPr>
        <w:t xml:space="preserve">В резултат не се постига пълно съответствие с изискванията на европейското законодателство, включително чл. 22 от Директивата за енергийна ефективност и чл. 18 от Директивата за енергийните характеристики на сградите, а моделът „Едно гише“ не успява да се утвърди като ефективен механизъм за улесняване и ускоряване на процеса на обновяване. Това очертава необходимостта от доразвиване на подхода „Едно гише“ </w:t>
      </w:r>
      <w:r w:rsidRPr="006F3533">
        <w:rPr>
          <w:rFonts w:eastAsia="Calibri" w:cs="Times New Roman"/>
          <w:b/>
          <w:bCs/>
          <w:szCs w:val="24"/>
          <w:lang w:val="bg-BG"/>
        </w:rPr>
        <w:t>като функционален</w:t>
      </w:r>
      <w:r w:rsidRPr="006F3533">
        <w:rPr>
          <w:rFonts w:eastAsia="Calibri" w:cs="Times New Roman"/>
          <w:szCs w:val="24"/>
          <w:lang w:val="bg-BG"/>
        </w:rPr>
        <w:t>, а не формален инструмент, в съответствие с целите на Плана за саниране.</w:t>
      </w:r>
      <w:bookmarkStart w:id="142" w:name="_Toc29217533"/>
      <w:r w:rsidRPr="006F3533">
        <w:rPr>
          <w:rFonts w:eastAsia="Calibri" w:cs="Times New Roman"/>
          <w:b/>
          <w:i/>
          <w:color w:val="548DD4"/>
          <w:szCs w:val="24"/>
          <w:lang w:val="bg-BG" w:eastAsia="bg-BG"/>
        </w:rPr>
        <w:t xml:space="preserve"> </w:t>
      </w:r>
    </w:p>
    <w:bookmarkEnd w:id="142"/>
    <w:p w14:paraId="24528038"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Финансови бариери пред енергийното обновяване</w:t>
      </w:r>
    </w:p>
    <w:p w14:paraId="0C0D9FEA" w14:textId="77777777" w:rsidR="00567099" w:rsidRPr="006F3533" w:rsidRDefault="00567099" w:rsidP="00567099">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b/>
          <w:bCs/>
          <w:szCs w:val="24"/>
          <w:lang w:val="bg-BG" w:eastAsia="en-GB"/>
        </w:rPr>
        <w:lastRenderedPageBreak/>
        <w:t>Финансовата неспособност</w:t>
      </w:r>
      <w:r w:rsidRPr="006F3533">
        <w:rPr>
          <w:rFonts w:eastAsia="Times New Roman" w:cs="Times New Roman"/>
          <w:szCs w:val="24"/>
          <w:lang w:val="bg-BG" w:eastAsia="en-GB"/>
        </w:rPr>
        <w:t xml:space="preserve"> на значителна част от собствениците на жилища да предприемат самостоятелно инвестиции в енергийна ефективност остава ключова бариера пред мащабното обновяване на сградния фонд. Ниските доходи и ограничената поносимост за дългосрочни инвестиции водят до практики на недостатъчно отопление, което допълнително намалява потенциала за енергийни спестявания и удължава периода на възвръщаемост, правейки пазарното финансиране трудно приложимо. Данните на НСИ показват, че в преобладаващия брой случаи финансовият капацитет на домакинствата се изчерпва с частични мерки, като подмяна на дограма, което потвърждава, че без публична подкрепа цялостното обновяване остава недостижимо.</w:t>
      </w:r>
    </w:p>
    <w:p w14:paraId="01BC96FF" w14:textId="77777777" w:rsidR="00567099" w:rsidRPr="006F3533" w:rsidRDefault="00567099" w:rsidP="00567099">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Спецификата на многофамилните жилищни сгради допълнително усложнява ситуацията, тъй като в рамките на една и съща сграда съжителстват собственици с различен социален и финансов статус. Наличието на домакинства, които отговарят на дефиницията за енергийно бедни и обективно не могат да поемат дори минимално съфинансиране, превръща тези групи в потенциална структурна пречка пред реализирането на обновяването на ниво сграда. Поради това осигуряването на 100% безвъзмездна финансова помощ за уязвимите и енергийно бедни домакинства е необходимо условие за функционирането на модели на съфинансиране, които да бъдат едновременно социално справедливи и оперативно приложими.</w:t>
      </w:r>
    </w:p>
    <w:p w14:paraId="3AF976F3" w14:textId="77777777" w:rsidR="00567099" w:rsidRPr="006F3533" w:rsidRDefault="00567099" w:rsidP="00567099">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В този контекст публичното финансиране под формата на грантове следва да бъде запазено като инструмент за активиране на етажните собствености и за отчитане на обществените ползи от енергийното обновяване, като нивото и механизмите за предоставяне на безвъзмездната помощ бъдат внимателно калибрирани така, че да осигуряват широко участие на собствениците и справедливо разпределение на публичния ресурс.</w:t>
      </w:r>
    </w:p>
    <w:p w14:paraId="47CD88DE"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Енергийната бедност като бариера при прилагането на модели на съфинансиране</w:t>
      </w:r>
    </w:p>
    <w:p w14:paraId="33089194" w14:textId="77777777" w:rsidR="00567099" w:rsidRPr="006F3533" w:rsidRDefault="00567099" w:rsidP="00567099">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рамките на многофамилните жилищни сгради често присъстват домакинства, които съгласно националната дефиниция за енергийна бедност в България изпитват затруднения да покриват необходимите разходи за енергийни услуги, поради което участието им в модели на съфинансиране е ограничено. Опитът от прилагането на предходни програми показва, че делът на тези домакинства в една сграда обичайно варира между 10 и 20%, като при липса на подходящи компенсаторни механизми това може да затрудни вземането на решения и реализирането на обновяването на ниво етажна собственост. В този контекст отчитането на енергийната бедност и предвиждането на целенасочени форми на подкрепа за засегнатите домакинства се очертават като важна предпоставка за ефективното и социално балансирано прилагане на модели на съфинансиране в рамките на Плана за саниране.</w:t>
      </w:r>
    </w:p>
    <w:p w14:paraId="6AC5A7F1"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bookmarkStart w:id="143" w:name="_Toc29217534"/>
      <w:r w:rsidRPr="006F3533">
        <w:rPr>
          <w:rFonts w:eastAsia="Times New Roman" w:cs="Times New Roman"/>
          <w:b/>
          <w:bCs/>
          <w:szCs w:val="24"/>
          <w:lang w:val="bg-BG" w:eastAsia="bg-BG"/>
        </w:rPr>
        <w:t>Конструктивни специфики и изкривяване на разходните референтни стойности</w:t>
      </w:r>
    </w:p>
    <w:p w14:paraId="3BC8A5D6" w14:textId="77777777" w:rsidR="00567099" w:rsidRPr="006F3533" w:rsidRDefault="00567099" w:rsidP="00567099">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Конструктивните особености на сградите водят до съществени различия в разходната структура на енергоспестяващите и съпътстващите мерки, което оказва пряко влияние върху единичните цени на обновяването. Експертни разчети, посочени по-горе в анализа показват, че при многофамилни сгради, изградени по индустриален способ с плоски покриви, разходите за покривни интервенции представляват едва 5–15% от общата </w:t>
      </w:r>
      <w:r w:rsidRPr="006F3533">
        <w:rPr>
          <w:rFonts w:eastAsia="Times New Roman" w:cs="Times New Roman"/>
          <w:szCs w:val="24"/>
          <w:lang w:val="bg-BG" w:eastAsia="en-GB"/>
        </w:rPr>
        <w:lastRenderedPageBreak/>
        <w:t xml:space="preserve">стойност на обновяването, докато при сгради със </w:t>
      </w:r>
      <w:proofErr w:type="spellStart"/>
      <w:r w:rsidRPr="006F3533">
        <w:rPr>
          <w:rFonts w:eastAsia="Times New Roman" w:cs="Times New Roman"/>
          <w:szCs w:val="24"/>
          <w:lang w:val="bg-BG" w:eastAsia="en-GB"/>
        </w:rPr>
        <w:t>скатни</w:t>
      </w:r>
      <w:proofErr w:type="spellEnd"/>
      <w:r w:rsidRPr="006F3533">
        <w:rPr>
          <w:rFonts w:eastAsia="Times New Roman" w:cs="Times New Roman"/>
          <w:szCs w:val="24"/>
          <w:lang w:val="bg-BG" w:eastAsia="en-GB"/>
        </w:rPr>
        <w:t xml:space="preserve"> покриви този дял нараства до 10–25%, а при лошо техническо състояние може да надхвърли 30%.</w:t>
      </w:r>
    </w:p>
    <w:p w14:paraId="1B8EE221" w14:textId="77777777" w:rsidR="00567099" w:rsidRPr="006F3533" w:rsidRDefault="00567099" w:rsidP="00567099">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Разликите са още по-изразени при еднофамилните жилищни сгради, при които покривната конструкция е ключов и силно </w:t>
      </w:r>
      <w:proofErr w:type="spellStart"/>
      <w:r w:rsidRPr="006F3533">
        <w:rPr>
          <w:rFonts w:eastAsia="Times New Roman" w:cs="Times New Roman"/>
          <w:szCs w:val="24"/>
          <w:lang w:val="bg-BG" w:eastAsia="en-GB"/>
        </w:rPr>
        <w:t>разходоемък</w:t>
      </w:r>
      <w:proofErr w:type="spellEnd"/>
      <w:r w:rsidRPr="006F3533">
        <w:rPr>
          <w:rFonts w:eastAsia="Times New Roman" w:cs="Times New Roman"/>
          <w:szCs w:val="24"/>
          <w:lang w:val="bg-BG" w:eastAsia="en-GB"/>
        </w:rPr>
        <w:t xml:space="preserve"> елемент, често определящ икономическата целесъобразност на цялостното обновяване. Прилагането на единни референтни стойности за различни конструктивни типове не отчита тези отклонения и създава риск от неточно планиране на инвестициите, което налага диференциран и по-гъвкав подход при дизайна на бъдещите програми.</w:t>
      </w:r>
    </w:p>
    <w:p w14:paraId="5385C83B" w14:textId="77777777" w:rsidR="00567099" w:rsidRPr="006F3533" w:rsidRDefault="00567099" w:rsidP="00567099">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Необитаваните жилища като бариера пред обновяването на многофамилните сгради</w:t>
      </w:r>
    </w:p>
    <w:p w14:paraId="4E5F5AC5" w14:textId="77777777" w:rsidR="00567099" w:rsidRPr="006F3533" w:rsidRDefault="00567099" w:rsidP="00567099">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Наличието на необитавани апартаменти в обитавани многофамилни сгради представлява значима организационна и финансова бариера пред процеса на енергийно обновяване, като рискът от нейното задълбочаване нараства при въвеждане на модели със съфинансиране. Данните на НСИ от преброяването на жилищния фонд през 2021 г. показват, че необитаваните жилища в страната са 38,9% от общия жилищен фонд (1 657 741 жилища), като в редица области делът им надхвърля 50%, докато в големите градове остава около 30%.</w:t>
      </w:r>
    </w:p>
    <w:p w14:paraId="196BF853" w14:textId="3B2A2184" w:rsidR="00567099" w:rsidRPr="006F3533" w:rsidRDefault="00567099" w:rsidP="00567099">
      <w:pPr>
        <w:jc w:val="both"/>
        <w:rPr>
          <w:rFonts w:cs="Times New Roman"/>
          <w:szCs w:val="24"/>
          <w:lang w:val="bg-BG"/>
        </w:rPr>
      </w:pPr>
      <w:r w:rsidRPr="006F3533">
        <w:rPr>
          <w:rFonts w:eastAsia="Times New Roman" w:cs="Times New Roman"/>
          <w:szCs w:val="24"/>
          <w:lang w:val="bg-BG" w:eastAsia="en-GB"/>
        </w:rPr>
        <w:t>Значителна част от тези имоти са собственост на лица, които живеят в други населени места или извън страната, което затруднява тяхното включване в сдруженията на собствениците и в процесите на вземане на решения. При схеми, изискващи собствено финансово участие, пасивността или недостъпността на тези собственици може да блокира колективните решения на ниво сграда, да забави изпълнението на проектите и да ограничи броя на реално обновените многофамилни сгради.</w:t>
      </w:r>
      <w:bookmarkEnd w:id="143"/>
    </w:p>
    <w:p w14:paraId="73F87369" w14:textId="144F2292" w:rsidR="00681B74" w:rsidRPr="006F3533" w:rsidRDefault="00FE5413" w:rsidP="00077D42">
      <w:pPr>
        <w:pStyle w:val="Heading1"/>
        <w:jc w:val="both"/>
        <w:rPr>
          <w:lang w:val="bg-BG"/>
        </w:rPr>
      </w:pPr>
      <w:bookmarkStart w:id="144" w:name="_Toc217888793"/>
      <w:r w:rsidRPr="006F3533">
        <w:rPr>
          <w:lang w:val="bg-BG"/>
        </w:rPr>
        <w:t>Оценка на капаци</w:t>
      </w:r>
      <w:r w:rsidR="0039488E" w:rsidRPr="006F3533">
        <w:rPr>
          <w:lang w:val="bg-BG"/>
        </w:rPr>
        <w:t>те</w:t>
      </w:r>
      <w:r w:rsidRPr="006F3533">
        <w:rPr>
          <w:lang w:val="bg-BG"/>
        </w:rPr>
        <w:t>т</w:t>
      </w:r>
      <w:r w:rsidR="0089152B" w:rsidRPr="006F3533">
        <w:rPr>
          <w:lang w:val="bg-BG"/>
        </w:rPr>
        <w:t>а</w:t>
      </w:r>
      <w:r w:rsidRPr="006F3533">
        <w:rPr>
          <w:lang w:val="bg-BG"/>
        </w:rPr>
        <w:t xml:space="preserve"> в секторите строителство, енергийна ефективност и възобновяема енергия</w:t>
      </w:r>
      <w:bookmarkEnd w:id="144"/>
    </w:p>
    <w:p w14:paraId="1D7072B7" w14:textId="1C2D198E" w:rsidR="00681B74" w:rsidRPr="006F3533" w:rsidRDefault="00681B74" w:rsidP="00077D42">
      <w:pPr>
        <w:pStyle w:val="Heading2"/>
        <w:jc w:val="both"/>
        <w:rPr>
          <w:lang w:val="bg-BG"/>
        </w:rPr>
      </w:pPr>
      <w:bookmarkStart w:id="145" w:name="_Toc216857785"/>
      <w:bookmarkStart w:id="146" w:name="_Toc217888794"/>
      <w:r w:rsidRPr="006F3533">
        <w:rPr>
          <w:lang w:val="bg-BG"/>
        </w:rPr>
        <w:t>Въведение и контекст</w:t>
      </w:r>
      <w:bookmarkEnd w:id="145"/>
      <w:bookmarkEnd w:id="146"/>
    </w:p>
    <w:p w14:paraId="7DED9BC9" w14:textId="430A4CE7" w:rsidR="00681B74" w:rsidRPr="006F3533" w:rsidRDefault="00681B74" w:rsidP="00077D42">
      <w:pPr>
        <w:jc w:val="both"/>
        <w:rPr>
          <w:rFonts w:cs="Times New Roman"/>
          <w:szCs w:val="24"/>
          <w:lang w:val="bg-BG"/>
        </w:rPr>
      </w:pPr>
      <w:r w:rsidRPr="006F3533">
        <w:rPr>
          <w:rFonts w:cs="Times New Roman"/>
          <w:szCs w:val="24"/>
          <w:lang w:val="bg-BG"/>
        </w:rPr>
        <w:t>Строителният сектор е структ</w:t>
      </w:r>
      <w:r w:rsidR="00560454" w:rsidRPr="006F3533">
        <w:rPr>
          <w:rFonts w:cs="Times New Roman"/>
          <w:szCs w:val="24"/>
          <w:lang w:val="bg-BG"/>
        </w:rPr>
        <w:t>у</w:t>
      </w:r>
      <w:r w:rsidRPr="006F3533">
        <w:rPr>
          <w:rFonts w:cs="Times New Roman"/>
          <w:szCs w:val="24"/>
          <w:lang w:val="bg-BG"/>
        </w:rPr>
        <w:t xml:space="preserve">роопределящ за българската икономика и ключов изпълнител на националните цели за </w:t>
      </w:r>
      <w:proofErr w:type="spellStart"/>
      <w:r w:rsidRPr="006F3533">
        <w:rPr>
          <w:rFonts w:cs="Times New Roman"/>
          <w:szCs w:val="24"/>
          <w:lang w:val="bg-BG"/>
        </w:rPr>
        <w:t>декарбонизация</w:t>
      </w:r>
      <w:proofErr w:type="spellEnd"/>
      <w:r w:rsidRPr="006F3533">
        <w:rPr>
          <w:rFonts w:cs="Times New Roman"/>
          <w:szCs w:val="24"/>
          <w:lang w:val="bg-BG"/>
        </w:rPr>
        <w:t xml:space="preserve"> на сградния фонд. През 2024 г. брутната добавена стойност в сектора достига 7 933 млн. лв. (около 3,9</w:t>
      </w:r>
      <w:r w:rsidR="00560454" w:rsidRPr="006F3533">
        <w:rPr>
          <w:rFonts w:cs="Times New Roman"/>
          <w:szCs w:val="24"/>
          <w:lang w:val="bg-BG"/>
        </w:rPr>
        <w:t>%</w:t>
      </w:r>
      <w:r w:rsidRPr="006F3533">
        <w:rPr>
          <w:rFonts w:cs="Times New Roman"/>
          <w:szCs w:val="24"/>
          <w:lang w:val="bg-BG"/>
        </w:rPr>
        <w:t xml:space="preserve"> от БВП), а произведената строителна продукция възлиза на 24 386 млн. лв., с отчетен реален ръст спрямо 2023 г. и положителна динамика в сегментите „сгради“ и „специализирани строителни дейности“.</w:t>
      </w:r>
      <w:r w:rsidRPr="006F3533">
        <w:rPr>
          <w:rStyle w:val="FootnoteReference"/>
          <w:rFonts w:cs="Times New Roman"/>
          <w:szCs w:val="24"/>
          <w:lang w:val="bg-BG"/>
        </w:rPr>
        <w:footnoteReference w:id="35"/>
      </w:r>
      <w:r w:rsidRPr="006F3533">
        <w:rPr>
          <w:rFonts w:cs="Times New Roman"/>
          <w:szCs w:val="24"/>
          <w:lang w:val="bg-BG"/>
        </w:rPr>
        <w:t xml:space="preserve"> Тези данни потвърждават, че секторът разполага със значим икономически потенциал, но същевременно е под нарастващ натиск за ускоряване на обновяването на сградите и интегрирането на високоефективни и възобновяеми енергийни решения</w:t>
      </w:r>
      <w:r w:rsidR="00FE5413" w:rsidRPr="006F3533">
        <w:rPr>
          <w:rFonts w:cs="Times New Roman"/>
          <w:szCs w:val="24"/>
          <w:lang w:val="bg-BG"/>
        </w:rPr>
        <w:t>.</w:t>
      </w:r>
    </w:p>
    <w:p w14:paraId="1F7E6EE6" w14:textId="6769D235" w:rsidR="00681B74" w:rsidRPr="006F3533" w:rsidRDefault="00681B74" w:rsidP="00077D42">
      <w:pPr>
        <w:jc w:val="both"/>
        <w:rPr>
          <w:rFonts w:cs="Times New Roman"/>
          <w:szCs w:val="24"/>
          <w:lang w:val="bg-BG"/>
        </w:rPr>
      </w:pPr>
      <w:r w:rsidRPr="006F3533">
        <w:rPr>
          <w:rFonts w:cs="Times New Roman"/>
          <w:szCs w:val="24"/>
          <w:lang w:val="bg-BG"/>
        </w:rPr>
        <w:t xml:space="preserve">Хората и уменията са критичният ресурс за реализиране на тази трансформация. Оценките за заетост сочат приблизително 198 200 заети към 2022 г., при индикативна </w:t>
      </w:r>
      <w:r w:rsidRPr="006F3533">
        <w:rPr>
          <w:rFonts w:cs="Times New Roman"/>
          <w:szCs w:val="24"/>
          <w:lang w:val="bg-BG"/>
        </w:rPr>
        <w:lastRenderedPageBreak/>
        <w:t>потребност от около 249 600 работещи в сектора към 2030 г., което предполага съществено разширяване на квалифицираната работна сила по цялата верига на стойност - от работници и монтажници до проектанти, инженери и енергийни одитори</w:t>
      </w:r>
      <w:r w:rsidRPr="006F3533">
        <w:rPr>
          <w:rStyle w:val="FootnoteReference"/>
          <w:rFonts w:cs="Times New Roman"/>
          <w:szCs w:val="24"/>
          <w:lang w:val="bg-BG"/>
        </w:rPr>
        <w:footnoteReference w:id="36"/>
      </w:r>
      <w:r w:rsidRPr="006F3533">
        <w:rPr>
          <w:rFonts w:cs="Times New Roman"/>
          <w:szCs w:val="24"/>
          <w:lang w:val="bg-BG"/>
        </w:rPr>
        <w:t>. Наличните анализи идентифицират системни дефицити: застаряваща работна сила, недостатъчна притегателна сила за млади кадри, непълно съответствие между обучителните програми и технологичните изисквания на „зеленото“ и дигитализирано строителство, както и неравномерен достъп на МСП до иновации, оборудване и модерни методи на изпълнение</w:t>
      </w:r>
      <w:r w:rsidR="00FE5413" w:rsidRPr="006F3533">
        <w:rPr>
          <w:rFonts w:cs="Times New Roman"/>
          <w:szCs w:val="24"/>
          <w:lang w:val="bg-BG"/>
        </w:rPr>
        <w:t>.</w:t>
      </w:r>
    </w:p>
    <w:p w14:paraId="50713137" w14:textId="7D350824" w:rsidR="00681B74" w:rsidRPr="006F3533" w:rsidRDefault="00681B74" w:rsidP="00077D42">
      <w:pPr>
        <w:jc w:val="both"/>
        <w:rPr>
          <w:rFonts w:cs="Times New Roman"/>
          <w:szCs w:val="24"/>
          <w:lang w:val="bg-BG"/>
        </w:rPr>
      </w:pPr>
      <w:r w:rsidRPr="006F3533">
        <w:rPr>
          <w:rFonts w:cs="Times New Roman"/>
          <w:szCs w:val="24"/>
          <w:lang w:val="bg-BG"/>
        </w:rPr>
        <w:t>Настоящият раздел има за цел да представи оценка на текущите капацитети и бариери в секторите строителство, енергийна ефективност и възобновяема енергия, като се фокусира върху аспекти с най-голямо значение за българския контекст: работна сила и умения, структура и производствен капацитет на предприятията, технически и организационни компетентности, административни възможности (вкл. разрешителни и техническа помощ), вериги на доставки и материали, както и ценови фактори. Анализът стъпва на наличните официални статистики и секторни отчети; когато липсват конкретни статистически данни по определени параметри, се използват експертни оценки и обосновани допускания, като източниците и предпоставките се посочват изрично. Така структурираният преглед осигурява логическа последователност с набора от политики и мерки в раздел (c) на НПС и поставя основа за реалистично планиране на необходимите интервенции</w:t>
      </w:r>
      <w:r w:rsidR="00FE5413" w:rsidRPr="006F3533">
        <w:rPr>
          <w:rFonts w:cs="Times New Roman"/>
          <w:szCs w:val="24"/>
          <w:lang w:val="bg-BG"/>
        </w:rPr>
        <w:t>.</w:t>
      </w:r>
    </w:p>
    <w:p w14:paraId="2179E5A5" w14:textId="6CD543D2" w:rsidR="00681B74" w:rsidRPr="006F3533" w:rsidRDefault="00681B74" w:rsidP="00077D42">
      <w:pPr>
        <w:pStyle w:val="Heading2"/>
        <w:jc w:val="both"/>
        <w:rPr>
          <w:lang w:val="bg-BG"/>
        </w:rPr>
      </w:pPr>
      <w:bookmarkStart w:id="147" w:name="_Toc216857786"/>
      <w:bookmarkStart w:id="148" w:name="_Toc217888795"/>
      <w:r w:rsidRPr="006F3533">
        <w:rPr>
          <w:lang w:val="bg-BG"/>
        </w:rPr>
        <w:t>Икономически и производствен капацитет на строителния сектор</w:t>
      </w:r>
      <w:bookmarkEnd w:id="147"/>
      <w:bookmarkEnd w:id="148"/>
    </w:p>
    <w:p w14:paraId="5C6BBC89" w14:textId="1D2F94BB" w:rsidR="00681B74" w:rsidRPr="006F3533" w:rsidRDefault="00681B74" w:rsidP="00077D42">
      <w:pPr>
        <w:jc w:val="both"/>
        <w:rPr>
          <w:rFonts w:cs="Times New Roman"/>
          <w:szCs w:val="24"/>
          <w:lang w:val="bg-BG"/>
        </w:rPr>
      </w:pPr>
      <w:r w:rsidRPr="006F3533">
        <w:rPr>
          <w:rFonts w:cs="Times New Roman"/>
          <w:szCs w:val="24"/>
          <w:lang w:val="bg-BG"/>
        </w:rPr>
        <w:t>Строителството запазва стабилна роля като двигател на икономическата активност в България, въпреки високата ценова динамика и цикличния характер на инвестициите. Според годишния икономически отчет на Камарата на строителите в България (КСБ) за 2024 г., общата строителна продукция достига 24 386 млн. лв., което представлява реален ръст от 3,9</w:t>
      </w:r>
      <w:r w:rsidR="00560454" w:rsidRPr="006F3533">
        <w:rPr>
          <w:rFonts w:cs="Times New Roman"/>
          <w:szCs w:val="24"/>
          <w:lang w:val="bg-BG"/>
        </w:rPr>
        <w:t>%</w:t>
      </w:r>
      <w:r w:rsidRPr="006F3533">
        <w:rPr>
          <w:rFonts w:cs="Times New Roman"/>
          <w:szCs w:val="24"/>
          <w:lang w:val="bg-BG"/>
        </w:rPr>
        <w:t xml:space="preserve"> спрямо предходната година. Брутната добавена стойност (БДС) на сектора възлиза на 7 933 млн. лв., или около 3,9</w:t>
      </w:r>
      <w:r w:rsidR="00560454" w:rsidRPr="006F3533">
        <w:rPr>
          <w:rFonts w:cs="Times New Roman"/>
          <w:szCs w:val="24"/>
          <w:lang w:val="bg-BG"/>
        </w:rPr>
        <w:t>%</w:t>
      </w:r>
      <w:r w:rsidRPr="006F3533">
        <w:rPr>
          <w:rFonts w:cs="Times New Roman"/>
          <w:szCs w:val="24"/>
          <w:lang w:val="bg-BG"/>
        </w:rPr>
        <w:t xml:space="preserve"> от БВП, като отчита увеличение с 5,2</w:t>
      </w:r>
      <w:r w:rsidR="00560454" w:rsidRPr="006F3533">
        <w:rPr>
          <w:rFonts w:cs="Times New Roman"/>
          <w:szCs w:val="24"/>
          <w:lang w:val="bg-BG"/>
        </w:rPr>
        <w:t>%</w:t>
      </w:r>
      <w:r w:rsidRPr="006F3533">
        <w:rPr>
          <w:rFonts w:cs="Times New Roman"/>
          <w:szCs w:val="24"/>
          <w:lang w:val="bg-BG"/>
        </w:rPr>
        <w:t xml:space="preserve"> на годишна база. Делът на строителството в общата заетост е приблизително 6,5</w:t>
      </w:r>
      <w:r w:rsidR="00560454" w:rsidRPr="006F3533">
        <w:rPr>
          <w:rFonts w:cs="Times New Roman"/>
          <w:szCs w:val="24"/>
          <w:lang w:val="bg-BG"/>
        </w:rPr>
        <w:t>%</w:t>
      </w:r>
      <w:r w:rsidRPr="006F3533">
        <w:rPr>
          <w:rFonts w:cs="Times New Roman"/>
          <w:szCs w:val="24"/>
          <w:lang w:val="bg-BG"/>
        </w:rPr>
        <w:t>, което подчертава неговото социално и регионално значение</w:t>
      </w:r>
      <w:r w:rsidR="00FE5413" w:rsidRPr="006F3533">
        <w:rPr>
          <w:rFonts w:cs="Times New Roman"/>
          <w:szCs w:val="24"/>
          <w:lang w:val="bg-BG"/>
        </w:rPr>
        <w:t>.</w:t>
      </w:r>
    </w:p>
    <w:p w14:paraId="2C2CCC8E" w14:textId="7BBE8C01" w:rsidR="00681B74" w:rsidRPr="006F3533" w:rsidRDefault="00681B74" w:rsidP="00077D42">
      <w:pPr>
        <w:jc w:val="both"/>
        <w:rPr>
          <w:rFonts w:cs="Times New Roman"/>
          <w:b/>
          <w:bCs/>
          <w:i/>
          <w:iCs/>
          <w:szCs w:val="24"/>
          <w:lang w:val="bg-BG"/>
        </w:rPr>
      </w:pPr>
      <w:r w:rsidRPr="006F3533">
        <w:rPr>
          <w:rFonts w:cs="Times New Roman"/>
          <w:b/>
          <w:bCs/>
          <w:i/>
          <w:iCs/>
          <w:szCs w:val="24"/>
          <w:lang w:val="bg-BG"/>
        </w:rPr>
        <w:t>Структура на строителната продукция</w:t>
      </w:r>
    </w:p>
    <w:p w14:paraId="56FD8A82" w14:textId="0FEB8FF2" w:rsidR="00FE5413" w:rsidRPr="006F3533" w:rsidRDefault="00681B74" w:rsidP="00077D42">
      <w:pPr>
        <w:jc w:val="both"/>
        <w:rPr>
          <w:rFonts w:cs="Times New Roman"/>
          <w:szCs w:val="24"/>
          <w:lang w:val="bg-BG"/>
        </w:rPr>
      </w:pPr>
      <w:r w:rsidRPr="006F3533">
        <w:rPr>
          <w:rFonts w:cs="Times New Roman"/>
          <w:szCs w:val="24"/>
          <w:lang w:val="bg-BG"/>
        </w:rPr>
        <w:t>Секторът се характеризира с относително равномерно разпределение между строителство на сгради и инженерна инфраструктура, като през 2024 г. първият сегмент формира около 52</w:t>
      </w:r>
      <w:r w:rsidR="00560454" w:rsidRPr="006F3533">
        <w:rPr>
          <w:rFonts w:cs="Times New Roman"/>
          <w:szCs w:val="24"/>
          <w:lang w:val="bg-BG"/>
        </w:rPr>
        <w:t>%</w:t>
      </w:r>
      <w:r w:rsidRPr="006F3533">
        <w:rPr>
          <w:rFonts w:cs="Times New Roman"/>
          <w:szCs w:val="24"/>
          <w:lang w:val="bg-BG"/>
        </w:rPr>
        <w:t xml:space="preserve"> от общата продукция. Делът на жилищното строителство продължава да расте, подкрепен от активния пазар на ново строителство и частните инвестиции в големите градове, докато нежилищното строителство се стабилизира около 18–20</w:t>
      </w:r>
      <w:r w:rsidR="00560454" w:rsidRPr="006F3533">
        <w:rPr>
          <w:rFonts w:cs="Times New Roman"/>
          <w:szCs w:val="24"/>
          <w:lang w:val="bg-BG"/>
        </w:rPr>
        <w:t>%</w:t>
      </w:r>
      <w:r w:rsidRPr="006F3533">
        <w:rPr>
          <w:rFonts w:cs="Times New Roman"/>
          <w:szCs w:val="24"/>
          <w:lang w:val="bg-BG"/>
        </w:rPr>
        <w:t xml:space="preserve"> от общия обем.</w:t>
      </w:r>
    </w:p>
    <w:p w14:paraId="3EF63928" w14:textId="5C8593EF" w:rsidR="00FE5413" w:rsidRPr="006F3533" w:rsidRDefault="00681B74" w:rsidP="00077D42">
      <w:pPr>
        <w:jc w:val="both"/>
        <w:rPr>
          <w:rFonts w:cs="Times New Roman"/>
          <w:szCs w:val="24"/>
          <w:lang w:val="bg-BG"/>
        </w:rPr>
      </w:pPr>
      <w:r w:rsidRPr="006F3533">
        <w:rPr>
          <w:rFonts w:cs="Times New Roman"/>
          <w:szCs w:val="24"/>
          <w:lang w:val="bg-BG"/>
        </w:rPr>
        <w:t>Инженерната инфраструктура (пътища, ВиК, енергийни мрежи) заема приблизително 48</w:t>
      </w:r>
      <w:r w:rsidR="00560454" w:rsidRPr="006F3533">
        <w:rPr>
          <w:rFonts w:cs="Times New Roman"/>
          <w:szCs w:val="24"/>
          <w:lang w:val="bg-BG"/>
        </w:rPr>
        <w:t>%</w:t>
      </w:r>
      <w:r w:rsidRPr="006F3533">
        <w:rPr>
          <w:rFonts w:cs="Times New Roman"/>
          <w:szCs w:val="24"/>
          <w:lang w:val="bg-BG"/>
        </w:rPr>
        <w:t>, основно благодарение на публичните инвестиции по оперативни програми и национални планове за възстановяване.</w:t>
      </w:r>
    </w:p>
    <w:p w14:paraId="4DB035EE" w14:textId="334025C8" w:rsidR="00681B74" w:rsidRPr="006F3533" w:rsidRDefault="00681B74" w:rsidP="00077D42">
      <w:pPr>
        <w:jc w:val="both"/>
        <w:rPr>
          <w:rFonts w:cs="Times New Roman"/>
          <w:szCs w:val="24"/>
          <w:lang w:val="bg-BG"/>
        </w:rPr>
      </w:pPr>
      <w:r w:rsidRPr="006F3533">
        <w:rPr>
          <w:rFonts w:cs="Times New Roman"/>
          <w:szCs w:val="24"/>
          <w:lang w:val="bg-BG"/>
        </w:rPr>
        <w:lastRenderedPageBreak/>
        <w:t xml:space="preserve">Специализираните строителни дейности – като монтажни и изолационни работи, инсталации, фасадни и покривни решения – бележат устойчив ръст, свързан с повишеното търсене на </w:t>
      </w:r>
      <w:proofErr w:type="spellStart"/>
      <w:r w:rsidRPr="006F3533">
        <w:rPr>
          <w:rFonts w:cs="Times New Roman"/>
          <w:szCs w:val="24"/>
          <w:lang w:val="bg-BG"/>
        </w:rPr>
        <w:t>енергийноефективни</w:t>
      </w:r>
      <w:proofErr w:type="spellEnd"/>
      <w:r w:rsidRPr="006F3533">
        <w:rPr>
          <w:rFonts w:cs="Times New Roman"/>
          <w:szCs w:val="24"/>
          <w:lang w:val="bg-BG"/>
        </w:rPr>
        <w:t xml:space="preserve"> услуги и сградни реновации</w:t>
      </w:r>
    </w:p>
    <w:p w14:paraId="7C11DD33" w14:textId="1921643C" w:rsidR="00681B74" w:rsidRPr="006F3533" w:rsidRDefault="00681B74" w:rsidP="00077D42">
      <w:pPr>
        <w:jc w:val="both"/>
        <w:rPr>
          <w:rFonts w:cs="Times New Roman"/>
          <w:b/>
          <w:bCs/>
          <w:i/>
          <w:iCs/>
          <w:szCs w:val="24"/>
          <w:lang w:val="bg-BG"/>
        </w:rPr>
      </w:pPr>
      <w:r w:rsidRPr="006F3533">
        <w:rPr>
          <w:rFonts w:cs="Times New Roman"/>
          <w:b/>
          <w:bCs/>
          <w:i/>
          <w:iCs/>
          <w:szCs w:val="24"/>
          <w:lang w:val="bg-BG"/>
        </w:rPr>
        <w:t>Структура на предприятията и пазарна концентрация</w:t>
      </w:r>
    </w:p>
    <w:p w14:paraId="545FE363" w14:textId="285CEB8E" w:rsidR="00681B74" w:rsidRPr="006F3533" w:rsidRDefault="00681B74" w:rsidP="00077D42">
      <w:pPr>
        <w:jc w:val="both"/>
        <w:rPr>
          <w:rFonts w:cs="Times New Roman"/>
          <w:szCs w:val="24"/>
          <w:lang w:val="bg-BG"/>
        </w:rPr>
      </w:pPr>
      <w:r w:rsidRPr="006F3533">
        <w:rPr>
          <w:rFonts w:cs="Times New Roman"/>
          <w:szCs w:val="24"/>
          <w:lang w:val="bg-BG"/>
        </w:rPr>
        <w:t>Строителният сектор е доминиран от малки и средни предприятия (МСП), които представляват над 95</w:t>
      </w:r>
      <w:r w:rsidR="00560454" w:rsidRPr="006F3533">
        <w:rPr>
          <w:rFonts w:cs="Times New Roman"/>
          <w:szCs w:val="24"/>
          <w:lang w:val="bg-BG"/>
        </w:rPr>
        <w:t>%</w:t>
      </w:r>
      <w:r w:rsidRPr="006F3533">
        <w:rPr>
          <w:rFonts w:cs="Times New Roman"/>
          <w:szCs w:val="24"/>
          <w:lang w:val="bg-BG"/>
        </w:rPr>
        <w:t xml:space="preserve"> от регистрираните компании. От общо около 6 000 активни строителни предприятия, повече от 4 000 са микрофирми с до 10 заети лица, а само около 200 компании имат персонал над 250 души. Концентрацията на големи предприятия се наблюдава основно в пътното и инфраструктурното строителство, докато сградното строителство се характеризира с висока степен на фрагментация и локален пазарен характер</w:t>
      </w:r>
      <w:r w:rsidR="00FE5413" w:rsidRPr="006F3533">
        <w:rPr>
          <w:rFonts w:cs="Times New Roman"/>
          <w:szCs w:val="24"/>
          <w:lang w:val="bg-BG"/>
        </w:rPr>
        <w:t>.</w:t>
      </w:r>
    </w:p>
    <w:p w14:paraId="7DA34286" w14:textId="77777777" w:rsidR="00681B74" w:rsidRPr="006F3533" w:rsidRDefault="00681B74" w:rsidP="00077D42">
      <w:pPr>
        <w:jc w:val="both"/>
        <w:rPr>
          <w:rFonts w:cs="Times New Roman"/>
          <w:szCs w:val="24"/>
          <w:lang w:val="bg-BG"/>
        </w:rPr>
      </w:pPr>
      <w:r w:rsidRPr="006F3533">
        <w:rPr>
          <w:rFonts w:cs="Times New Roman"/>
          <w:szCs w:val="24"/>
          <w:lang w:val="bg-BG"/>
        </w:rPr>
        <w:t>Тази структура, макар и типична за сектора в целия ЕС, обективно ограничава капацитета за изпълнение на мащабни програми за обновяване и възпрепятства внедряването на иновативни технологии, особено в по-малките населени места, където доминират микро-предприятия с ограничен достъп до финансиране и квалифицирани кадри.</w:t>
      </w:r>
    </w:p>
    <w:p w14:paraId="7B3C0EA7" w14:textId="387D3490" w:rsidR="00681B74" w:rsidRPr="006F3533" w:rsidRDefault="00681B74" w:rsidP="00077D42">
      <w:pPr>
        <w:jc w:val="both"/>
        <w:rPr>
          <w:rFonts w:cs="Times New Roman"/>
          <w:b/>
          <w:bCs/>
          <w:i/>
          <w:iCs/>
          <w:szCs w:val="24"/>
          <w:lang w:val="bg-BG"/>
        </w:rPr>
      </w:pPr>
      <w:r w:rsidRPr="006F3533">
        <w:rPr>
          <w:rFonts w:cs="Times New Roman"/>
          <w:b/>
          <w:bCs/>
          <w:i/>
          <w:iCs/>
          <w:szCs w:val="24"/>
          <w:lang w:val="bg-BG"/>
        </w:rPr>
        <w:t>Макроикономически тенденции и предизвикателства</w:t>
      </w:r>
    </w:p>
    <w:p w14:paraId="4A0B2629" w14:textId="25361A48" w:rsidR="00681B74" w:rsidRPr="006F3533" w:rsidRDefault="00681B74">
      <w:pPr>
        <w:numPr>
          <w:ilvl w:val="0"/>
          <w:numId w:val="15"/>
        </w:numPr>
        <w:spacing w:line="276" w:lineRule="auto"/>
        <w:jc w:val="both"/>
        <w:rPr>
          <w:rFonts w:cs="Times New Roman"/>
          <w:szCs w:val="24"/>
          <w:lang w:val="bg-BG"/>
        </w:rPr>
      </w:pPr>
      <w:r w:rsidRPr="006F3533">
        <w:rPr>
          <w:rFonts w:cs="Times New Roman"/>
          <w:b/>
          <w:bCs/>
          <w:szCs w:val="24"/>
          <w:lang w:val="bg-BG"/>
        </w:rPr>
        <w:t>Растеж на строителната активност:</w:t>
      </w:r>
      <w:r w:rsidRPr="006F3533">
        <w:rPr>
          <w:rFonts w:cs="Times New Roman"/>
          <w:szCs w:val="24"/>
          <w:lang w:val="bg-BG"/>
        </w:rPr>
        <w:t xml:space="preserve"> устойчиво увеличение на производството през последните три години (+3,9</w:t>
      </w:r>
      <w:r w:rsidR="00560454" w:rsidRPr="006F3533">
        <w:rPr>
          <w:rFonts w:cs="Times New Roman"/>
          <w:szCs w:val="24"/>
          <w:lang w:val="bg-BG"/>
        </w:rPr>
        <w:t>%</w:t>
      </w:r>
      <w:r w:rsidRPr="006F3533">
        <w:rPr>
          <w:rFonts w:cs="Times New Roman"/>
          <w:szCs w:val="24"/>
          <w:lang w:val="bg-BG"/>
        </w:rPr>
        <w:t xml:space="preserve"> за 2024 г.), подкрепено от публични инвестиции и повишено вътрешно търсене.</w:t>
      </w:r>
    </w:p>
    <w:p w14:paraId="28C3D8B9" w14:textId="77777777" w:rsidR="00681B74" w:rsidRPr="006F3533" w:rsidRDefault="00681B74">
      <w:pPr>
        <w:numPr>
          <w:ilvl w:val="0"/>
          <w:numId w:val="15"/>
        </w:numPr>
        <w:spacing w:line="276" w:lineRule="auto"/>
        <w:jc w:val="both"/>
        <w:rPr>
          <w:rFonts w:cs="Times New Roman"/>
          <w:szCs w:val="24"/>
          <w:lang w:val="bg-BG"/>
        </w:rPr>
      </w:pPr>
      <w:r w:rsidRPr="006F3533">
        <w:rPr>
          <w:rFonts w:cs="Times New Roman"/>
          <w:b/>
          <w:bCs/>
          <w:szCs w:val="24"/>
          <w:lang w:val="bg-BG"/>
        </w:rPr>
        <w:t>Повишаване на разходите:</w:t>
      </w:r>
      <w:r w:rsidRPr="006F3533">
        <w:rPr>
          <w:rFonts w:cs="Times New Roman"/>
          <w:szCs w:val="24"/>
          <w:lang w:val="bg-BG"/>
        </w:rPr>
        <w:t xml:space="preserve"> значителен натиск върху цените на строителните материали и труда, особено при изолационни системи, стомана и бетон, което води до по-високи цени на сградното строителство и ограничена предвидимост за инвеститорите.</w:t>
      </w:r>
    </w:p>
    <w:p w14:paraId="7C5E0546" w14:textId="77777777" w:rsidR="00681B74" w:rsidRPr="006F3533" w:rsidRDefault="00681B74">
      <w:pPr>
        <w:numPr>
          <w:ilvl w:val="0"/>
          <w:numId w:val="15"/>
        </w:numPr>
        <w:spacing w:line="276" w:lineRule="auto"/>
        <w:jc w:val="both"/>
        <w:rPr>
          <w:rFonts w:cs="Times New Roman"/>
          <w:szCs w:val="24"/>
          <w:lang w:val="bg-BG"/>
        </w:rPr>
      </w:pPr>
      <w:r w:rsidRPr="006F3533">
        <w:rPr>
          <w:rFonts w:cs="Times New Roman"/>
          <w:b/>
          <w:bCs/>
          <w:szCs w:val="24"/>
          <w:lang w:val="bg-BG"/>
        </w:rPr>
        <w:t>Недостиг на кадри:</w:t>
      </w:r>
      <w:r w:rsidRPr="006F3533">
        <w:rPr>
          <w:rFonts w:cs="Times New Roman"/>
          <w:szCs w:val="24"/>
          <w:lang w:val="bg-BG"/>
        </w:rPr>
        <w:t xml:space="preserve"> високата заетост и миграционните процеси ограничават трудовия ресурс, като допълнителен фактор за растящите разходи.</w:t>
      </w:r>
    </w:p>
    <w:p w14:paraId="3DFD46FD" w14:textId="0262D7ED" w:rsidR="00681B74" w:rsidRPr="006F3533" w:rsidRDefault="00681B74">
      <w:pPr>
        <w:numPr>
          <w:ilvl w:val="0"/>
          <w:numId w:val="15"/>
        </w:numPr>
        <w:spacing w:line="276" w:lineRule="auto"/>
        <w:jc w:val="both"/>
        <w:rPr>
          <w:rFonts w:cs="Times New Roman"/>
          <w:szCs w:val="24"/>
          <w:lang w:val="bg-BG"/>
        </w:rPr>
      </w:pPr>
      <w:r w:rsidRPr="006F3533">
        <w:rPr>
          <w:rFonts w:cs="Times New Roman"/>
          <w:b/>
          <w:bCs/>
          <w:szCs w:val="24"/>
          <w:lang w:val="bg-BG"/>
        </w:rPr>
        <w:t>Инвестиционна зависимост от публични програми:</w:t>
      </w:r>
      <w:r w:rsidRPr="006F3533">
        <w:rPr>
          <w:rFonts w:cs="Times New Roman"/>
          <w:szCs w:val="24"/>
          <w:lang w:val="bg-BG"/>
        </w:rPr>
        <w:t xml:space="preserve"> над 60</w:t>
      </w:r>
      <w:r w:rsidR="00560454" w:rsidRPr="006F3533">
        <w:rPr>
          <w:rFonts w:cs="Times New Roman"/>
          <w:szCs w:val="24"/>
          <w:lang w:val="bg-BG"/>
        </w:rPr>
        <w:t>%</w:t>
      </w:r>
      <w:r w:rsidRPr="006F3533">
        <w:rPr>
          <w:rFonts w:cs="Times New Roman"/>
          <w:szCs w:val="24"/>
          <w:lang w:val="bg-BG"/>
        </w:rPr>
        <w:t xml:space="preserve"> от оборота на сектора произтича пряко или косвено от публични инвестиции, което го прави уязвим към забавяния в изпълнението на европейски и национални проекти.</w:t>
      </w:r>
      <w:r w:rsidRPr="006F3533">
        <w:rPr>
          <w:rStyle w:val="FootnoteReference"/>
          <w:rFonts w:cs="Times New Roman"/>
          <w:szCs w:val="24"/>
          <w:lang w:val="bg-BG"/>
        </w:rPr>
        <w:footnoteReference w:id="37"/>
      </w:r>
    </w:p>
    <w:p w14:paraId="38993BCA" w14:textId="65E17AAB" w:rsidR="00681B74" w:rsidRPr="006F3533" w:rsidRDefault="00681B74">
      <w:pPr>
        <w:numPr>
          <w:ilvl w:val="0"/>
          <w:numId w:val="15"/>
        </w:numPr>
        <w:spacing w:line="276" w:lineRule="auto"/>
        <w:jc w:val="both"/>
        <w:rPr>
          <w:rFonts w:cs="Times New Roman"/>
          <w:szCs w:val="24"/>
          <w:lang w:val="bg-BG"/>
        </w:rPr>
      </w:pPr>
      <w:r w:rsidRPr="006F3533">
        <w:rPr>
          <w:rFonts w:cs="Times New Roman"/>
          <w:b/>
          <w:bCs/>
          <w:szCs w:val="24"/>
          <w:lang w:val="bg-BG"/>
        </w:rPr>
        <w:t>Необходимост от технологична трансформация:</w:t>
      </w:r>
      <w:r w:rsidRPr="006F3533">
        <w:rPr>
          <w:rFonts w:cs="Times New Roman"/>
          <w:szCs w:val="24"/>
          <w:lang w:val="bg-BG"/>
        </w:rPr>
        <w:t xml:space="preserve"> дигитализацията и индустриализираното строителство навлизат бавно; делът на фирмите, прилагащи BIM или други цифрови инструменти, остава под 10</w:t>
      </w:r>
      <w:r w:rsidR="00560454" w:rsidRPr="006F3533">
        <w:rPr>
          <w:rFonts w:cs="Times New Roman"/>
          <w:szCs w:val="24"/>
          <w:lang w:val="bg-BG"/>
        </w:rPr>
        <w:t>%</w:t>
      </w:r>
      <w:r w:rsidRPr="006F3533">
        <w:rPr>
          <w:rFonts w:cs="Times New Roman"/>
          <w:szCs w:val="24"/>
          <w:lang w:val="bg-BG"/>
        </w:rPr>
        <w:t>, главно сред големите компании</w:t>
      </w:r>
      <w:r w:rsidRPr="006F3533">
        <w:rPr>
          <w:rStyle w:val="FootnoteReference"/>
          <w:rFonts w:cs="Times New Roman"/>
          <w:szCs w:val="24"/>
          <w:lang w:val="bg-BG"/>
        </w:rPr>
        <w:footnoteReference w:id="38"/>
      </w:r>
    </w:p>
    <w:p w14:paraId="69979317" w14:textId="77777777" w:rsidR="00681B74" w:rsidRPr="006F3533" w:rsidRDefault="00681B74" w:rsidP="00077D42">
      <w:pPr>
        <w:jc w:val="both"/>
        <w:rPr>
          <w:rFonts w:cs="Times New Roman"/>
          <w:szCs w:val="24"/>
          <w:lang w:val="bg-BG"/>
        </w:rPr>
      </w:pPr>
      <w:r w:rsidRPr="006F3533">
        <w:rPr>
          <w:rFonts w:cs="Times New Roman"/>
          <w:szCs w:val="24"/>
          <w:lang w:val="bg-BG"/>
        </w:rPr>
        <w:lastRenderedPageBreak/>
        <w:t>В обобщение, секторът разполага с добър икономически потенциал и стабилен ръст, но ограничен производствен и организационен капацитет за реализиране на ускорена програма за обновяване на сградите. Основните предизвикателства произтичат от структура на предприятията (преобладаващ дял на микропредприятията), нарастващите производствени разходи и недостига на квалифицирана работна сила, които в комбинация могат да се превърнат в лимитиращи фактори за постигането на целите на Националния план за сградно обновяване.</w:t>
      </w:r>
    </w:p>
    <w:p w14:paraId="76F2C9F8" w14:textId="66BC1314" w:rsidR="00681B74" w:rsidRPr="006F3533" w:rsidRDefault="00681B74" w:rsidP="00077D42">
      <w:pPr>
        <w:pStyle w:val="Heading2"/>
        <w:jc w:val="both"/>
        <w:rPr>
          <w:lang w:val="bg-BG"/>
        </w:rPr>
      </w:pPr>
      <w:bookmarkStart w:id="149" w:name="_Toc216857787"/>
      <w:bookmarkStart w:id="150" w:name="_Toc217888796"/>
      <w:r w:rsidRPr="006F3533">
        <w:rPr>
          <w:lang w:val="bg-BG"/>
        </w:rPr>
        <w:t>Работна сила и човешки ресурси</w:t>
      </w:r>
      <w:bookmarkEnd w:id="149"/>
      <w:bookmarkEnd w:id="150"/>
    </w:p>
    <w:p w14:paraId="5B3B2F85" w14:textId="1EAA501C" w:rsidR="00681B74" w:rsidRPr="006F3533" w:rsidRDefault="00681B74" w:rsidP="00077D42">
      <w:pPr>
        <w:jc w:val="both"/>
        <w:rPr>
          <w:rFonts w:cs="Times New Roman"/>
          <w:b/>
          <w:bCs/>
          <w:i/>
          <w:iCs/>
          <w:szCs w:val="24"/>
          <w:lang w:val="bg-BG"/>
        </w:rPr>
      </w:pPr>
      <w:r w:rsidRPr="006F3533">
        <w:rPr>
          <w:rFonts w:cs="Times New Roman"/>
          <w:b/>
          <w:bCs/>
          <w:i/>
          <w:iCs/>
          <w:szCs w:val="24"/>
          <w:lang w:val="bg-BG"/>
        </w:rPr>
        <w:t>Наличност и структура</w:t>
      </w:r>
    </w:p>
    <w:p w14:paraId="089AE80C" w14:textId="77777777" w:rsidR="00681B74" w:rsidRPr="006F3533" w:rsidRDefault="00681B74" w:rsidP="00077D42">
      <w:pPr>
        <w:jc w:val="both"/>
        <w:rPr>
          <w:rFonts w:cs="Times New Roman"/>
          <w:szCs w:val="24"/>
          <w:lang w:val="bg-BG"/>
        </w:rPr>
      </w:pPr>
      <w:r w:rsidRPr="006F3533">
        <w:rPr>
          <w:rFonts w:cs="Times New Roman"/>
          <w:szCs w:val="24"/>
          <w:lang w:val="bg-BG"/>
        </w:rPr>
        <w:t xml:space="preserve">Строителният сектор в България е сред най-големите работодатели в реалната икономика, като осигурява заетост за около 198 200 души през 2022 г. и се очаква до 2030 г. броят на заетите да достигне приблизително 249 500 души, според прогнозите на BUILD UP </w:t>
      </w:r>
      <w:proofErr w:type="spellStart"/>
      <w:r w:rsidRPr="006F3533">
        <w:rPr>
          <w:rFonts w:cs="Times New Roman"/>
          <w:szCs w:val="24"/>
          <w:lang w:val="bg-BG"/>
        </w:rPr>
        <w:t>Skills</w:t>
      </w:r>
      <w:proofErr w:type="spellEnd"/>
      <w:r w:rsidRPr="006F3533">
        <w:rPr>
          <w:rFonts w:cs="Times New Roman"/>
          <w:szCs w:val="24"/>
          <w:lang w:val="bg-BG"/>
        </w:rPr>
        <w:t xml:space="preserve"> </w:t>
      </w:r>
      <w:proofErr w:type="spellStart"/>
      <w:r w:rsidRPr="006F3533">
        <w:rPr>
          <w:rFonts w:cs="Times New Roman"/>
          <w:szCs w:val="24"/>
          <w:lang w:val="bg-BG"/>
        </w:rPr>
        <w:t>Bulgaria</w:t>
      </w:r>
      <w:proofErr w:type="spellEnd"/>
      <w:r w:rsidRPr="006F3533">
        <w:rPr>
          <w:rFonts w:cs="Times New Roman"/>
          <w:szCs w:val="24"/>
          <w:lang w:val="bg-BG"/>
        </w:rPr>
        <w:t xml:space="preserve"> 2030 – Национална пътна карта за развитие на уменията в строителния сектор до 2030 г. (</w:t>
      </w:r>
      <w:proofErr w:type="spellStart"/>
      <w:r w:rsidRPr="006F3533">
        <w:rPr>
          <w:rFonts w:cs="Times New Roman"/>
          <w:szCs w:val="24"/>
          <w:lang w:val="bg-BG"/>
        </w:rPr>
        <w:t>ЕнЕфект</w:t>
      </w:r>
      <w:proofErr w:type="spellEnd"/>
      <w:r w:rsidRPr="006F3533">
        <w:rPr>
          <w:rFonts w:cs="Times New Roman"/>
          <w:szCs w:val="24"/>
          <w:lang w:val="bg-BG"/>
        </w:rPr>
        <w:t>, КСБ, АУЕР, НАПОО, БАИС, 2022). Това желано увеличение с най-малко 25% отразява както необходимостта от компенсиране на предстоящите пенсионирания, така и растящото търсене на квалифицирани специалисти в контекста на засилващите се програми за сградно обновяване и въвеждането на енергийно ефективни и ВЕИ технологии.</w:t>
      </w:r>
    </w:p>
    <w:p w14:paraId="39C4C8F6" w14:textId="50B974BE" w:rsidR="00681B74" w:rsidRPr="006F3533" w:rsidRDefault="00681B74" w:rsidP="00077D42">
      <w:pPr>
        <w:jc w:val="both"/>
        <w:rPr>
          <w:rFonts w:cs="Times New Roman"/>
          <w:szCs w:val="24"/>
          <w:lang w:val="bg-BG"/>
        </w:rPr>
      </w:pPr>
      <w:r w:rsidRPr="006F3533">
        <w:rPr>
          <w:rFonts w:cs="Times New Roman"/>
          <w:szCs w:val="24"/>
          <w:lang w:val="bg-BG"/>
        </w:rPr>
        <w:t>Според данните на Националния статистически институт (НСИ) и КСБ, около 87</w:t>
      </w:r>
      <w:r w:rsidR="00560454" w:rsidRPr="006F3533">
        <w:rPr>
          <w:rFonts w:cs="Times New Roman"/>
          <w:szCs w:val="24"/>
          <w:lang w:val="bg-BG"/>
        </w:rPr>
        <w:t>%</w:t>
      </w:r>
      <w:r w:rsidRPr="006F3533">
        <w:rPr>
          <w:rFonts w:cs="Times New Roman"/>
          <w:szCs w:val="24"/>
          <w:lang w:val="bg-BG"/>
        </w:rPr>
        <w:t xml:space="preserve"> от заетите в сектора са наети в малки и средни предприятия, което определя структурата му като силно фрагментирана и трудоемка. Разпределението по квалификационно равнище показва, че над 70</w:t>
      </w:r>
      <w:r w:rsidR="00560454" w:rsidRPr="006F3533">
        <w:rPr>
          <w:rFonts w:cs="Times New Roman"/>
          <w:szCs w:val="24"/>
          <w:lang w:val="bg-BG"/>
        </w:rPr>
        <w:t>%</w:t>
      </w:r>
      <w:r w:rsidRPr="006F3533">
        <w:rPr>
          <w:rFonts w:cs="Times New Roman"/>
          <w:szCs w:val="24"/>
          <w:lang w:val="bg-BG"/>
        </w:rPr>
        <w:t xml:space="preserve"> от работната сила има средно или по-ниско образование, докато висшистите (инженери, архитекти, технолози) представляват приблизително 10–12</w:t>
      </w:r>
      <w:r w:rsidR="00560454" w:rsidRPr="006F3533">
        <w:rPr>
          <w:rFonts w:cs="Times New Roman"/>
          <w:szCs w:val="24"/>
          <w:lang w:val="bg-BG"/>
        </w:rPr>
        <w:t>%</w:t>
      </w:r>
      <w:r w:rsidRPr="006F3533">
        <w:rPr>
          <w:rFonts w:cs="Times New Roman"/>
          <w:szCs w:val="24"/>
          <w:lang w:val="bg-BG"/>
        </w:rPr>
        <w:t xml:space="preserve"> от общия брой заети</w:t>
      </w:r>
    </w:p>
    <w:p w14:paraId="4D5E4C79" w14:textId="757438BF" w:rsidR="00681B74" w:rsidRPr="006F3533" w:rsidRDefault="00681B74" w:rsidP="00077D42">
      <w:pPr>
        <w:jc w:val="both"/>
        <w:rPr>
          <w:rFonts w:cs="Times New Roman"/>
          <w:szCs w:val="24"/>
          <w:lang w:val="bg-BG"/>
        </w:rPr>
      </w:pPr>
      <w:r w:rsidRPr="006F3533">
        <w:rPr>
          <w:rFonts w:cs="Times New Roman"/>
          <w:szCs w:val="24"/>
          <w:lang w:val="bg-BG"/>
        </w:rPr>
        <w:t>Възрастовата структура на сектора потвърждава тенденция към застаряване: близо 30</w:t>
      </w:r>
      <w:r w:rsidR="00560454" w:rsidRPr="006F3533">
        <w:rPr>
          <w:rFonts w:cs="Times New Roman"/>
          <w:szCs w:val="24"/>
          <w:lang w:val="bg-BG"/>
        </w:rPr>
        <w:t>%</w:t>
      </w:r>
      <w:r w:rsidRPr="006F3533">
        <w:rPr>
          <w:rFonts w:cs="Times New Roman"/>
          <w:szCs w:val="24"/>
          <w:lang w:val="bg-BG"/>
        </w:rPr>
        <w:t xml:space="preserve"> от работещите са над 55 години, докато делът на младите под 35 години намалява трайно, особено при техническите специалности.</w:t>
      </w:r>
      <w:r w:rsidRPr="006F3533">
        <w:rPr>
          <w:rStyle w:val="FootnoteReference"/>
          <w:rFonts w:cs="Times New Roman"/>
          <w:szCs w:val="24"/>
          <w:lang w:val="bg-BG"/>
        </w:rPr>
        <w:footnoteReference w:id="39"/>
      </w:r>
      <w:r w:rsidRPr="006F3533">
        <w:rPr>
          <w:rFonts w:cs="Times New Roman"/>
          <w:szCs w:val="24"/>
          <w:lang w:val="bg-BG"/>
        </w:rPr>
        <w:t xml:space="preserve"> Според Национална пътна карта за развитие на уменията в строителния сектор до 2030 г., ако не се предприемат системни мерки за привличане на млади кадри, до 2030 г. около 25 000 квалифицирани специалисти ще напуснат пазара на труда поради пенсиониране.</w:t>
      </w:r>
      <w:r w:rsidRPr="006F3533">
        <w:rPr>
          <w:rStyle w:val="FootnoteReference"/>
          <w:rFonts w:cs="Times New Roman"/>
          <w:szCs w:val="24"/>
          <w:lang w:val="bg-BG"/>
        </w:rPr>
        <w:footnoteReference w:id="40"/>
      </w:r>
    </w:p>
    <w:p w14:paraId="35A8A642" w14:textId="77777777" w:rsidR="00681B74" w:rsidRPr="006F3533" w:rsidRDefault="00681B74" w:rsidP="00077D42">
      <w:pPr>
        <w:jc w:val="both"/>
        <w:rPr>
          <w:rFonts w:cs="Times New Roman"/>
          <w:szCs w:val="24"/>
          <w:lang w:val="bg-BG"/>
        </w:rPr>
      </w:pPr>
      <w:r w:rsidRPr="006F3533">
        <w:rPr>
          <w:rFonts w:cs="Times New Roman"/>
          <w:szCs w:val="24"/>
          <w:lang w:val="bg-BG"/>
        </w:rPr>
        <w:t>Професиите с най-голям недостиг на квалифицирани кадри включват:</w:t>
      </w:r>
    </w:p>
    <w:p w14:paraId="21FF05D3" w14:textId="77777777" w:rsidR="00681B74" w:rsidRPr="006F3533" w:rsidRDefault="00681B74">
      <w:pPr>
        <w:pStyle w:val="ListParagraph"/>
        <w:numPr>
          <w:ilvl w:val="0"/>
          <w:numId w:val="16"/>
        </w:numPr>
        <w:spacing w:line="276" w:lineRule="auto"/>
        <w:jc w:val="both"/>
        <w:rPr>
          <w:rFonts w:cs="Times New Roman"/>
          <w:szCs w:val="24"/>
          <w:lang w:val="bg-BG"/>
        </w:rPr>
      </w:pPr>
      <w:r w:rsidRPr="006F3533">
        <w:rPr>
          <w:rFonts w:cs="Times New Roman"/>
          <w:b/>
          <w:bCs/>
          <w:szCs w:val="24"/>
          <w:lang w:val="bg-BG"/>
        </w:rPr>
        <w:t>специалисти по фасадни и изолационни системи</w:t>
      </w:r>
      <w:r w:rsidRPr="006F3533">
        <w:rPr>
          <w:rFonts w:cs="Times New Roman"/>
          <w:szCs w:val="24"/>
          <w:lang w:val="bg-BG"/>
        </w:rPr>
        <w:t>, особено при изпълнение на сградно обновяване и прилагане на високоефективни топлоизолационни решения;</w:t>
      </w:r>
    </w:p>
    <w:p w14:paraId="4F8F2CF1" w14:textId="77777777" w:rsidR="00681B74" w:rsidRPr="006F3533" w:rsidRDefault="00681B74">
      <w:pPr>
        <w:pStyle w:val="ListParagraph"/>
        <w:numPr>
          <w:ilvl w:val="0"/>
          <w:numId w:val="16"/>
        </w:numPr>
        <w:spacing w:line="276" w:lineRule="auto"/>
        <w:jc w:val="both"/>
        <w:rPr>
          <w:rFonts w:cs="Times New Roman"/>
          <w:szCs w:val="24"/>
          <w:lang w:val="bg-BG"/>
        </w:rPr>
      </w:pPr>
      <w:r w:rsidRPr="006F3533">
        <w:rPr>
          <w:rFonts w:cs="Times New Roman"/>
          <w:b/>
          <w:bCs/>
          <w:szCs w:val="24"/>
          <w:lang w:val="bg-BG"/>
        </w:rPr>
        <w:t>монтажници на отоплителни, вентилационни и климатични системи (ОВК)</w:t>
      </w:r>
      <w:r w:rsidRPr="006F3533">
        <w:rPr>
          <w:rFonts w:cs="Times New Roman"/>
          <w:szCs w:val="24"/>
          <w:lang w:val="bg-BG"/>
        </w:rPr>
        <w:t>, поради нарастващото търсене на модерни сградни инсталации и системи за управление на микроклимата;</w:t>
      </w:r>
    </w:p>
    <w:p w14:paraId="42BC09B8" w14:textId="77777777" w:rsidR="00681B74" w:rsidRPr="006F3533" w:rsidRDefault="00681B74">
      <w:pPr>
        <w:pStyle w:val="ListParagraph"/>
        <w:numPr>
          <w:ilvl w:val="0"/>
          <w:numId w:val="16"/>
        </w:numPr>
        <w:spacing w:line="276" w:lineRule="auto"/>
        <w:jc w:val="both"/>
        <w:rPr>
          <w:rFonts w:cs="Times New Roman"/>
          <w:szCs w:val="24"/>
          <w:lang w:val="bg-BG"/>
        </w:rPr>
      </w:pPr>
      <w:r w:rsidRPr="006F3533">
        <w:rPr>
          <w:rFonts w:cs="Times New Roman"/>
          <w:b/>
          <w:bCs/>
          <w:szCs w:val="24"/>
          <w:lang w:val="bg-BG"/>
        </w:rPr>
        <w:lastRenderedPageBreak/>
        <w:t>инсталатори на възобновяеми енергийни системи (ВЕИ)</w:t>
      </w:r>
      <w:r w:rsidRPr="006F3533">
        <w:rPr>
          <w:rFonts w:cs="Times New Roman"/>
          <w:szCs w:val="24"/>
          <w:lang w:val="bg-BG"/>
        </w:rPr>
        <w:t xml:space="preserve"> – фотоволтаични, слънчево-топлинни и </w:t>
      </w:r>
      <w:proofErr w:type="spellStart"/>
      <w:r w:rsidRPr="006F3533">
        <w:rPr>
          <w:rFonts w:cs="Times New Roman"/>
          <w:szCs w:val="24"/>
          <w:lang w:val="bg-BG"/>
        </w:rPr>
        <w:t>термопомпени</w:t>
      </w:r>
      <w:proofErr w:type="spellEnd"/>
      <w:r w:rsidRPr="006F3533">
        <w:rPr>
          <w:rFonts w:cs="Times New Roman"/>
          <w:szCs w:val="24"/>
          <w:lang w:val="bg-BG"/>
        </w:rPr>
        <w:t xml:space="preserve"> решения, чийто пазарен дял расте ускорено;</w:t>
      </w:r>
    </w:p>
    <w:p w14:paraId="42CDAE76" w14:textId="77777777" w:rsidR="00681B74" w:rsidRPr="006F3533" w:rsidRDefault="00681B74">
      <w:pPr>
        <w:pStyle w:val="ListParagraph"/>
        <w:numPr>
          <w:ilvl w:val="0"/>
          <w:numId w:val="16"/>
        </w:numPr>
        <w:spacing w:line="276" w:lineRule="auto"/>
        <w:jc w:val="both"/>
        <w:rPr>
          <w:rFonts w:cs="Times New Roman"/>
          <w:szCs w:val="24"/>
          <w:lang w:val="bg-BG"/>
        </w:rPr>
      </w:pPr>
      <w:r w:rsidRPr="006F3533">
        <w:rPr>
          <w:rFonts w:cs="Times New Roman"/>
          <w:b/>
          <w:bCs/>
          <w:szCs w:val="24"/>
          <w:lang w:val="bg-BG"/>
        </w:rPr>
        <w:t>техници по сградна автоматизация и управление на енергопотреблението</w:t>
      </w:r>
      <w:r w:rsidRPr="006F3533">
        <w:rPr>
          <w:rFonts w:cs="Times New Roman"/>
          <w:szCs w:val="24"/>
          <w:lang w:val="bg-BG"/>
        </w:rPr>
        <w:t>, необходими за внедряване на интелигентни системи за мониторинг и контрол;</w:t>
      </w:r>
    </w:p>
    <w:p w14:paraId="67AABDCE" w14:textId="77777777" w:rsidR="00681B74" w:rsidRPr="006F3533" w:rsidRDefault="00681B74">
      <w:pPr>
        <w:pStyle w:val="ListParagraph"/>
        <w:numPr>
          <w:ilvl w:val="0"/>
          <w:numId w:val="16"/>
        </w:numPr>
        <w:spacing w:line="276" w:lineRule="auto"/>
        <w:jc w:val="both"/>
        <w:rPr>
          <w:rFonts w:cs="Times New Roman"/>
          <w:szCs w:val="24"/>
          <w:lang w:val="bg-BG"/>
        </w:rPr>
      </w:pPr>
      <w:r w:rsidRPr="006F3533">
        <w:rPr>
          <w:rFonts w:cs="Times New Roman"/>
          <w:b/>
          <w:bCs/>
          <w:szCs w:val="24"/>
          <w:lang w:val="bg-BG"/>
        </w:rPr>
        <w:t>енергийни консултанти</w:t>
      </w:r>
      <w:r w:rsidRPr="006F3533">
        <w:rPr>
          <w:rFonts w:cs="Times New Roman"/>
          <w:szCs w:val="24"/>
          <w:lang w:val="bg-BG"/>
        </w:rPr>
        <w:t xml:space="preserve"> – въпреки че броят на сертифицираните енергийни одитори нарасна през последните години, все още е налице ограничен капацитет от експерти, които да предоставят интегрирани консултантски услуги към домакинствата и бизнеса при подготовката и реализацията на проекти за сградно обновяване (напр. за оперирането на Центрове за комплексно обслужване).</w:t>
      </w:r>
    </w:p>
    <w:p w14:paraId="1C4078FB" w14:textId="77777777" w:rsidR="00681B74" w:rsidRPr="006F3533" w:rsidRDefault="00681B74" w:rsidP="00077D42">
      <w:pPr>
        <w:jc w:val="both"/>
        <w:rPr>
          <w:rFonts w:cs="Times New Roman"/>
          <w:szCs w:val="24"/>
          <w:lang w:val="bg-BG"/>
        </w:rPr>
      </w:pPr>
      <w:r w:rsidRPr="006F3533">
        <w:rPr>
          <w:rFonts w:cs="Times New Roman"/>
          <w:szCs w:val="24"/>
          <w:lang w:val="bg-BG"/>
        </w:rPr>
        <w:t>Наличните анализи показват, че дефицитът се дължи не само на емиграцията и демографския спад, но и на липсата на атрактивен имидж на строителните професии, очакванията (често неоправдани) за ниско ниво на възнагражденията спрямо другите технически сектори и ограничените възможности за кариерно развитие.</w:t>
      </w:r>
    </w:p>
    <w:p w14:paraId="706DF34C" w14:textId="6465B23C" w:rsidR="00681B74" w:rsidRPr="006F3533" w:rsidRDefault="00681B74" w:rsidP="00077D42">
      <w:pPr>
        <w:jc w:val="both"/>
        <w:rPr>
          <w:rFonts w:cs="Times New Roman"/>
          <w:b/>
          <w:bCs/>
          <w:i/>
          <w:iCs/>
          <w:szCs w:val="24"/>
          <w:lang w:val="bg-BG"/>
        </w:rPr>
      </w:pPr>
      <w:r w:rsidRPr="006F3533">
        <w:rPr>
          <w:rFonts w:cs="Times New Roman"/>
          <w:b/>
          <w:bCs/>
          <w:i/>
          <w:iCs/>
          <w:szCs w:val="24"/>
          <w:lang w:val="bg-BG"/>
        </w:rPr>
        <w:t>Образование и обучение</w:t>
      </w:r>
    </w:p>
    <w:p w14:paraId="451B9AB4" w14:textId="77777777" w:rsidR="00681B74" w:rsidRPr="006F3533" w:rsidRDefault="00681B74" w:rsidP="00077D42">
      <w:pPr>
        <w:jc w:val="both"/>
        <w:rPr>
          <w:rFonts w:cs="Times New Roman"/>
          <w:szCs w:val="24"/>
          <w:lang w:val="bg-BG"/>
        </w:rPr>
      </w:pPr>
      <w:r w:rsidRPr="006F3533">
        <w:rPr>
          <w:rFonts w:cs="Times New Roman"/>
          <w:szCs w:val="24"/>
          <w:lang w:val="bg-BG"/>
        </w:rPr>
        <w:t>Системата за професионално образование и обучение (ПОО) в България включва над 100 професионални гимназии със строителен профил, както и над 120 лицензирани центъра за професионално обучение (ЦПО), регистрирани в НАПОО. Те предлагат обучение по професии като „Строител-монтажник“, „Топлоизолации“, „ВиК-монтажник“, „Монтажник на фотоволтаични системи“ и други, съответстващи на изискванията на Европейската квалификационна рамка (ЕКР). Висшето образование се осигурява от основните университети с технически и архитектурен профил – УАСГ, ВСУ „Любен Каравелов“, НБУ, ВСУ, Техническите университети в София, Варна, Русе и Габрово, както и от строителните факултети към регионалните висши училища.</w:t>
      </w:r>
    </w:p>
    <w:p w14:paraId="69B64BB1" w14:textId="70DC56FC" w:rsidR="00681B74" w:rsidRPr="006F3533" w:rsidRDefault="00681B74" w:rsidP="00077D42">
      <w:pPr>
        <w:jc w:val="both"/>
        <w:rPr>
          <w:rFonts w:cs="Times New Roman"/>
          <w:szCs w:val="24"/>
          <w:lang w:val="bg-BG"/>
        </w:rPr>
      </w:pPr>
      <w:r w:rsidRPr="006F3533">
        <w:rPr>
          <w:rFonts w:cs="Times New Roman"/>
          <w:szCs w:val="24"/>
          <w:lang w:val="bg-BG"/>
        </w:rPr>
        <w:t>По данни на НАПОО (2021–2022) и анализа по BUSBG2030, около 4 500–5 000 лица годишно се обучават и сертифицират по професии, свързани със строителството, а под 10</w:t>
      </w:r>
      <w:r w:rsidR="00560454" w:rsidRPr="006F3533">
        <w:rPr>
          <w:rFonts w:cs="Times New Roman"/>
          <w:szCs w:val="24"/>
          <w:lang w:val="bg-BG"/>
        </w:rPr>
        <w:t>%</w:t>
      </w:r>
      <w:r w:rsidRPr="006F3533">
        <w:rPr>
          <w:rFonts w:cs="Times New Roman"/>
          <w:szCs w:val="24"/>
          <w:lang w:val="bg-BG"/>
        </w:rPr>
        <w:t xml:space="preserve"> от тях преминават през специализирани курсове по енергийна ефективност и възобновяеми енергийни източници. Делът на обучаемите в нови области като BIM моделиране, пасивно строителство, енергийно управление на сгради и работа с интелигентни системи остава незначителен.</w:t>
      </w:r>
    </w:p>
    <w:p w14:paraId="1182B612" w14:textId="77777777" w:rsidR="00681B74" w:rsidRPr="006F3533" w:rsidRDefault="00681B74" w:rsidP="00077D42">
      <w:pPr>
        <w:jc w:val="both"/>
        <w:rPr>
          <w:rFonts w:cs="Times New Roman"/>
          <w:szCs w:val="24"/>
          <w:lang w:val="bg-BG"/>
        </w:rPr>
      </w:pPr>
      <w:r w:rsidRPr="006F3533">
        <w:rPr>
          <w:rFonts w:cs="Times New Roman"/>
          <w:szCs w:val="24"/>
          <w:lang w:val="bg-BG"/>
        </w:rPr>
        <w:t>Основните пропуски, установени в националния анализ и пътната карта, включват:</w:t>
      </w:r>
    </w:p>
    <w:p w14:paraId="5E8F922D" w14:textId="77777777" w:rsidR="00681B74" w:rsidRPr="006F3533" w:rsidRDefault="00681B74">
      <w:pPr>
        <w:pStyle w:val="ListParagraph"/>
        <w:numPr>
          <w:ilvl w:val="0"/>
          <w:numId w:val="17"/>
        </w:numPr>
        <w:spacing w:line="276" w:lineRule="auto"/>
        <w:jc w:val="both"/>
        <w:rPr>
          <w:rFonts w:cs="Times New Roman"/>
          <w:szCs w:val="24"/>
          <w:lang w:val="bg-BG"/>
        </w:rPr>
      </w:pPr>
      <w:r w:rsidRPr="006F3533">
        <w:rPr>
          <w:rFonts w:cs="Times New Roman"/>
          <w:szCs w:val="24"/>
          <w:lang w:val="bg-BG"/>
        </w:rPr>
        <w:t>липса на координация между системата на образованието и реалните нужди на бизнеса;</w:t>
      </w:r>
    </w:p>
    <w:p w14:paraId="44E7A6AF" w14:textId="77777777" w:rsidR="00681B74" w:rsidRPr="006F3533" w:rsidRDefault="00681B74">
      <w:pPr>
        <w:pStyle w:val="ListParagraph"/>
        <w:numPr>
          <w:ilvl w:val="0"/>
          <w:numId w:val="17"/>
        </w:numPr>
        <w:spacing w:line="276" w:lineRule="auto"/>
        <w:jc w:val="both"/>
        <w:rPr>
          <w:rFonts w:cs="Times New Roman"/>
          <w:szCs w:val="24"/>
          <w:lang w:val="bg-BG"/>
        </w:rPr>
      </w:pPr>
      <w:r w:rsidRPr="006F3533">
        <w:rPr>
          <w:rFonts w:cs="Times New Roman"/>
          <w:szCs w:val="24"/>
          <w:lang w:val="bg-BG"/>
        </w:rPr>
        <w:t>остарели учебни програми, които не отразяват новите технологични изисквания;</w:t>
      </w:r>
    </w:p>
    <w:p w14:paraId="05F2555B" w14:textId="77777777" w:rsidR="00681B74" w:rsidRPr="006F3533" w:rsidRDefault="00681B74">
      <w:pPr>
        <w:pStyle w:val="ListParagraph"/>
        <w:numPr>
          <w:ilvl w:val="0"/>
          <w:numId w:val="17"/>
        </w:numPr>
        <w:spacing w:line="276" w:lineRule="auto"/>
        <w:jc w:val="both"/>
        <w:rPr>
          <w:rFonts w:cs="Times New Roman"/>
          <w:szCs w:val="24"/>
          <w:lang w:val="bg-BG"/>
        </w:rPr>
      </w:pPr>
      <w:r w:rsidRPr="006F3533">
        <w:rPr>
          <w:rFonts w:cs="Times New Roman"/>
          <w:szCs w:val="24"/>
          <w:lang w:val="bg-BG"/>
        </w:rPr>
        <w:t>недостиг на преподаватели и инструктори с практически опит;</w:t>
      </w:r>
    </w:p>
    <w:p w14:paraId="3CC12600" w14:textId="77777777" w:rsidR="00681B74" w:rsidRPr="006F3533" w:rsidRDefault="00681B74">
      <w:pPr>
        <w:pStyle w:val="ListParagraph"/>
        <w:numPr>
          <w:ilvl w:val="0"/>
          <w:numId w:val="17"/>
        </w:numPr>
        <w:spacing w:line="276" w:lineRule="auto"/>
        <w:jc w:val="both"/>
        <w:rPr>
          <w:rFonts w:cs="Times New Roman"/>
          <w:szCs w:val="24"/>
          <w:lang w:val="bg-BG"/>
        </w:rPr>
      </w:pPr>
      <w:r w:rsidRPr="006F3533">
        <w:rPr>
          <w:rFonts w:cs="Times New Roman"/>
          <w:szCs w:val="24"/>
          <w:lang w:val="bg-BG"/>
        </w:rPr>
        <w:t xml:space="preserve">ограничено прилагане на </w:t>
      </w:r>
      <w:proofErr w:type="spellStart"/>
      <w:r w:rsidRPr="006F3533">
        <w:rPr>
          <w:rFonts w:cs="Times New Roman"/>
          <w:szCs w:val="24"/>
          <w:lang w:val="bg-BG"/>
        </w:rPr>
        <w:t>дуално</w:t>
      </w:r>
      <w:proofErr w:type="spellEnd"/>
      <w:r w:rsidRPr="006F3533">
        <w:rPr>
          <w:rFonts w:cs="Times New Roman"/>
          <w:szCs w:val="24"/>
          <w:lang w:val="bg-BG"/>
        </w:rPr>
        <w:t xml:space="preserve"> обучение и практически стажове;</w:t>
      </w:r>
    </w:p>
    <w:p w14:paraId="58DBB2B4" w14:textId="77777777" w:rsidR="00681B74" w:rsidRPr="006F3533" w:rsidRDefault="00681B74">
      <w:pPr>
        <w:pStyle w:val="ListParagraph"/>
        <w:numPr>
          <w:ilvl w:val="0"/>
          <w:numId w:val="17"/>
        </w:numPr>
        <w:spacing w:line="276" w:lineRule="auto"/>
        <w:jc w:val="both"/>
        <w:rPr>
          <w:rFonts w:cs="Times New Roman"/>
          <w:szCs w:val="24"/>
          <w:lang w:val="bg-BG"/>
        </w:rPr>
      </w:pPr>
      <w:r w:rsidRPr="006F3533">
        <w:rPr>
          <w:rFonts w:cs="Times New Roman"/>
          <w:szCs w:val="24"/>
          <w:lang w:val="bg-BG"/>
        </w:rPr>
        <w:t>липса на системно сертифициране на уменията за работа с иновативни материали и технологии.</w:t>
      </w:r>
    </w:p>
    <w:p w14:paraId="7F638206" w14:textId="77777777" w:rsidR="00681B74" w:rsidRPr="006F3533" w:rsidRDefault="00681B74" w:rsidP="00077D42">
      <w:pPr>
        <w:jc w:val="both"/>
        <w:rPr>
          <w:rFonts w:cs="Times New Roman"/>
          <w:szCs w:val="24"/>
          <w:lang w:val="bg-BG"/>
        </w:rPr>
      </w:pPr>
      <w:r w:rsidRPr="006F3533">
        <w:rPr>
          <w:rFonts w:cs="Times New Roman"/>
          <w:szCs w:val="24"/>
          <w:lang w:val="bg-BG"/>
        </w:rPr>
        <w:t xml:space="preserve">Въпреки това, системата разполага с реален потенциал за бърза мобилизация. В страната функционират мрежа от лицензирани ЦПО, Секторен съвет за умения в </w:t>
      </w:r>
      <w:r w:rsidRPr="006F3533">
        <w:rPr>
          <w:rFonts w:cs="Times New Roman"/>
          <w:szCs w:val="24"/>
          <w:lang w:val="bg-BG"/>
        </w:rPr>
        <w:lastRenderedPageBreak/>
        <w:t xml:space="preserve">строителството, както и активни професионални организации (КСБ, БАИС, Камара на инженерите, Камара на архитектите), които участват в разработването на професионални стандарти и квалификационни рамки. Тези структури представляват стабилна основа за изграждане на национална система за непрекъснато обучение и преквалификация, в съответствие с целите на НПС и инициативата </w:t>
      </w:r>
      <w:proofErr w:type="spellStart"/>
      <w:r w:rsidRPr="006F3533">
        <w:rPr>
          <w:rFonts w:cs="Times New Roman"/>
          <w:szCs w:val="24"/>
          <w:lang w:val="bg-BG"/>
        </w:rPr>
        <w:t>Skills</w:t>
      </w:r>
      <w:proofErr w:type="spellEnd"/>
      <w:r w:rsidRPr="006F3533">
        <w:rPr>
          <w:rFonts w:cs="Times New Roman"/>
          <w:szCs w:val="24"/>
          <w:lang w:val="bg-BG"/>
        </w:rPr>
        <w:t xml:space="preserve"> </w:t>
      </w:r>
      <w:proofErr w:type="spellStart"/>
      <w:r w:rsidRPr="006F3533">
        <w:rPr>
          <w:rFonts w:cs="Times New Roman"/>
          <w:szCs w:val="24"/>
          <w:lang w:val="bg-BG"/>
        </w:rPr>
        <w:t>for</w:t>
      </w:r>
      <w:proofErr w:type="spellEnd"/>
      <w:r w:rsidRPr="006F3533">
        <w:rPr>
          <w:rFonts w:cs="Times New Roman"/>
          <w:szCs w:val="24"/>
          <w:lang w:val="bg-BG"/>
        </w:rPr>
        <w:t xml:space="preserve"> </w:t>
      </w:r>
      <w:proofErr w:type="spellStart"/>
      <w:r w:rsidRPr="006F3533">
        <w:rPr>
          <w:rFonts w:cs="Times New Roman"/>
          <w:szCs w:val="24"/>
          <w:lang w:val="bg-BG"/>
        </w:rPr>
        <w:t>the</w:t>
      </w:r>
      <w:proofErr w:type="spellEnd"/>
      <w:r w:rsidRPr="006F3533">
        <w:rPr>
          <w:rFonts w:cs="Times New Roman"/>
          <w:szCs w:val="24"/>
          <w:lang w:val="bg-BG"/>
        </w:rPr>
        <w:t xml:space="preserve"> </w:t>
      </w:r>
      <w:proofErr w:type="spellStart"/>
      <w:r w:rsidRPr="006F3533">
        <w:rPr>
          <w:rFonts w:cs="Times New Roman"/>
          <w:szCs w:val="24"/>
          <w:lang w:val="bg-BG"/>
        </w:rPr>
        <w:t>Green</w:t>
      </w:r>
      <w:proofErr w:type="spellEnd"/>
      <w:r w:rsidRPr="006F3533">
        <w:rPr>
          <w:rFonts w:cs="Times New Roman"/>
          <w:szCs w:val="24"/>
          <w:lang w:val="bg-BG"/>
        </w:rPr>
        <w:t xml:space="preserve"> </w:t>
      </w:r>
      <w:proofErr w:type="spellStart"/>
      <w:r w:rsidRPr="006F3533">
        <w:rPr>
          <w:rFonts w:cs="Times New Roman"/>
          <w:szCs w:val="24"/>
          <w:lang w:val="bg-BG"/>
        </w:rPr>
        <w:t>Transition</w:t>
      </w:r>
      <w:proofErr w:type="spellEnd"/>
      <w:r w:rsidRPr="006F3533">
        <w:rPr>
          <w:rFonts w:cs="Times New Roman"/>
          <w:szCs w:val="24"/>
          <w:lang w:val="bg-BG"/>
        </w:rPr>
        <w:t xml:space="preserve"> на ЕС.</w:t>
      </w:r>
    </w:p>
    <w:p w14:paraId="278009D5" w14:textId="77777777" w:rsidR="00681B74" w:rsidRPr="006F3533" w:rsidRDefault="00681B74" w:rsidP="00077D42">
      <w:pPr>
        <w:jc w:val="both"/>
        <w:rPr>
          <w:rFonts w:cs="Times New Roman"/>
          <w:szCs w:val="24"/>
          <w:lang w:val="bg-BG"/>
        </w:rPr>
      </w:pPr>
      <w:r w:rsidRPr="006F3533">
        <w:rPr>
          <w:rFonts w:cs="Times New Roman"/>
          <w:szCs w:val="24"/>
          <w:lang w:val="bg-BG"/>
        </w:rPr>
        <w:t>В обобщение, човешкият капитал остава най-ограниченият ресурс за сградното обновяване в България. Въпреки стабилния брой заети, качеството и структурата на работната сила не съответстват на нарастващите изисквания за енергийна ефективност, възобновяеми енергийни технологии и дигитализация. Без системна политика за обучение, привличане и задържане на кадри секторът трудно би могъл да поеме необходимия обем от дейности, предвиден в Националния план за саниране.</w:t>
      </w:r>
    </w:p>
    <w:p w14:paraId="7605E859" w14:textId="0819B875" w:rsidR="00681B74" w:rsidRPr="006F3533" w:rsidRDefault="00681B74" w:rsidP="00077D42">
      <w:pPr>
        <w:pStyle w:val="Heading2"/>
        <w:jc w:val="both"/>
        <w:rPr>
          <w:lang w:val="bg-BG"/>
        </w:rPr>
      </w:pPr>
      <w:bookmarkStart w:id="151" w:name="_Toc216857788"/>
      <w:bookmarkStart w:id="152" w:name="_Toc217888797"/>
      <w:r w:rsidRPr="006F3533">
        <w:rPr>
          <w:lang w:val="bg-BG"/>
        </w:rPr>
        <w:t>Технически и организационен капацитет</w:t>
      </w:r>
      <w:bookmarkEnd w:id="151"/>
      <w:bookmarkEnd w:id="152"/>
    </w:p>
    <w:p w14:paraId="7992F469" w14:textId="77777777" w:rsidR="00681B74" w:rsidRPr="006F3533" w:rsidRDefault="00681B74" w:rsidP="00077D42">
      <w:pPr>
        <w:jc w:val="both"/>
        <w:rPr>
          <w:rFonts w:cs="Times New Roman"/>
          <w:szCs w:val="24"/>
          <w:lang w:val="bg-BG"/>
        </w:rPr>
      </w:pPr>
      <w:r w:rsidRPr="006F3533">
        <w:rPr>
          <w:rFonts w:cs="Times New Roman"/>
          <w:szCs w:val="24"/>
          <w:lang w:val="bg-BG"/>
        </w:rPr>
        <w:t>Техническият и организационният капацитет на строителния сектор в България се намира в процес на трансформация, белязан от съчетание на положителни тенденции и структурни ограничения. Макар секторът да показва стабилен икономически растеж и повишена технологична чувствителност, дигиталната зрялост, степента на автоматизация и достъпът до иновации остават ограничени.</w:t>
      </w:r>
    </w:p>
    <w:p w14:paraId="15B752CA"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Дигитализация и използване на BIM технологии</w:t>
      </w:r>
    </w:p>
    <w:p w14:paraId="34EFBF90" w14:textId="756C32B4" w:rsidR="00681B74" w:rsidRPr="006F3533" w:rsidRDefault="00681B74" w:rsidP="00077D42">
      <w:pPr>
        <w:jc w:val="both"/>
        <w:rPr>
          <w:rFonts w:cs="Times New Roman"/>
          <w:szCs w:val="24"/>
          <w:lang w:val="bg-BG"/>
        </w:rPr>
      </w:pPr>
      <w:r w:rsidRPr="006F3533">
        <w:rPr>
          <w:rFonts w:cs="Times New Roman"/>
          <w:szCs w:val="24"/>
          <w:lang w:val="bg-BG"/>
        </w:rPr>
        <w:t xml:space="preserve">Цифровизацията на строителството е стратегически приоритет на държавната политика, но нивото на внедряване на цифрови решения остава ниско. Според </w:t>
      </w:r>
      <w:bookmarkStart w:id="153" w:name="_Hlk216854860"/>
      <w:r w:rsidRPr="006F3533">
        <w:rPr>
          <w:rFonts w:cs="Times New Roman"/>
          <w:i/>
          <w:iCs/>
          <w:szCs w:val="24"/>
          <w:lang w:val="bg-BG"/>
        </w:rPr>
        <w:t>Националната стратегия за цифрова трансформация на строителния сектор 2030 г.</w:t>
      </w:r>
      <w:bookmarkEnd w:id="153"/>
      <w:r w:rsidRPr="006F3533">
        <w:rPr>
          <w:rFonts w:cs="Times New Roman"/>
          <w:i/>
          <w:iCs/>
          <w:szCs w:val="24"/>
          <w:vertAlign w:val="superscript"/>
          <w:lang w:val="bg-BG"/>
        </w:rPr>
        <w:footnoteReference w:id="41"/>
      </w:r>
      <w:r w:rsidRPr="006F3533">
        <w:rPr>
          <w:rFonts w:cs="Times New Roman"/>
          <w:szCs w:val="24"/>
          <w:lang w:val="bg-BG"/>
        </w:rPr>
        <w:t xml:space="preserve">, по-малко от </w:t>
      </w:r>
      <w:r w:rsidRPr="006F3533">
        <w:rPr>
          <w:rFonts w:cs="Times New Roman"/>
          <w:b/>
          <w:bCs/>
          <w:szCs w:val="24"/>
          <w:lang w:val="bg-BG"/>
        </w:rPr>
        <w:t>10</w:t>
      </w:r>
      <w:r w:rsidR="00560454" w:rsidRPr="006F3533">
        <w:rPr>
          <w:rFonts w:cs="Times New Roman"/>
          <w:b/>
          <w:bCs/>
          <w:szCs w:val="24"/>
          <w:lang w:val="bg-BG"/>
        </w:rPr>
        <w:t>%</w:t>
      </w:r>
      <w:r w:rsidRPr="006F3533">
        <w:rPr>
          <w:rFonts w:cs="Times New Roman"/>
          <w:szCs w:val="24"/>
          <w:lang w:val="bg-BG"/>
        </w:rPr>
        <w:t xml:space="preserve"> от строителните предприятия използват интегрирани дигитални инструменти като </w:t>
      </w:r>
      <w:r w:rsidRPr="006F3533">
        <w:rPr>
          <w:rFonts w:cs="Times New Roman"/>
          <w:b/>
          <w:bCs/>
          <w:szCs w:val="24"/>
          <w:lang w:val="bg-BG"/>
        </w:rPr>
        <w:t xml:space="preserve">Building </w:t>
      </w:r>
      <w:proofErr w:type="spellStart"/>
      <w:r w:rsidRPr="006F3533">
        <w:rPr>
          <w:rFonts w:cs="Times New Roman"/>
          <w:b/>
          <w:bCs/>
          <w:szCs w:val="24"/>
          <w:lang w:val="bg-BG"/>
        </w:rPr>
        <w:t>Information</w:t>
      </w:r>
      <w:proofErr w:type="spellEnd"/>
      <w:r w:rsidRPr="006F3533">
        <w:rPr>
          <w:rFonts w:cs="Times New Roman"/>
          <w:b/>
          <w:bCs/>
          <w:szCs w:val="24"/>
          <w:lang w:val="bg-BG"/>
        </w:rPr>
        <w:t xml:space="preserve"> </w:t>
      </w:r>
      <w:proofErr w:type="spellStart"/>
      <w:r w:rsidRPr="006F3533">
        <w:rPr>
          <w:rFonts w:cs="Times New Roman"/>
          <w:b/>
          <w:bCs/>
          <w:szCs w:val="24"/>
          <w:lang w:val="bg-BG"/>
        </w:rPr>
        <w:t>Modelling</w:t>
      </w:r>
      <w:proofErr w:type="spellEnd"/>
      <w:r w:rsidRPr="006F3533">
        <w:rPr>
          <w:rFonts w:cs="Times New Roman"/>
          <w:b/>
          <w:bCs/>
          <w:szCs w:val="24"/>
          <w:lang w:val="bg-BG"/>
        </w:rPr>
        <w:t xml:space="preserve"> (BIM)</w:t>
      </w:r>
      <w:r w:rsidRPr="006F3533">
        <w:rPr>
          <w:rFonts w:cs="Times New Roman"/>
          <w:szCs w:val="24"/>
          <w:lang w:val="bg-BG"/>
        </w:rPr>
        <w:t xml:space="preserve">, системи за управление на жизнения цикъл на сградите или автоматизирани системи за контрол на качеството. При големите компании, работещи по международни проекти, BIM вече е част от вътрешния стандарт, но сред мнозинството </w:t>
      </w:r>
      <w:r w:rsidRPr="006F3533">
        <w:rPr>
          <w:rFonts w:cs="Times New Roman"/>
          <w:b/>
          <w:bCs/>
          <w:szCs w:val="24"/>
          <w:lang w:val="bg-BG"/>
        </w:rPr>
        <w:t>малки и средни предприятия (МСП)</w:t>
      </w:r>
      <w:r w:rsidRPr="006F3533">
        <w:rPr>
          <w:rFonts w:cs="Times New Roman"/>
          <w:szCs w:val="24"/>
          <w:lang w:val="bg-BG"/>
        </w:rPr>
        <w:t xml:space="preserve"> дигитализацията се ограничава до базови административни процеси.</w:t>
      </w:r>
    </w:p>
    <w:p w14:paraId="6C94C948" w14:textId="77777777" w:rsidR="00681B74" w:rsidRPr="006F3533" w:rsidRDefault="00681B74" w:rsidP="00077D42">
      <w:pPr>
        <w:jc w:val="both"/>
        <w:rPr>
          <w:rFonts w:cs="Times New Roman"/>
          <w:szCs w:val="24"/>
          <w:lang w:val="bg-BG"/>
        </w:rPr>
      </w:pPr>
      <w:r w:rsidRPr="006F3533">
        <w:rPr>
          <w:rFonts w:cs="Times New Roman"/>
          <w:szCs w:val="24"/>
          <w:lang w:val="bg-BG"/>
        </w:rPr>
        <w:t>Сред основните бариери, посочени в стратегията, са: липсата на задължителни изисквания за използване на СИМ/BIM в обществените поръчки, високите разходи за софтуер и обучение, ниското ниво на търсене от страна на възложителите и недостигът на кадри с цифрови компетентности. Липсата на унифицирани стандарти и национален център за сертифициране на BIM специалисти допълнително възпрепятства процеса.</w:t>
      </w:r>
    </w:p>
    <w:p w14:paraId="22FAC46C" w14:textId="77777777" w:rsidR="00681B74" w:rsidRPr="006F3533" w:rsidRDefault="00681B74" w:rsidP="00077D42">
      <w:pPr>
        <w:jc w:val="both"/>
        <w:rPr>
          <w:rFonts w:cs="Times New Roman"/>
          <w:szCs w:val="24"/>
          <w:lang w:val="bg-BG"/>
        </w:rPr>
      </w:pPr>
      <w:r w:rsidRPr="006F3533">
        <w:rPr>
          <w:rFonts w:cs="Times New Roman"/>
          <w:szCs w:val="24"/>
          <w:lang w:val="bg-BG"/>
        </w:rPr>
        <w:t xml:space="preserve">В рамките на </w:t>
      </w:r>
      <w:r w:rsidRPr="006F3533">
        <w:rPr>
          <w:rFonts w:cs="Times New Roman"/>
          <w:i/>
          <w:iCs/>
          <w:szCs w:val="24"/>
          <w:lang w:val="bg-BG"/>
        </w:rPr>
        <w:t>Националния план за възстановяване и устойчивост</w:t>
      </w:r>
      <w:r w:rsidRPr="006F3533">
        <w:rPr>
          <w:rFonts w:cs="Times New Roman"/>
          <w:szCs w:val="24"/>
          <w:lang w:val="bg-BG"/>
        </w:rPr>
        <w:t xml:space="preserve"> са предвидени пилотни проекти за въвеждане на BIM в инвестиционното проектиране на публични сгради, които следва да послужат като катализатор за промяна. Въпреки това, реалната </w:t>
      </w:r>
      <w:r w:rsidRPr="006F3533">
        <w:rPr>
          <w:rFonts w:cs="Times New Roman"/>
          <w:szCs w:val="24"/>
          <w:lang w:val="bg-BG"/>
        </w:rPr>
        <w:lastRenderedPageBreak/>
        <w:t>интеграция на дигитални процеси в строителната практика все още е ограничена и липсват системни данни за нейното развитие.</w:t>
      </w:r>
    </w:p>
    <w:p w14:paraId="094E210E"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Достъп до модерно оборудване, материали и иновации</w:t>
      </w:r>
    </w:p>
    <w:p w14:paraId="1556C3F2" w14:textId="44ED1909" w:rsidR="00681B74" w:rsidRPr="006F3533" w:rsidRDefault="00681B74" w:rsidP="00077D42">
      <w:pPr>
        <w:jc w:val="both"/>
        <w:rPr>
          <w:rFonts w:cs="Times New Roman"/>
          <w:szCs w:val="24"/>
          <w:lang w:val="bg-BG"/>
        </w:rPr>
      </w:pPr>
      <w:r w:rsidRPr="006F3533">
        <w:rPr>
          <w:rFonts w:cs="Times New Roman"/>
          <w:szCs w:val="24"/>
          <w:lang w:val="bg-BG"/>
        </w:rPr>
        <w:t xml:space="preserve">Достъпът до иновативни технологии и модерно оборудване остава сериозно предизвикателство, особено за МСП, които съставляват </w:t>
      </w:r>
      <w:r w:rsidRPr="006F3533">
        <w:rPr>
          <w:rFonts w:cs="Times New Roman"/>
          <w:b/>
          <w:bCs/>
          <w:szCs w:val="24"/>
          <w:lang w:val="bg-BG"/>
        </w:rPr>
        <w:t>над 99</w:t>
      </w:r>
      <w:r w:rsidR="00560454" w:rsidRPr="006F3533">
        <w:rPr>
          <w:rFonts w:cs="Times New Roman"/>
          <w:b/>
          <w:bCs/>
          <w:szCs w:val="24"/>
          <w:lang w:val="bg-BG"/>
        </w:rPr>
        <w:t>%</w:t>
      </w:r>
      <w:r w:rsidRPr="006F3533">
        <w:rPr>
          <w:rFonts w:cs="Times New Roman"/>
          <w:szCs w:val="24"/>
          <w:lang w:val="bg-BG"/>
        </w:rPr>
        <w:t xml:space="preserve"> от всички предприятия в строителството. </w:t>
      </w:r>
      <w:r w:rsidRPr="006F3533">
        <w:rPr>
          <w:rFonts w:cs="Times New Roman"/>
          <w:i/>
          <w:iCs/>
          <w:szCs w:val="24"/>
          <w:lang w:val="bg-BG"/>
        </w:rPr>
        <w:t>Икономическият отчет на КСБ (2024)</w:t>
      </w:r>
      <w:r w:rsidRPr="006F3533">
        <w:rPr>
          <w:rFonts w:cs="Times New Roman"/>
          <w:szCs w:val="24"/>
          <w:lang w:val="bg-BG"/>
        </w:rPr>
        <w:t xml:space="preserve"> подчертава, че повечето фирми разполагат с ограничен машинен и технологичен парк, а инвестициите в обновяване на оборудване се извършват епизодично и в зависимост от конкретни проекти.</w:t>
      </w:r>
    </w:p>
    <w:p w14:paraId="3CA7D4AF" w14:textId="77777777" w:rsidR="00681B74" w:rsidRPr="006F3533" w:rsidRDefault="00681B74" w:rsidP="00077D42">
      <w:pPr>
        <w:jc w:val="both"/>
        <w:rPr>
          <w:rFonts w:cs="Times New Roman"/>
          <w:szCs w:val="24"/>
          <w:lang w:val="bg-BG"/>
        </w:rPr>
      </w:pPr>
      <w:r w:rsidRPr="006F3533">
        <w:rPr>
          <w:rFonts w:cs="Times New Roman"/>
          <w:szCs w:val="24"/>
          <w:lang w:val="bg-BG"/>
        </w:rPr>
        <w:t xml:space="preserve">Според </w:t>
      </w:r>
      <w:r w:rsidRPr="006F3533">
        <w:rPr>
          <w:rFonts w:cs="Times New Roman"/>
          <w:i/>
          <w:iCs/>
          <w:szCs w:val="24"/>
          <w:lang w:val="bg-BG"/>
        </w:rPr>
        <w:t>Националната стратегия за цифрова трансформация</w:t>
      </w:r>
      <w:r w:rsidRPr="006F3533">
        <w:rPr>
          <w:rFonts w:cs="Times New Roman"/>
          <w:szCs w:val="24"/>
          <w:lang w:val="bg-BG"/>
        </w:rPr>
        <w:t xml:space="preserve">, само </w:t>
      </w:r>
      <w:r w:rsidRPr="006F3533">
        <w:rPr>
          <w:rFonts w:cs="Times New Roman"/>
          <w:b/>
          <w:bCs/>
          <w:szCs w:val="24"/>
          <w:lang w:val="bg-BG"/>
        </w:rPr>
        <w:t>1 от 5 строителни предприятия</w:t>
      </w:r>
      <w:r w:rsidRPr="006F3533">
        <w:rPr>
          <w:rFonts w:cs="Times New Roman"/>
          <w:szCs w:val="24"/>
          <w:lang w:val="bg-BG"/>
        </w:rPr>
        <w:t xml:space="preserve"> има достъп до модерни софтуерни решения или автоматизирани системи за управление на процесите. Слабо е и навлизането на иновации, свързани с нисковъглеродни материали, 3D принтиране, сензори за мониторинг на обекти и интегрирани енергийни системи. Тези технологии се използват почти изключително в ограничен кръг големи фирми и научно-технически организации, без масово приложение в практиката.</w:t>
      </w:r>
    </w:p>
    <w:p w14:paraId="0D971924" w14:textId="77777777" w:rsidR="00681B74" w:rsidRDefault="00681B74" w:rsidP="00077D42">
      <w:pPr>
        <w:jc w:val="both"/>
        <w:rPr>
          <w:rFonts w:cs="Times New Roman"/>
          <w:szCs w:val="24"/>
          <w:lang w:val="bg-BG"/>
        </w:rPr>
      </w:pPr>
      <w:r w:rsidRPr="006F3533">
        <w:rPr>
          <w:rFonts w:cs="Times New Roman"/>
          <w:szCs w:val="24"/>
          <w:lang w:val="bg-BG"/>
        </w:rPr>
        <w:t>Това изоставане се обуславя не само от липсата на инвестиционен ресурс, но и от отсъствието на координирана политика за индустриализация на строителството и насърчаване на технологични иновации чрез публично-частни партньорства.</w:t>
      </w:r>
    </w:p>
    <w:p w14:paraId="554DCDAE" w14:textId="77777777" w:rsidR="00925FB6" w:rsidRPr="006F3533" w:rsidRDefault="00925FB6" w:rsidP="00077D42">
      <w:pPr>
        <w:jc w:val="both"/>
        <w:rPr>
          <w:rFonts w:cs="Times New Roman"/>
          <w:szCs w:val="24"/>
          <w:lang w:val="bg-BG"/>
        </w:rPr>
      </w:pPr>
    </w:p>
    <w:p w14:paraId="78AC2C34"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Индустриализирано строителство и производствена ефективност</w:t>
      </w:r>
    </w:p>
    <w:p w14:paraId="0028B497" w14:textId="77777777" w:rsidR="00681B74" w:rsidRPr="006F3533" w:rsidRDefault="00681B74" w:rsidP="00077D42">
      <w:pPr>
        <w:jc w:val="both"/>
        <w:rPr>
          <w:rFonts w:cs="Times New Roman"/>
          <w:szCs w:val="24"/>
          <w:lang w:val="bg-BG"/>
        </w:rPr>
      </w:pPr>
      <w:r w:rsidRPr="006F3533">
        <w:rPr>
          <w:rFonts w:cs="Times New Roman"/>
          <w:szCs w:val="24"/>
          <w:lang w:val="bg-BG"/>
        </w:rPr>
        <w:t xml:space="preserve">Модерните тенденции в ЕС насърчават преминаването към индустриализирани методи – </w:t>
      </w:r>
      <w:r w:rsidRPr="006F3533">
        <w:rPr>
          <w:rFonts w:cs="Times New Roman"/>
          <w:b/>
          <w:bCs/>
          <w:szCs w:val="24"/>
          <w:lang w:val="bg-BG"/>
        </w:rPr>
        <w:t>модулно строителство, предварително произведени елементи, автоматизация и роботизация</w:t>
      </w:r>
      <w:r w:rsidRPr="006F3533">
        <w:rPr>
          <w:rFonts w:cs="Times New Roman"/>
          <w:szCs w:val="24"/>
          <w:lang w:val="bg-BG"/>
        </w:rPr>
        <w:t>. Тези подходи осигуряват по-висока ефективност, намалени отпадъци и по-кратки срокове на изпълнение, което е от съществено значение при прилагането на мащабни програми за сградно обновяване.</w:t>
      </w:r>
    </w:p>
    <w:p w14:paraId="34A4B556" w14:textId="5DBC3112" w:rsidR="00681B74" w:rsidRPr="006F3533" w:rsidRDefault="00681B74" w:rsidP="00077D42">
      <w:pPr>
        <w:jc w:val="both"/>
        <w:rPr>
          <w:rFonts w:cs="Times New Roman"/>
          <w:szCs w:val="24"/>
          <w:lang w:val="bg-BG"/>
        </w:rPr>
      </w:pPr>
      <w:r w:rsidRPr="006F3533">
        <w:rPr>
          <w:rFonts w:cs="Times New Roman"/>
          <w:szCs w:val="24"/>
          <w:lang w:val="bg-BG"/>
        </w:rPr>
        <w:t xml:space="preserve">В България обаче внедряването на подобни решения е в начален етап. </w:t>
      </w:r>
      <w:r w:rsidRPr="006F3533">
        <w:rPr>
          <w:rFonts w:cs="Times New Roman"/>
          <w:i/>
          <w:iCs/>
          <w:szCs w:val="24"/>
          <w:lang w:val="bg-BG"/>
        </w:rPr>
        <w:t>Националната стратегия</w:t>
      </w:r>
      <w:r w:rsidRPr="006F3533">
        <w:rPr>
          <w:rFonts w:cs="Times New Roman"/>
          <w:szCs w:val="24"/>
          <w:lang w:val="bg-BG"/>
        </w:rPr>
        <w:t xml:space="preserve"> отчита, че само </w:t>
      </w:r>
      <w:r w:rsidRPr="006F3533">
        <w:rPr>
          <w:rFonts w:cs="Times New Roman"/>
          <w:b/>
          <w:bCs/>
          <w:szCs w:val="24"/>
          <w:lang w:val="bg-BG"/>
        </w:rPr>
        <w:t>8</w:t>
      </w:r>
      <w:r w:rsidR="00560454" w:rsidRPr="006F3533">
        <w:rPr>
          <w:rFonts w:cs="Times New Roman"/>
          <w:b/>
          <w:bCs/>
          <w:szCs w:val="24"/>
          <w:lang w:val="bg-BG"/>
        </w:rPr>
        <w:t>%</w:t>
      </w:r>
      <w:r w:rsidRPr="006F3533">
        <w:rPr>
          <w:rFonts w:cs="Times New Roman"/>
          <w:b/>
          <w:bCs/>
          <w:szCs w:val="24"/>
          <w:lang w:val="bg-BG"/>
        </w:rPr>
        <w:t xml:space="preserve"> от строителните фирми</w:t>
      </w:r>
      <w:r w:rsidRPr="006F3533">
        <w:rPr>
          <w:rFonts w:cs="Times New Roman"/>
          <w:szCs w:val="24"/>
          <w:lang w:val="bg-BG"/>
        </w:rPr>
        <w:t xml:space="preserve"> използват частично индустриализирани технологии, като основните бариери са високите първоначални инвестиции, липсата на производствени мощности и отсъствието на стимул за стандартизация на сградните елементи. Това води до ниска производителност на труда, значителен дял ръчен труд и големи разлики в качеството на изпълнение.</w:t>
      </w:r>
    </w:p>
    <w:p w14:paraId="2DCD6BBA" w14:textId="77777777" w:rsidR="00681B74" w:rsidRPr="006F3533" w:rsidRDefault="00681B74" w:rsidP="00077D42">
      <w:pPr>
        <w:jc w:val="both"/>
        <w:rPr>
          <w:rFonts w:cs="Times New Roman"/>
          <w:szCs w:val="24"/>
          <w:lang w:val="bg-BG"/>
        </w:rPr>
      </w:pPr>
      <w:r w:rsidRPr="006F3533">
        <w:rPr>
          <w:rFonts w:cs="Times New Roman"/>
          <w:szCs w:val="24"/>
          <w:lang w:val="bg-BG"/>
        </w:rPr>
        <w:t>Ограниченият достъп до иновативни материали и ниската степен на автоматизация оказват пряко влияние върху себестойността и сроковете на проектите, което затруднява постигането на целите за бързо и рентабилно сградно обновяване.</w:t>
      </w:r>
    </w:p>
    <w:p w14:paraId="3CAA8B5F"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Организационен капацитет и дигитална подкрепа за МСП</w:t>
      </w:r>
    </w:p>
    <w:p w14:paraId="75B19C51" w14:textId="77777777" w:rsidR="00681B74" w:rsidRPr="006F3533" w:rsidRDefault="00681B74" w:rsidP="00077D42">
      <w:pPr>
        <w:jc w:val="both"/>
        <w:rPr>
          <w:rFonts w:cs="Times New Roman"/>
          <w:szCs w:val="24"/>
          <w:lang w:val="bg-BG"/>
        </w:rPr>
      </w:pPr>
      <w:r w:rsidRPr="006F3533">
        <w:rPr>
          <w:rFonts w:cs="Times New Roman"/>
          <w:szCs w:val="24"/>
          <w:lang w:val="bg-BG"/>
        </w:rPr>
        <w:t xml:space="preserve">В подкрепа на процеса на цифровизация и технологично обновяване през 2021 г. беше създаден </w:t>
      </w:r>
      <w:r w:rsidRPr="006F3533">
        <w:rPr>
          <w:rFonts w:cs="Times New Roman"/>
          <w:b/>
          <w:bCs/>
          <w:szCs w:val="24"/>
          <w:lang w:val="bg-BG"/>
        </w:rPr>
        <w:t xml:space="preserve">Европейският цифров иновационен хъб за строителството (ЕЦИХ </w:t>
      </w:r>
      <w:r w:rsidRPr="006F3533">
        <w:rPr>
          <w:rFonts w:cs="Times New Roman"/>
          <w:b/>
          <w:bCs/>
          <w:szCs w:val="24"/>
          <w:lang w:val="bg-BG"/>
        </w:rPr>
        <w:lastRenderedPageBreak/>
        <w:t>Construction)</w:t>
      </w:r>
      <w:r w:rsidRPr="006F3533">
        <w:rPr>
          <w:rFonts w:cs="Times New Roman"/>
          <w:b/>
          <w:bCs/>
          <w:szCs w:val="24"/>
          <w:vertAlign w:val="superscript"/>
          <w:lang w:val="bg-BG"/>
        </w:rPr>
        <w:footnoteReference w:id="42"/>
      </w:r>
      <w:r w:rsidRPr="006F3533">
        <w:rPr>
          <w:rFonts w:cs="Times New Roman"/>
          <w:szCs w:val="24"/>
          <w:lang w:val="bg-BG"/>
        </w:rPr>
        <w:t>, който функционира като национален център за подпомагане на предприятията в сектора. Хъбът предлага услуги за „тест преди инвестиране“, консултации по финансиране, обучения и технологичен трансфер, като поставя особен акцент върху малките и средни фирми.</w:t>
      </w:r>
    </w:p>
    <w:p w14:paraId="39C6C357" w14:textId="77777777" w:rsidR="00681B74" w:rsidRPr="006F3533" w:rsidRDefault="00681B74" w:rsidP="00077D42">
      <w:pPr>
        <w:jc w:val="both"/>
        <w:rPr>
          <w:rFonts w:cs="Times New Roman"/>
          <w:szCs w:val="24"/>
          <w:lang w:val="bg-BG"/>
        </w:rPr>
      </w:pPr>
      <w:r w:rsidRPr="006F3533">
        <w:rPr>
          <w:rFonts w:cs="Times New Roman"/>
          <w:szCs w:val="24"/>
          <w:lang w:val="bg-BG"/>
        </w:rPr>
        <w:t>Дейността на ЕЦИХ представлява първи структурен механизъм за системна подкрепа на дигитализацията в строителството. Въпреки това, обхватът на предоставяните услуги все още е ограничен спрямо мащаба на сектора – липсват достатъчно национални програми, които да свържат дейността на хъба с реални финансови и организационни стимули за фирмите.</w:t>
      </w:r>
    </w:p>
    <w:p w14:paraId="1940BA72" w14:textId="77777777" w:rsidR="00681B74" w:rsidRPr="006F3533" w:rsidRDefault="00681B74" w:rsidP="00077D42">
      <w:pPr>
        <w:jc w:val="both"/>
        <w:rPr>
          <w:rFonts w:cs="Times New Roman"/>
          <w:szCs w:val="24"/>
          <w:lang w:val="bg-BG"/>
        </w:rPr>
      </w:pPr>
      <w:r w:rsidRPr="006F3533">
        <w:rPr>
          <w:rFonts w:cs="Times New Roman"/>
          <w:szCs w:val="24"/>
          <w:lang w:val="bg-BG"/>
        </w:rPr>
        <w:t>Малките предприятия продължават да срещат трудности при достъпа до цифрови решения, обучен персонал и финансиране за технологични инвестиции. Липсата на интегрирани цифрови платформи за обмен на данни и сътрудничество между проектанти, строители и инвеститори също възпрепятства ефективността на процесите.</w:t>
      </w:r>
    </w:p>
    <w:p w14:paraId="485B1A62" w14:textId="4333E0E0" w:rsidR="00681B74" w:rsidRPr="006F3533" w:rsidRDefault="00681B74" w:rsidP="00077D42">
      <w:pPr>
        <w:pStyle w:val="Heading2"/>
        <w:jc w:val="both"/>
        <w:rPr>
          <w:lang w:val="bg-BG"/>
        </w:rPr>
      </w:pPr>
      <w:bookmarkStart w:id="154" w:name="_Toc216857789"/>
      <w:bookmarkStart w:id="155" w:name="_Toc217888798"/>
      <w:r w:rsidRPr="006F3533">
        <w:rPr>
          <w:lang w:val="bg-BG"/>
        </w:rPr>
        <w:t>Капацитет в областта на енергийната ефективност и възобновяемите източници</w:t>
      </w:r>
      <w:bookmarkEnd w:id="154"/>
      <w:bookmarkEnd w:id="155"/>
    </w:p>
    <w:p w14:paraId="6A0FEFD3" w14:textId="77777777" w:rsidR="00681B74" w:rsidRPr="006F3533" w:rsidRDefault="00681B74" w:rsidP="00077D42">
      <w:pPr>
        <w:jc w:val="both"/>
        <w:rPr>
          <w:rFonts w:cs="Times New Roman"/>
          <w:szCs w:val="24"/>
          <w:lang w:val="bg-BG"/>
        </w:rPr>
      </w:pPr>
      <w:r w:rsidRPr="006F3533">
        <w:rPr>
          <w:rFonts w:cs="Times New Roman"/>
          <w:szCs w:val="24"/>
          <w:lang w:val="bg-BG"/>
        </w:rPr>
        <w:t>Капацитетът на строителния сектор в областта на енергийната ефективност (ЕЕ) и възобновяемите енергийни източници (ВЕИ) продължава да се развива, но остава ограничен от структурни дефицити в системата за професионално образование и обучение, както и от липсата на устойчива кадрова база за монтажни и инсталационни дейности. Въпреки засилените политики и повишения обществен интерес, предлагането на квалифициран труд в ключовите направления – топлоизолации, сградни инсталации, ВЕИ системи – изостава от нарастващото търсене.</w:t>
      </w:r>
    </w:p>
    <w:p w14:paraId="2D33D4FE" w14:textId="77777777" w:rsidR="00560454" w:rsidRPr="006F3533" w:rsidRDefault="00681B74" w:rsidP="00077D42">
      <w:pPr>
        <w:jc w:val="both"/>
        <w:rPr>
          <w:rFonts w:cs="Times New Roman"/>
          <w:b/>
          <w:bCs/>
          <w:i/>
          <w:iCs/>
          <w:szCs w:val="24"/>
          <w:lang w:val="bg-BG"/>
        </w:rPr>
      </w:pPr>
      <w:r w:rsidRPr="006F3533">
        <w:rPr>
          <w:rFonts w:cs="Times New Roman"/>
          <w:b/>
          <w:bCs/>
          <w:i/>
          <w:iCs/>
          <w:szCs w:val="24"/>
          <w:lang w:val="bg-BG"/>
        </w:rPr>
        <w:t>Енергийни обследвания и консултантски услуги</w:t>
      </w:r>
      <w:r w:rsidR="00560454" w:rsidRPr="006F3533">
        <w:rPr>
          <w:rFonts w:cs="Times New Roman"/>
          <w:b/>
          <w:bCs/>
          <w:i/>
          <w:iCs/>
          <w:szCs w:val="24"/>
          <w:lang w:val="bg-BG"/>
        </w:rPr>
        <w:t xml:space="preserve"> </w:t>
      </w:r>
    </w:p>
    <w:p w14:paraId="007063C6" w14:textId="45537171" w:rsidR="00681B74" w:rsidRPr="006F3533" w:rsidRDefault="00681B74" w:rsidP="00077D42">
      <w:pPr>
        <w:jc w:val="both"/>
        <w:rPr>
          <w:rFonts w:cs="Times New Roman"/>
          <w:szCs w:val="24"/>
          <w:lang w:val="bg-BG"/>
        </w:rPr>
      </w:pPr>
      <w:r w:rsidRPr="006F3533">
        <w:rPr>
          <w:rFonts w:cs="Times New Roman"/>
          <w:szCs w:val="24"/>
          <w:lang w:val="bg-BG"/>
        </w:rPr>
        <w:t>Благодарение на предприетите мерки през 2023–2024 г. проблемът с недостига на сертифицирани енергийни одитори е в известна степен овладян. След серия от курсове, организирани от техническите университети в страната, стотици нови специалисти бяха лицензирани, което теоретично осигурява достатъчен капацитет за нуждите на националните програми за сградно обновяване. Въпреки това, проблемът с кампанийния характер на програмите остава, тъй като в продължителните периоди от време, в които няма публично финансиране, изискващо енергийни обследвания, тези специалисти се пренасочват към други дейности, а нерядко и към други професии. Все още липсва и изградена мрежа от специализиране посредници – експерти, способни да осигуряват интегрирана техническа, финансова и административна подкрепа за гражданите и бизнеса по модела на Центрове за комплексно обслужване (OSS). Тази липса ограничава достъпа на крайните потребители до качествена предварителна подготовка и независим съвет при планиране на мерки за енергийна ефективност и ВЕИ.</w:t>
      </w:r>
    </w:p>
    <w:p w14:paraId="21AA916A" w14:textId="3FE82539" w:rsidR="00560454" w:rsidRPr="006F3533" w:rsidRDefault="00681B74" w:rsidP="00077D42">
      <w:pPr>
        <w:jc w:val="both"/>
        <w:rPr>
          <w:rFonts w:cs="Times New Roman"/>
          <w:b/>
          <w:bCs/>
          <w:i/>
          <w:iCs/>
          <w:szCs w:val="24"/>
          <w:lang w:val="bg-BG"/>
        </w:rPr>
      </w:pPr>
      <w:r w:rsidRPr="006F3533">
        <w:rPr>
          <w:rFonts w:cs="Times New Roman"/>
          <w:b/>
          <w:bCs/>
          <w:i/>
          <w:iCs/>
          <w:szCs w:val="24"/>
          <w:lang w:val="bg-BG"/>
        </w:rPr>
        <w:t>Кадрови потенциал и професионалн</w:t>
      </w:r>
      <w:r w:rsidR="00560454" w:rsidRPr="006F3533">
        <w:rPr>
          <w:rFonts w:cs="Times New Roman"/>
          <w:b/>
          <w:bCs/>
          <w:i/>
          <w:iCs/>
          <w:szCs w:val="24"/>
          <w:lang w:val="bg-BG"/>
        </w:rPr>
        <w:t>а</w:t>
      </w:r>
      <w:r w:rsidRPr="006F3533">
        <w:rPr>
          <w:rFonts w:cs="Times New Roman"/>
          <w:b/>
          <w:bCs/>
          <w:i/>
          <w:iCs/>
          <w:szCs w:val="24"/>
          <w:lang w:val="bg-BG"/>
        </w:rPr>
        <w:t xml:space="preserve"> квалификаци</w:t>
      </w:r>
      <w:r w:rsidR="00560454" w:rsidRPr="006F3533">
        <w:rPr>
          <w:rFonts w:cs="Times New Roman"/>
          <w:b/>
          <w:bCs/>
          <w:i/>
          <w:iCs/>
          <w:szCs w:val="24"/>
          <w:lang w:val="bg-BG"/>
        </w:rPr>
        <w:t>я</w:t>
      </w:r>
    </w:p>
    <w:p w14:paraId="72B0488A" w14:textId="0AA2C6A0" w:rsidR="00681B74" w:rsidRDefault="00681B74" w:rsidP="00077D42">
      <w:pPr>
        <w:jc w:val="both"/>
        <w:rPr>
          <w:rFonts w:cs="Times New Roman"/>
          <w:szCs w:val="24"/>
          <w:lang w:val="bg-BG"/>
        </w:rPr>
      </w:pPr>
      <w:r w:rsidRPr="006F3533">
        <w:rPr>
          <w:rFonts w:cs="Times New Roman"/>
          <w:szCs w:val="24"/>
          <w:lang w:val="bg-BG"/>
        </w:rPr>
        <w:lastRenderedPageBreak/>
        <w:t xml:space="preserve">Както бе отбелязано по-горе, секторът продължава да се сблъсква със значително намаляване на броя на специалистите в строителните професии, свързани с изпълнението на мерки за енергийна ефективност – изолационни техници, монтажници на фасадни системи, инсталатори на отоплителни и климатични инсталации, електротехници и др. Демографските процеси и изтичането на квалифицирана работна ръка към други държави водят до дисбаланс между наличните умения и реалните потребности на пазара. Особено остър е недостигът на монтажници и техници със специфични компетенции за прилагане на модерни материали и технологии при сградното обновяване. В тази връзка, липсата на функционираща система за продължаващо професионално обучение и за актуализиране на уменията на работещите е структурен проблем, общ както за строителството, така и за ВЕИ сектора. Освен ниското търсене, обусловено от липсата на регулативни изисквания и високата заетост в сектора, съществуващите центрове за професионално обучение (ЦПО) често работят с остарели програми и недостатъчно модернизирана материална база. Това възпрепятства внедряването на нови компетентности, свързани с както със съвременните изисквания по отношение на сградната обвивка, така и с ефективните системи за отопление, охлаждане, климатизация и вентилация, дигитализацията, сградната автоматизация, инсталациите на възобновяеми енергийни системи и свързаността с енергийната система. </w:t>
      </w:r>
    </w:p>
    <w:p w14:paraId="37BB767A" w14:textId="77777777" w:rsidR="00560454" w:rsidRPr="006F3533" w:rsidRDefault="00681B74" w:rsidP="00077D42">
      <w:pPr>
        <w:jc w:val="both"/>
        <w:rPr>
          <w:rFonts w:cs="Times New Roman"/>
          <w:b/>
          <w:bCs/>
          <w:i/>
          <w:iCs/>
          <w:szCs w:val="24"/>
          <w:lang w:val="bg-BG"/>
        </w:rPr>
      </w:pPr>
      <w:r w:rsidRPr="006F3533">
        <w:rPr>
          <w:rFonts w:cs="Times New Roman"/>
          <w:b/>
          <w:bCs/>
          <w:i/>
          <w:iCs/>
          <w:szCs w:val="24"/>
          <w:lang w:val="bg-BG"/>
        </w:rPr>
        <w:t>Институционални реформи и нови стандарт</w:t>
      </w:r>
      <w:r w:rsidR="00560454" w:rsidRPr="006F3533">
        <w:rPr>
          <w:rFonts w:cs="Times New Roman"/>
          <w:b/>
          <w:bCs/>
          <w:i/>
          <w:iCs/>
          <w:szCs w:val="24"/>
          <w:lang w:val="bg-BG"/>
        </w:rPr>
        <w:t>и</w:t>
      </w:r>
    </w:p>
    <w:p w14:paraId="6FDBDD61" w14:textId="742482D1" w:rsidR="00681B74" w:rsidRPr="006F3533" w:rsidRDefault="00681B74" w:rsidP="00077D42">
      <w:pPr>
        <w:jc w:val="both"/>
        <w:rPr>
          <w:rFonts w:cs="Times New Roman"/>
          <w:b/>
          <w:bCs/>
          <w:i/>
          <w:iCs/>
          <w:szCs w:val="24"/>
          <w:lang w:val="bg-BG"/>
        </w:rPr>
      </w:pPr>
      <w:r w:rsidRPr="006F3533">
        <w:rPr>
          <w:rFonts w:cs="Times New Roman"/>
          <w:szCs w:val="24"/>
          <w:lang w:val="bg-BG"/>
        </w:rPr>
        <w:t xml:space="preserve">Важна стъпка в посока модернизация на професионалното образование е реализираният от Министерството на образованието и науката проект „Модернизация на професионалното образование в България“ (финансиран по Оперативна програма „Наука и образование за интелигентен растеж“). В рамките на проекта бяха актуализирани държавните образователни стандарти и предефинирани професиите и специалностите в двете ключови направления – </w:t>
      </w:r>
      <w:r w:rsidRPr="006F3533">
        <w:rPr>
          <w:rFonts w:cs="Times New Roman"/>
          <w:i/>
          <w:iCs/>
          <w:szCs w:val="24"/>
          <w:lang w:val="bg-BG"/>
        </w:rPr>
        <w:t>„Строителство“</w:t>
      </w:r>
      <w:r w:rsidRPr="006F3533">
        <w:rPr>
          <w:rFonts w:cs="Times New Roman"/>
          <w:szCs w:val="24"/>
          <w:lang w:val="bg-BG"/>
        </w:rPr>
        <w:t xml:space="preserve"> и </w:t>
      </w:r>
      <w:r w:rsidRPr="006F3533">
        <w:rPr>
          <w:rFonts w:cs="Times New Roman"/>
          <w:i/>
          <w:iCs/>
          <w:szCs w:val="24"/>
          <w:lang w:val="bg-BG"/>
        </w:rPr>
        <w:t>„Електротехника и енергетика“</w:t>
      </w:r>
      <w:r w:rsidRPr="006F3533">
        <w:rPr>
          <w:rFonts w:cs="Times New Roman"/>
          <w:szCs w:val="24"/>
          <w:lang w:val="bg-BG"/>
        </w:rPr>
        <w:t xml:space="preserve">. Новите стандарти въвеждат </w:t>
      </w:r>
      <w:proofErr w:type="spellStart"/>
      <w:r w:rsidRPr="006F3533">
        <w:rPr>
          <w:rFonts w:cs="Times New Roman"/>
          <w:szCs w:val="24"/>
          <w:lang w:val="bg-BG"/>
        </w:rPr>
        <w:t>компетентностен</w:t>
      </w:r>
      <w:proofErr w:type="spellEnd"/>
      <w:r w:rsidRPr="006F3533">
        <w:rPr>
          <w:rFonts w:cs="Times New Roman"/>
          <w:szCs w:val="24"/>
          <w:lang w:val="bg-BG"/>
        </w:rPr>
        <w:t xml:space="preserve"> подход, по-тясна връзка с потребностите на бизнеса и възможности за интегриране на теми, свързани с енергийната ефективност, ВЕИ и интелигентните сгради. Въпреки това, тяхното прилагане предстои и ще изисква съгласувани усилия между образователните институции, браншовите организации и центровете за обучение на възрастни.</w:t>
      </w:r>
    </w:p>
    <w:p w14:paraId="4D787B68" w14:textId="77777777" w:rsidR="00560454" w:rsidRPr="006F3533" w:rsidRDefault="00681B74" w:rsidP="00077D42">
      <w:pPr>
        <w:jc w:val="both"/>
        <w:rPr>
          <w:rFonts w:cs="Times New Roman"/>
          <w:b/>
          <w:bCs/>
          <w:i/>
          <w:iCs/>
          <w:szCs w:val="24"/>
          <w:lang w:val="bg-BG"/>
        </w:rPr>
      </w:pPr>
      <w:r w:rsidRPr="006F3533">
        <w:rPr>
          <w:rFonts w:cs="Times New Roman"/>
          <w:b/>
          <w:bCs/>
          <w:i/>
          <w:iCs/>
          <w:szCs w:val="24"/>
          <w:lang w:val="bg-BG"/>
        </w:rPr>
        <w:t>Инсталация и поддръжка на ВЕИ системи</w:t>
      </w:r>
    </w:p>
    <w:p w14:paraId="60C8B25F" w14:textId="20EA096E" w:rsidR="00681B74" w:rsidRPr="006F3533" w:rsidRDefault="00681B74" w:rsidP="00077D42">
      <w:pPr>
        <w:jc w:val="both"/>
        <w:rPr>
          <w:rFonts w:cs="Times New Roman"/>
          <w:szCs w:val="24"/>
          <w:lang w:val="bg-BG"/>
        </w:rPr>
      </w:pPr>
      <w:r w:rsidRPr="006F3533">
        <w:rPr>
          <w:rFonts w:cs="Times New Roman"/>
          <w:szCs w:val="24"/>
          <w:lang w:val="bg-BG"/>
        </w:rPr>
        <w:t>Пазарът на възобновяеми енергийни решения се разширява, но капацитетът от сертифицирани монтажници и техници остава ограничен и неравномерно разпределен в страната. Липсата на устойчиви възможности за продължаващо и надграждащо обучение води до дефицит на специалисти, които могат да комбинират знания в съответствие с развитието на ВЕИ технологиите, свързаността с енергийната система, участието в общности за възобновяема енергия и не на последно място, координацията със строителните специалности.</w:t>
      </w:r>
    </w:p>
    <w:p w14:paraId="0E6FC227" w14:textId="11883895" w:rsidR="00681B74" w:rsidRPr="006F3533" w:rsidRDefault="00681B74" w:rsidP="00077D42">
      <w:pPr>
        <w:pStyle w:val="Heading2"/>
        <w:jc w:val="both"/>
        <w:rPr>
          <w:lang w:val="bg-BG"/>
        </w:rPr>
      </w:pPr>
      <w:bookmarkStart w:id="156" w:name="_Toc216857790"/>
      <w:bookmarkStart w:id="157" w:name="_Toc217888799"/>
      <w:r w:rsidRPr="006F3533">
        <w:rPr>
          <w:lang w:val="bg-BG"/>
        </w:rPr>
        <w:t>Административен и институционален капацитет</w:t>
      </w:r>
      <w:bookmarkEnd w:id="156"/>
      <w:bookmarkEnd w:id="157"/>
    </w:p>
    <w:p w14:paraId="70780B43" w14:textId="77777777" w:rsidR="00681B74" w:rsidRPr="006F3533" w:rsidRDefault="00681B74" w:rsidP="00077D42">
      <w:pPr>
        <w:jc w:val="both"/>
        <w:rPr>
          <w:rFonts w:cs="Times New Roman"/>
          <w:szCs w:val="24"/>
          <w:lang w:val="bg-BG"/>
        </w:rPr>
      </w:pPr>
      <w:r w:rsidRPr="006F3533">
        <w:rPr>
          <w:rFonts w:cs="Times New Roman"/>
          <w:szCs w:val="24"/>
          <w:lang w:val="bg-BG"/>
        </w:rPr>
        <w:lastRenderedPageBreak/>
        <w:t>Административният и институционалният капацитет в строителния и енергийния сектор остава критичен фактор за темпа и качеството на сградното обновяване. Въпреки наличието на установена нормативна рамка и процедури за разрешаване на строителни дейности, най-съществените затруднения произтичат от липсата на достъпна, надеждна и актуална информация, както и от ограничения експертен и аналитичен капацитет на публичните институции и местните власти.</w:t>
      </w:r>
    </w:p>
    <w:p w14:paraId="4854F2EA"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Достъп до информация и консултантски услуги</w:t>
      </w:r>
    </w:p>
    <w:p w14:paraId="7DF7D24C" w14:textId="77777777" w:rsidR="00681B74" w:rsidRPr="006F3533" w:rsidRDefault="00681B74" w:rsidP="00077D42">
      <w:pPr>
        <w:jc w:val="both"/>
        <w:rPr>
          <w:rFonts w:cs="Times New Roman"/>
          <w:szCs w:val="24"/>
          <w:lang w:val="bg-BG"/>
        </w:rPr>
      </w:pPr>
      <w:r w:rsidRPr="006F3533">
        <w:rPr>
          <w:rFonts w:cs="Times New Roman"/>
          <w:szCs w:val="24"/>
          <w:lang w:val="bg-BG"/>
        </w:rPr>
        <w:t xml:space="preserve">Системите за събиране, съхранение и обмен на данни за сградния фонд и енергийните характеристики на сградите са фрагментирани и непълни. Националният регистър на енергийните характеристики, поддържан от АУЕР, обхваща само малка част от сгради и не е представителен за определени категории сгради, а информация за частични обновявания и енергоспестяващи интервенции практически липсва. Няма публично достъпна и интегрирана база данни за мерките, които са приложени, и техния реален ефект върху потреблението и финансовите спестявания. Това ограничава възможността за оценка на напредъка към целите за </w:t>
      </w:r>
      <w:proofErr w:type="spellStart"/>
      <w:r w:rsidRPr="006F3533">
        <w:rPr>
          <w:rFonts w:cs="Times New Roman"/>
          <w:szCs w:val="24"/>
          <w:lang w:val="bg-BG"/>
        </w:rPr>
        <w:t>декарбонизация</w:t>
      </w:r>
      <w:proofErr w:type="spellEnd"/>
      <w:r w:rsidRPr="006F3533">
        <w:rPr>
          <w:rFonts w:cs="Times New Roman"/>
          <w:szCs w:val="24"/>
          <w:lang w:val="bg-BG"/>
        </w:rPr>
        <w:t xml:space="preserve"> и за моделиране на ефективни политики.</w:t>
      </w:r>
    </w:p>
    <w:p w14:paraId="274B9EE7" w14:textId="77777777" w:rsidR="00681B74" w:rsidRPr="006F3533" w:rsidRDefault="00681B74" w:rsidP="00077D42">
      <w:pPr>
        <w:jc w:val="both"/>
        <w:rPr>
          <w:rFonts w:cs="Times New Roman"/>
          <w:szCs w:val="24"/>
          <w:lang w:val="bg-BG"/>
        </w:rPr>
      </w:pPr>
      <w:r w:rsidRPr="006F3533">
        <w:rPr>
          <w:rFonts w:cs="Times New Roman"/>
          <w:szCs w:val="24"/>
          <w:lang w:val="bg-BG"/>
        </w:rPr>
        <w:t>Проблемът с информационните пропуски се задълбочава и поради липсата на технически паспорти за голяма част от съществуващите сгради. За значителен дял от жилищния и обществения сграден фонд не е налична актуална проектна документация, което прави невъзможно точното определяне на конструктивното състояние, извършените интервенции и потенциала за енергийно обновяване. В резултат, процесът на подготовка на проекти изисква допълнителни обследвания и административни процедури, които забавят изпълнението и увеличават разходите. Все още няма и актуална и достоверна информация за обитаваните жилищни единици в многофамилните жилищни сгради.</w:t>
      </w:r>
    </w:p>
    <w:p w14:paraId="1B1BCFF9"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Капацитет на местните власти</w:t>
      </w:r>
    </w:p>
    <w:p w14:paraId="150644F3" w14:textId="77777777" w:rsidR="00681B74" w:rsidRPr="006F3533" w:rsidRDefault="00681B74" w:rsidP="00077D42">
      <w:pPr>
        <w:jc w:val="both"/>
        <w:rPr>
          <w:rFonts w:cs="Times New Roman"/>
          <w:b/>
          <w:bCs/>
          <w:szCs w:val="24"/>
          <w:lang w:val="bg-BG"/>
        </w:rPr>
      </w:pPr>
      <w:r w:rsidRPr="006F3533">
        <w:rPr>
          <w:rFonts w:cs="Times New Roman"/>
          <w:szCs w:val="24"/>
          <w:lang w:val="bg-BG"/>
        </w:rPr>
        <w:t xml:space="preserve">Голяма част от общините разполагат с ограничен човешки ресурс и липса на експерти с опит в управлението на проекти за сградно обновяване, ВЕИ и енергийно планиране. Според наблюденията от прилагането на предходните програми, много общини не поддържат актуални бази данни за публичния сградния фонд и енергийното потребление, нямат системи за мониторинг и анализ, нито достъп до актуални софтуерни инструменти. Това води до затруднения при </w:t>
      </w:r>
      <w:proofErr w:type="spellStart"/>
      <w:r w:rsidRPr="006F3533">
        <w:rPr>
          <w:rFonts w:cs="Times New Roman"/>
          <w:szCs w:val="24"/>
          <w:lang w:val="bg-BG"/>
        </w:rPr>
        <w:t>приоритизация</w:t>
      </w:r>
      <w:proofErr w:type="spellEnd"/>
      <w:r w:rsidRPr="006F3533">
        <w:rPr>
          <w:rFonts w:cs="Times New Roman"/>
          <w:szCs w:val="24"/>
          <w:lang w:val="bg-BG"/>
        </w:rPr>
        <w:t xml:space="preserve"> на сгради, подготовка на инвестиционни програми и осигуряване на контрол върху изпълнението.</w:t>
      </w:r>
    </w:p>
    <w:p w14:paraId="2C8FC850" w14:textId="77777777" w:rsidR="00681B74" w:rsidRPr="006F3533" w:rsidRDefault="00681B74" w:rsidP="00077D42">
      <w:pPr>
        <w:jc w:val="both"/>
        <w:rPr>
          <w:rFonts w:cs="Times New Roman"/>
          <w:szCs w:val="24"/>
          <w:lang w:val="bg-BG"/>
        </w:rPr>
      </w:pPr>
      <w:r w:rsidRPr="006F3533">
        <w:rPr>
          <w:rFonts w:cs="Times New Roman"/>
          <w:szCs w:val="24"/>
          <w:lang w:val="bg-BG"/>
        </w:rPr>
        <w:t>Ограниченият административен капацитет се отразява и на качеството на техническата помощ, предоставяна на гражданите и бизнеса. Дейността на Центровете за комплексно обслужване (OSS), където такива са създадени, остава силно зависима от външна експертна подкрепа и проектно финансиране, което поставя под въпрос тяхната устойчивост в дългосрочен план.</w:t>
      </w:r>
    </w:p>
    <w:p w14:paraId="23047B15"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Процедури и регулаторна рамка</w:t>
      </w:r>
    </w:p>
    <w:p w14:paraId="7DF29C2F" w14:textId="77777777" w:rsidR="00681B74" w:rsidRPr="006F3533" w:rsidRDefault="00681B74" w:rsidP="00077D42">
      <w:pPr>
        <w:jc w:val="both"/>
        <w:rPr>
          <w:rFonts w:cs="Times New Roman"/>
          <w:szCs w:val="24"/>
          <w:lang w:val="bg-BG"/>
        </w:rPr>
      </w:pPr>
      <w:r w:rsidRPr="006F3533">
        <w:rPr>
          <w:rFonts w:cs="Times New Roman"/>
          <w:szCs w:val="24"/>
          <w:lang w:val="bg-BG"/>
        </w:rPr>
        <w:lastRenderedPageBreak/>
        <w:t>Въпреки че процедурите по издаване на разрешителни за строеж, включително за ВЕИ инсталации, са сравнително добре регламентирани, липсата на дигитализация и интеграция между институциите продължава да води до забавяния и административна тежест. Електронното управление на строителния процес е въведено частично, без пълна функционалност за проследяване на инвестиционните проекти и автоматизиран обмен на данни между общини, кадастър и енергийни агенции.</w:t>
      </w:r>
    </w:p>
    <w:p w14:paraId="5F5EA2D2"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Данни за децентрализираното производство и енергийните общности</w:t>
      </w:r>
    </w:p>
    <w:p w14:paraId="4C9933EC" w14:textId="77777777" w:rsidR="00681B74" w:rsidRPr="006F3533" w:rsidRDefault="00681B74" w:rsidP="00077D42">
      <w:pPr>
        <w:jc w:val="both"/>
        <w:rPr>
          <w:rFonts w:cs="Times New Roman"/>
          <w:szCs w:val="24"/>
          <w:lang w:val="bg-BG"/>
        </w:rPr>
      </w:pPr>
      <w:r w:rsidRPr="006F3533">
        <w:rPr>
          <w:rFonts w:cs="Times New Roman"/>
          <w:bCs/>
          <w:szCs w:val="24"/>
          <w:lang w:val="bg-BG"/>
        </w:rPr>
        <w:t>С</w:t>
      </w:r>
      <w:r w:rsidRPr="006F3533">
        <w:rPr>
          <w:rFonts w:cs="Times New Roman"/>
          <w:szCs w:val="24"/>
          <w:lang w:val="bg-BG"/>
        </w:rPr>
        <w:t>ъществува сериозен дефицит на информация за децентрализираното производство и потребление на енергия. Няма централизирана система, която да проследява броя, мощността и енергийните потоци от малки ВЕИ инсталации, разположени върху жилищни или обществени сгради. Това затруднява интеграцията на сградните ВЕИ решения в енергийната система и възпрепятства създаването на енергийни общности, които разчитат именно на споделено производство и обмен на данни между потребителите и мрежовите оператори.</w:t>
      </w:r>
    </w:p>
    <w:p w14:paraId="2C69B236" w14:textId="77777777" w:rsidR="00681B74" w:rsidRPr="006F3533" w:rsidRDefault="00681B74" w:rsidP="00077D42">
      <w:pPr>
        <w:jc w:val="both"/>
        <w:rPr>
          <w:rFonts w:cs="Times New Roman"/>
          <w:szCs w:val="24"/>
          <w:lang w:val="bg-BG"/>
        </w:rPr>
      </w:pPr>
      <w:r w:rsidRPr="006F3533">
        <w:rPr>
          <w:rFonts w:cs="Times New Roman"/>
          <w:szCs w:val="24"/>
          <w:lang w:val="bg-BG"/>
        </w:rPr>
        <w:t>Липсата на достоверни и съвместими бази данни между институции – кадастър, общини, АУЕР, ЕРП, НСИ – прави изключително трудно пълното и изчерпателно моделиране на енергийното потребление в подход отдолу-нагоре и идентифицирането на потенциала за обновяване по региони и типове сгради. Този информационен дефицит е една от най-сериозните бариери пред ефективното стратегическо планиране и координираното управление на инвестициите в сградния фонд.</w:t>
      </w:r>
    </w:p>
    <w:p w14:paraId="6DE69469"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Недостатъчен стратегически и аналитичен капацитет</w:t>
      </w:r>
    </w:p>
    <w:p w14:paraId="41D87555" w14:textId="77777777" w:rsidR="00681B74" w:rsidRPr="006F3533" w:rsidRDefault="00681B74" w:rsidP="00077D42">
      <w:pPr>
        <w:jc w:val="both"/>
        <w:rPr>
          <w:rFonts w:cs="Times New Roman"/>
          <w:szCs w:val="24"/>
          <w:lang w:val="bg-BG"/>
        </w:rPr>
      </w:pPr>
      <w:r w:rsidRPr="006F3533">
        <w:rPr>
          <w:rFonts w:cs="Times New Roman"/>
          <w:szCs w:val="24"/>
          <w:lang w:val="bg-BG"/>
        </w:rPr>
        <w:t>Въпреки натрупания опит с националните и европейските програми, институционалната координация между министерства, агенции и общини остава фрагментирана. Липсва централизирана структура, отговорна за интегрираното наблюдение, анализ и планиране на процесите по сградно обновяване. Повечето аналитични дейности се извършват в рамките на отделни проекти, без постоянен механизъм за актуализиране на данните и оценка на ефективността на политиките.</w:t>
      </w:r>
    </w:p>
    <w:p w14:paraId="7FBC0481" w14:textId="6A5D90F6" w:rsidR="00E13238" w:rsidRPr="006F3533" w:rsidRDefault="00E13238" w:rsidP="00E13238">
      <w:pPr>
        <w:jc w:val="both"/>
        <w:rPr>
          <w:rFonts w:cs="Times New Roman"/>
          <w:szCs w:val="24"/>
          <w:lang w:val="bg-BG"/>
        </w:rPr>
      </w:pPr>
      <w:r w:rsidRPr="006F3533">
        <w:rPr>
          <w:rFonts w:cs="Times New Roman"/>
          <w:szCs w:val="24"/>
          <w:lang w:val="bg-BG"/>
        </w:rPr>
        <w:t xml:space="preserve">В обобщение, може да се твърди, че </w:t>
      </w:r>
      <w:r w:rsidR="004B18B0" w:rsidRPr="006F3533">
        <w:rPr>
          <w:rFonts w:cs="Times New Roman"/>
          <w:szCs w:val="24"/>
          <w:lang w:val="bg-BG"/>
        </w:rPr>
        <w:t xml:space="preserve">въпреки че </w:t>
      </w:r>
      <w:r w:rsidRPr="006F3533">
        <w:rPr>
          <w:rFonts w:cs="Times New Roman"/>
          <w:szCs w:val="24"/>
          <w:lang w:val="bg-BG"/>
        </w:rPr>
        <w:t xml:space="preserve">българският строителен сектор демонстрира устойчив растеж и стабилни икономически показатели, </w:t>
      </w:r>
      <w:r w:rsidR="004B18B0" w:rsidRPr="006F3533">
        <w:rPr>
          <w:rFonts w:cs="Times New Roman"/>
          <w:szCs w:val="24"/>
          <w:lang w:val="bg-BG"/>
        </w:rPr>
        <w:t>той вече</w:t>
      </w:r>
      <w:r w:rsidRPr="006F3533">
        <w:rPr>
          <w:rFonts w:cs="Times New Roman"/>
          <w:szCs w:val="24"/>
          <w:lang w:val="bg-BG"/>
        </w:rPr>
        <w:t xml:space="preserve"> навлиза в етап, в който структурните ограничения започват да ограничават потенциала му за ускорено сградно обновяване. Работната сила е изчерпана и застаряваща, нивото на дигитализация остава ниско, а достъпът до модерни технологии и оборудване е концентриран в ограничен брой предприятия.</w:t>
      </w:r>
    </w:p>
    <w:p w14:paraId="6B05C5FE" w14:textId="77777777" w:rsidR="00E13238" w:rsidRPr="006F3533" w:rsidRDefault="00E13238" w:rsidP="00E13238">
      <w:pPr>
        <w:jc w:val="both"/>
        <w:rPr>
          <w:rFonts w:cs="Times New Roman"/>
          <w:szCs w:val="24"/>
          <w:lang w:val="bg-BG"/>
        </w:rPr>
      </w:pPr>
      <w:r w:rsidRPr="006F3533">
        <w:rPr>
          <w:rFonts w:cs="Times New Roman"/>
          <w:szCs w:val="24"/>
          <w:lang w:val="bg-BG"/>
        </w:rPr>
        <w:t>Основните дефицити са свързани с липсата на квалифицирани кадри и система за продължаващо професионално обучение, ограничената индустриализация и дигитализация на строителните процеси, както и с фрагментирания административен и аналитичен капацитет. Съществуващите информационни пропуски – липса на технически паспорти, неактуални данни за сградния фонд и слаба координация между институциите – допълнително затрудняват стратегическото управление на програмите.</w:t>
      </w:r>
    </w:p>
    <w:p w14:paraId="793C0210" w14:textId="5EC5876A" w:rsidR="00E13238" w:rsidRPr="006F3533" w:rsidRDefault="00E13238" w:rsidP="00077D42">
      <w:pPr>
        <w:jc w:val="both"/>
        <w:rPr>
          <w:rFonts w:cs="Times New Roman"/>
          <w:szCs w:val="24"/>
          <w:lang w:val="bg-BG"/>
        </w:rPr>
      </w:pPr>
      <w:r w:rsidRPr="006F3533">
        <w:rPr>
          <w:rFonts w:cs="Times New Roman"/>
          <w:szCs w:val="24"/>
          <w:lang w:val="bg-BG"/>
        </w:rPr>
        <w:lastRenderedPageBreak/>
        <w:t xml:space="preserve">Постигането на целите за дълбока </w:t>
      </w:r>
      <w:proofErr w:type="spellStart"/>
      <w:r w:rsidRPr="006F3533">
        <w:rPr>
          <w:rFonts w:cs="Times New Roman"/>
          <w:szCs w:val="24"/>
          <w:lang w:val="bg-BG"/>
        </w:rPr>
        <w:t>декарбонизация</w:t>
      </w:r>
      <w:proofErr w:type="spellEnd"/>
      <w:r w:rsidRPr="006F3533">
        <w:rPr>
          <w:rFonts w:cs="Times New Roman"/>
          <w:szCs w:val="24"/>
          <w:lang w:val="bg-BG"/>
        </w:rPr>
        <w:t xml:space="preserve"> и повишаване на енергийната ефективност изисква синхронизирани усилия между публичните институции, бизнеса и образователната система. Развитието на човешкия капитал, модернизацията на технологичната база и изграждането на цифрови и консултантски инфраструктури трябва да вървят паралелно с пълноценното и качествено изпълнението на дейностите, заложени в следващия раздел „Политики и мерки“, на реформите в </w:t>
      </w:r>
      <w:r w:rsidRPr="006F3533">
        <w:rPr>
          <w:rStyle w:val="Strong"/>
          <w:rFonts w:cs="Times New Roman"/>
          <w:b w:val="0"/>
          <w:bCs w:val="0"/>
          <w:szCs w:val="24"/>
          <w:lang w:val="bg-BG"/>
        </w:rPr>
        <w:t>Националния план за възстановяване и устойчивост на Република България</w:t>
      </w:r>
      <w:r w:rsidRPr="006F3533">
        <w:rPr>
          <w:rFonts w:cs="Times New Roman"/>
          <w:szCs w:val="24"/>
          <w:lang w:val="bg-BG"/>
        </w:rPr>
        <w:t>, както и на мерките в цитираните по горе</w:t>
      </w:r>
      <w:r w:rsidRPr="006F3533">
        <w:rPr>
          <w:rFonts w:cs="Times New Roman"/>
          <w:b/>
          <w:bCs/>
          <w:szCs w:val="24"/>
          <w:lang w:val="bg-BG"/>
        </w:rPr>
        <w:t xml:space="preserve"> </w:t>
      </w:r>
      <w:r w:rsidRPr="006F3533">
        <w:rPr>
          <w:rStyle w:val="Strong"/>
          <w:rFonts w:cs="Times New Roman"/>
          <w:b w:val="0"/>
          <w:bCs w:val="0"/>
          <w:szCs w:val="24"/>
          <w:lang w:val="bg-BG"/>
        </w:rPr>
        <w:t xml:space="preserve">Национална стратегия за цифрова трансформация на строителния сектор до 2030 г.“ </w:t>
      </w:r>
      <w:r w:rsidRPr="006F3533">
        <w:rPr>
          <w:rFonts w:cs="Times New Roman"/>
          <w:szCs w:val="24"/>
          <w:lang w:val="bg-BG"/>
        </w:rPr>
        <w:t xml:space="preserve">и </w:t>
      </w:r>
      <w:r w:rsidRPr="006F3533">
        <w:rPr>
          <w:rStyle w:val="Strong"/>
          <w:rFonts w:cs="Times New Roman"/>
          <w:b w:val="0"/>
          <w:bCs w:val="0"/>
          <w:szCs w:val="24"/>
          <w:lang w:val="bg-BG"/>
        </w:rPr>
        <w:t>„Пътна карта за развитие на уменията в строителния сектор до 2030 г.“</w:t>
      </w:r>
    </w:p>
    <w:p w14:paraId="281A1B04" w14:textId="14FEEBBB" w:rsidR="00681B74" w:rsidRPr="006F3533" w:rsidRDefault="00681B74" w:rsidP="00077D42">
      <w:pPr>
        <w:pStyle w:val="Heading2"/>
        <w:jc w:val="both"/>
        <w:rPr>
          <w:lang w:val="bg-BG"/>
        </w:rPr>
      </w:pPr>
      <w:bookmarkStart w:id="158" w:name="_Toc216857791"/>
      <w:bookmarkStart w:id="159" w:name="_Toc217888800"/>
      <w:r w:rsidRPr="006F3533">
        <w:rPr>
          <w:lang w:val="bg-BG"/>
        </w:rPr>
        <w:t>Основни бариери и ограничения</w:t>
      </w:r>
      <w:bookmarkEnd w:id="158"/>
      <w:r w:rsidR="00E13238" w:rsidRPr="006F3533">
        <w:rPr>
          <w:lang w:val="bg-BG"/>
        </w:rPr>
        <w:t>: обобщение</w:t>
      </w:r>
      <w:bookmarkEnd w:id="159"/>
    </w:p>
    <w:p w14:paraId="0C8B39D4" w14:textId="5AE8E71D" w:rsidR="00681B74" w:rsidRPr="006F3533" w:rsidRDefault="00681B74" w:rsidP="00077D42">
      <w:pPr>
        <w:jc w:val="both"/>
        <w:rPr>
          <w:rFonts w:cs="Times New Roman"/>
          <w:szCs w:val="24"/>
          <w:lang w:val="bg-BG"/>
        </w:rPr>
      </w:pPr>
      <w:r w:rsidRPr="006F3533">
        <w:rPr>
          <w:rFonts w:cs="Times New Roman"/>
          <w:szCs w:val="24"/>
          <w:lang w:val="bg-BG"/>
        </w:rPr>
        <w:t>Процесът на мащабно сградно обновяване в България е възпрепятстван от съчетание на административни, финансови, технически и социални ограничения, които имат системен характер и изискват интегриран подход. Повечето от тях произтичат от историческата фрагментация на сектора, ограничената дигитализация и липсата на устойчиви финансови и кадрови механизми.</w:t>
      </w:r>
      <w:r w:rsidR="004B18B0" w:rsidRPr="006F3533">
        <w:rPr>
          <w:rFonts w:cs="Times New Roman"/>
          <w:szCs w:val="24"/>
          <w:lang w:val="bg-BG"/>
        </w:rPr>
        <w:t xml:space="preserve"> Основните бариери пред ефективното изпълнение на политики в областта на сградното обновяване са обобщени в следните таблици: </w:t>
      </w:r>
    </w:p>
    <w:p w14:paraId="18370659" w14:textId="116FABE3" w:rsidR="004B18B0" w:rsidRPr="006F3533" w:rsidRDefault="004B18B0" w:rsidP="00077D42">
      <w:pPr>
        <w:jc w:val="both"/>
        <w:rPr>
          <w:rFonts w:cs="Times New Roman"/>
          <w:b/>
          <w:bCs/>
          <w:i/>
          <w:iCs/>
          <w:szCs w:val="24"/>
          <w:lang w:val="bg-BG"/>
        </w:rPr>
      </w:pPr>
      <w:r w:rsidRPr="006F3533">
        <w:rPr>
          <w:rFonts w:cs="Times New Roman"/>
          <w:b/>
          <w:bCs/>
          <w:i/>
          <w:iCs/>
          <w:szCs w:val="24"/>
          <w:lang w:val="bg-BG"/>
        </w:rPr>
        <w:t>Системни бариери</w:t>
      </w:r>
    </w:p>
    <w:tbl>
      <w:tblPr>
        <w:tblStyle w:val="GridTable4-Accent1"/>
        <w:tblW w:w="0" w:type="auto"/>
        <w:tblInd w:w="0" w:type="dxa"/>
        <w:tblLook w:val="04A0" w:firstRow="1" w:lastRow="0" w:firstColumn="1" w:lastColumn="0" w:noHBand="0" w:noVBand="1"/>
      </w:tblPr>
      <w:tblGrid>
        <w:gridCol w:w="2596"/>
        <w:gridCol w:w="6466"/>
      </w:tblGrid>
      <w:tr w:rsidR="00681B74" w:rsidRPr="006F3533" w14:paraId="13D1B82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4363788" w14:textId="77777777" w:rsidR="00681B74" w:rsidRPr="006F3533" w:rsidRDefault="00681B74" w:rsidP="00077D42">
            <w:pPr>
              <w:jc w:val="both"/>
              <w:rPr>
                <w:rFonts w:cs="Times New Roman"/>
              </w:rPr>
            </w:pPr>
            <w:r w:rsidRPr="006F3533">
              <w:rPr>
                <w:rFonts w:cs="Times New Roman"/>
              </w:rPr>
              <w:t>Вид бариера</w:t>
            </w:r>
          </w:p>
        </w:tc>
        <w:tc>
          <w:tcPr>
            <w:tcW w:w="0" w:type="auto"/>
            <w:hideMark/>
          </w:tcPr>
          <w:p w14:paraId="3EFD3B1E" w14:textId="77777777" w:rsidR="00681B74" w:rsidRPr="006F3533" w:rsidRDefault="00681B74" w:rsidP="00077D42">
            <w:pPr>
              <w:jc w:val="both"/>
              <w:cnfStyle w:val="100000000000" w:firstRow="1" w:lastRow="0" w:firstColumn="0" w:lastColumn="0" w:oddVBand="0" w:evenVBand="0" w:oddHBand="0" w:evenHBand="0" w:firstRowFirstColumn="0" w:firstRowLastColumn="0" w:lastRowFirstColumn="0" w:lastRowLastColumn="0"/>
              <w:rPr>
                <w:rFonts w:cs="Times New Roman"/>
              </w:rPr>
            </w:pPr>
            <w:r w:rsidRPr="006F3533">
              <w:rPr>
                <w:rFonts w:cs="Times New Roman"/>
              </w:rPr>
              <w:t>Ключови проявления в България</w:t>
            </w:r>
          </w:p>
        </w:tc>
      </w:tr>
      <w:tr w:rsidR="00681B74" w:rsidRPr="006F3533" w14:paraId="6C17A03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F928A3B" w14:textId="77777777" w:rsidR="00681B74" w:rsidRPr="006F3533" w:rsidRDefault="00681B74" w:rsidP="00077D42">
            <w:pPr>
              <w:jc w:val="both"/>
              <w:rPr>
                <w:rFonts w:cs="Times New Roman"/>
              </w:rPr>
            </w:pPr>
            <w:r w:rsidRPr="006F3533">
              <w:rPr>
                <w:rFonts w:cs="Times New Roman"/>
              </w:rPr>
              <w:t>Административни бариери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9A0ED6C" w14:textId="77777777" w:rsidR="000219B7"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 xml:space="preserve">- </w:t>
            </w:r>
            <w:r w:rsidRPr="006F3533">
              <w:rPr>
                <w:rFonts w:cs="Times New Roman"/>
                <w:b/>
                <w:bCs/>
              </w:rPr>
              <w:t>Фрагментирана институционална рамка</w:t>
            </w:r>
            <w:r w:rsidRPr="006F3533">
              <w:rPr>
                <w:rFonts w:cs="Times New Roman"/>
              </w:rPr>
              <w:t xml:space="preserve"> – отговорностите за енергийна ефективност, възобновяема енергия, строителен контрол и финансиране са разпределени между множество органи (МЕ, МРРБ, МОСВ, МФ, АУЕР, общини и др.), без централен координационен механизъм.</w:t>
            </w:r>
          </w:p>
          <w:p w14:paraId="63CDE002" w14:textId="2A25D5D5" w:rsidR="00681B74" w:rsidRPr="006F3533" w:rsidRDefault="000219B7"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Pr>
                <w:rFonts w:cs="Times New Roman"/>
              </w:rPr>
              <w:t xml:space="preserve">- </w:t>
            </w:r>
            <w:r>
              <w:rPr>
                <w:rFonts w:cs="Times New Roman"/>
                <w:b/>
                <w:bCs/>
              </w:rPr>
              <w:t>Н</w:t>
            </w:r>
            <w:proofErr w:type="spellStart"/>
            <w:r w:rsidRPr="000219B7">
              <w:rPr>
                <w:rFonts w:cs="Times New Roman"/>
                <w:b/>
                <w:bCs/>
                <w:lang w:val="fr-BE"/>
              </w:rPr>
              <w:t>естабилност</w:t>
            </w:r>
            <w:proofErr w:type="spellEnd"/>
            <w:r w:rsidRPr="000219B7">
              <w:rPr>
                <w:rFonts w:cs="Times New Roman"/>
                <w:b/>
                <w:bCs/>
                <w:lang w:val="fr-BE"/>
              </w:rPr>
              <w:t xml:space="preserve"> и </w:t>
            </w:r>
            <w:proofErr w:type="spellStart"/>
            <w:r w:rsidRPr="000219B7">
              <w:rPr>
                <w:rFonts w:cs="Times New Roman"/>
                <w:b/>
                <w:bCs/>
                <w:lang w:val="fr-BE"/>
              </w:rPr>
              <w:t>кампаниен</w:t>
            </w:r>
            <w:proofErr w:type="spellEnd"/>
            <w:r w:rsidRPr="000219B7">
              <w:rPr>
                <w:rFonts w:cs="Times New Roman"/>
                <w:b/>
                <w:bCs/>
                <w:lang w:val="fr-BE"/>
              </w:rPr>
              <w:t xml:space="preserve"> </w:t>
            </w:r>
            <w:proofErr w:type="spellStart"/>
            <w:r w:rsidRPr="000219B7">
              <w:rPr>
                <w:rFonts w:cs="Times New Roman"/>
                <w:b/>
                <w:bCs/>
                <w:lang w:val="fr-BE"/>
              </w:rPr>
              <w:t>характер</w:t>
            </w:r>
            <w:proofErr w:type="spellEnd"/>
            <w:r w:rsidRPr="000219B7">
              <w:rPr>
                <w:rFonts w:cs="Times New Roman"/>
                <w:b/>
                <w:bCs/>
                <w:lang w:val="fr-BE"/>
              </w:rPr>
              <w:t xml:space="preserve"> </w:t>
            </w:r>
            <w:proofErr w:type="spellStart"/>
            <w:r w:rsidRPr="000219B7">
              <w:rPr>
                <w:rFonts w:cs="Times New Roman"/>
                <w:b/>
                <w:bCs/>
                <w:lang w:val="fr-BE"/>
              </w:rPr>
              <w:t>на</w:t>
            </w:r>
            <w:proofErr w:type="spellEnd"/>
            <w:r w:rsidRPr="000219B7">
              <w:rPr>
                <w:rFonts w:cs="Times New Roman"/>
                <w:b/>
                <w:bCs/>
                <w:lang w:val="fr-BE"/>
              </w:rPr>
              <w:t xml:space="preserve"> </w:t>
            </w:r>
            <w:proofErr w:type="spellStart"/>
            <w:r w:rsidRPr="000219B7">
              <w:rPr>
                <w:rFonts w:cs="Times New Roman"/>
                <w:b/>
                <w:bCs/>
                <w:lang w:val="fr-BE"/>
              </w:rPr>
              <w:t>политикит</w:t>
            </w:r>
            <w:proofErr w:type="spellEnd"/>
            <w:r>
              <w:rPr>
                <w:rFonts w:cs="Times New Roman"/>
                <w:b/>
                <w:bCs/>
              </w:rPr>
              <w:t xml:space="preserve">е - </w:t>
            </w:r>
            <w:r w:rsidRPr="000219B7">
              <w:rPr>
                <w:rFonts w:cs="Times New Roman"/>
              </w:rPr>
              <w:t xml:space="preserve">ограничени във времето </w:t>
            </w:r>
            <w:proofErr w:type="spellStart"/>
            <w:r w:rsidRPr="000219B7">
              <w:rPr>
                <w:rFonts w:cs="Times New Roman"/>
              </w:rPr>
              <w:t>грантови</w:t>
            </w:r>
            <w:proofErr w:type="spellEnd"/>
            <w:r w:rsidRPr="000219B7">
              <w:rPr>
                <w:rFonts w:cs="Times New Roman"/>
              </w:rPr>
              <w:t xml:space="preserve"> програми без приемственост между програмните периоди</w:t>
            </w:r>
            <w:r>
              <w:rPr>
                <w:rFonts w:cs="Times New Roman"/>
              </w:rPr>
              <w:t xml:space="preserve">, което </w:t>
            </w:r>
            <w:r w:rsidRPr="000219B7">
              <w:rPr>
                <w:rFonts w:cs="Times New Roman"/>
              </w:rPr>
              <w:t>води до прекъсване на инвестиционния процес, загуба на административен и пазарен капацитет, ниска предвидимост за частния сектор и невъзможност за развитие на устойчив пазар на услуги</w:t>
            </w:r>
            <w:r>
              <w:rPr>
                <w:rFonts w:cs="Times New Roman"/>
              </w:rPr>
              <w:t>.</w:t>
            </w:r>
            <w:r w:rsidRPr="000219B7">
              <w:rPr>
                <w:rFonts w:cs="Times New Roman"/>
              </w:rPr>
              <w:t xml:space="preserve"> </w:t>
            </w:r>
            <w:r w:rsidR="00681B74" w:rsidRPr="006F3533">
              <w:rPr>
                <w:rFonts w:cs="Times New Roman"/>
              </w:rPr>
              <w:br/>
              <w:t xml:space="preserve">- </w:t>
            </w:r>
            <w:r w:rsidR="00681B74" w:rsidRPr="006F3533">
              <w:rPr>
                <w:rFonts w:cs="Times New Roman"/>
                <w:b/>
                <w:bCs/>
              </w:rPr>
              <w:t>Ограничен административен капацитет на местните власти</w:t>
            </w:r>
            <w:r w:rsidR="00681B74" w:rsidRPr="006F3533">
              <w:rPr>
                <w:rFonts w:cs="Times New Roman"/>
              </w:rPr>
              <w:t xml:space="preserve"> – недостиг на експерти по енергийно планиране и управление на проекти; зависимост от външна техническа помощ.</w:t>
            </w:r>
            <w:r w:rsidR="00681B74" w:rsidRPr="006F3533">
              <w:rPr>
                <w:rFonts w:cs="Times New Roman"/>
              </w:rPr>
              <w:br/>
              <w:t xml:space="preserve">- </w:t>
            </w:r>
            <w:r w:rsidR="00681B74" w:rsidRPr="006F3533">
              <w:rPr>
                <w:rFonts w:cs="Times New Roman"/>
                <w:b/>
                <w:bCs/>
              </w:rPr>
              <w:t>Липса на единна система за данни и проследяване</w:t>
            </w:r>
            <w:r w:rsidR="00681B74" w:rsidRPr="006F3533">
              <w:rPr>
                <w:rFonts w:cs="Times New Roman"/>
              </w:rPr>
              <w:t xml:space="preserve"> – отсъстват технически паспорти и централизирана база за енергийното състояние и обновяването на сградите.</w:t>
            </w:r>
            <w:r w:rsidR="00681B74" w:rsidRPr="006F3533">
              <w:rPr>
                <w:rFonts w:cs="Times New Roman"/>
              </w:rPr>
              <w:br/>
              <w:t xml:space="preserve">- </w:t>
            </w:r>
            <w:r w:rsidR="00681B74" w:rsidRPr="006F3533">
              <w:rPr>
                <w:rFonts w:cs="Times New Roman"/>
                <w:b/>
                <w:bCs/>
              </w:rPr>
              <w:t>Неравномерен достъп до консултантски услуги</w:t>
            </w:r>
            <w:r w:rsidR="00681B74" w:rsidRPr="006F3533">
              <w:rPr>
                <w:rFonts w:cs="Times New Roman"/>
              </w:rPr>
              <w:t xml:space="preserve"> – Центрове за комплексно обслужване (OSS) с пълна функционалност съществуват само в пилотен режим и не покриват всички региони.</w:t>
            </w:r>
          </w:p>
        </w:tc>
      </w:tr>
      <w:tr w:rsidR="00681B74" w:rsidRPr="006F3533" w14:paraId="713A49C7"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1694E1E" w14:textId="77777777" w:rsidR="00681B74" w:rsidRPr="006F3533" w:rsidRDefault="00681B74" w:rsidP="00077D42">
            <w:pPr>
              <w:jc w:val="both"/>
              <w:rPr>
                <w:rFonts w:cs="Times New Roman"/>
              </w:rPr>
            </w:pPr>
            <w:r w:rsidRPr="006F3533">
              <w:rPr>
                <w:rFonts w:cs="Times New Roman"/>
              </w:rPr>
              <w:lastRenderedPageBreak/>
              <w:t>Финансови бариери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EBA58F8" w14:textId="77777777" w:rsidR="000219B7"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 xml:space="preserve">- </w:t>
            </w:r>
            <w:r w:rsidRPr="006F3533">
              <w:rPr>
                <w:rFonts w:cs="Times New Roman"/>
                <w:b/>
                <w:bCs/>
              </w:rPr>
              <w:t>Липса на дългосрочни финансови инструменти</w:t>
            </w:r>
            <w:r w:rsidRPr="006F3533">
              <w:rPr>
                <w:rFonts w:cs="Times New Roman"/>
              </w:rPr>
              <w:t xml:space="preserve"> – отсъствие на функциониращи револвиращи фондове и схеми за нисколихвено кредитиране.</w:t>
            </w:r>
          </w:p>
          <w:p w14:paraId="1FE6B855" w14:textId="6517FAA4" w:rsidR="00681B74" w:rsidRPr="006F3533" w:rsidRDefault="000219B7"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0219B7">
              <w:rPr>
                <w:rFonts w:cs="Times New Roman"/>
                <w:b/>
                <w:bCs/>
              </w:rPr>
              <w:t>- Д</w:t>
            </w:r>
            <w:proofErr w:type="spellStart"/>
            <w:r w:rsidRPr="000219B7">
              <w:rPr>
                <w:rFonts w:cs="Times New Roman"/>
                <w:b/>
                <w:bCs/>
                <w:lang w:val="fr-BE"/>
              </w:rPr>
              <w:t>оминиране</w:t>
            </w:r>
            <w:proofErr w:type="spellEnd"/>
            <w:r w:rsidRPr="000219B7">
              <w:rPr>
                <w:rFonts w:cs="Times New Roman"/>
                <w:b/>
                <w:bCs/>
                <w:lang w:val="fr-BE"/>
              </w:rPr>
              <w:t xml:space="preserve"> </w:t>
            </w:r>
            <w:proofErr w:type="spellStart"/>
            <w:r w:rsidRPr="000219B7">
              <w:rPr>
                <w:rFonts w:cs="Times New Roman"/>
                <w:b/>
                <w:bCs/>
                <w:lang w:val="fr-BE"/>
              </w:rPr>
              <w:t>на</w:t>
            </w:r>
            <w:proofErr w:type="spellEnd"/>
            <w:r w:rsidRPr="000219B7">
              <w:rPr>
                <w:rFonts w:cs="Times New Roman"/>
                <w:b/>
                <w:bCs/>
                <w:lang w:val="fr-BE"/>
              </w:rPr>
              <w:t xml:space="preserve"> </w:t>
            </w:r>
            <w:proofErr w:type="spellStart"/>
            <w:r w:rsidRPr="000219B7">
              <w:rPr>
                <w:rFonts w:cs="Times New Roman"/>
                <w:b/>
                <w:bCs/>
                <w:lang w:val="fr-BE"/>
              </w:rPr>
              <w:t>безвъзмездното</w:t>
            </w:r>
            <w:proofErr w:type="spellEnd"/>
            <w:r w:rsidRPr="000219B7">
              <w:rPr>
                <w:rFonts w:cs="Times New Roman"/>
                <w:b/>
                <w:bCs/>
                <w:lang w:val="fr-BE"/>
              </w:rPr>
              <w:t xml:space="preserve"> </w:t>
            </w:r>
            <w:proofErr w:type="spellStart"/>
            <w:r w:rsidRPr="000219B7">
              <w:rPr>
                <w:rFonts w:cs="Times New Roman"/>
                <w:b/>
                <w:bCs/>
                <w:lang w:val="fr-BE"/>
              </w:rPr>
              <w:t>финансиране</w:t>
            </w:r>
            <w:proofErr w:type="spellEnd"/>
            <w:r>
              <w:rPr>
                <w:rFonts w:cs="Times New Roman"/>
              </w:rPr>
              <w:t xml:space="preserve"> - п</w:t>
            </w:r>
            <w:proofErr w:type="spellStart"/>
            <w:r w:rsidRPr="000219B7">
              <w:rPr>
                <w:rFonts w:cs="Times New Roman"/>
                <w:lang w:val="fr-BE"/>
              </w:rPr>
              <w:t>родължителното</w:t>
            </w:r>
            <w:proofErr w:type="spellEnd"/>
            <w:r w:rsidRPr="000219B7">
              <w:rPr>
                <w:rFonts w:cs="Times New Roman"/>
                <w:lang w:val="fr-BE"/>
              </w:rPr>
              <w:t xml:space="preserve"> </w:t>
            </w:r>
            <w:proofErr w:type="spellStart"/>
            <w:r w:rsidRPr="000219B7">
              <w:rPr>
                <w:rFonts w:cs="Times New Roman"/>
                <w:lang w:val="fr-BE"/>
              </w:rPr>
              <w:t>прилагане</w:t>
            </w:r>
            <w:proofErr w:type="spellEnd"/>
            <w:r w:rsidRPr="000219B7">
              <w:rPr>
                <w:rFonts w:cs="Times New Roman"/>
                <w:lang w:val="fr-BE"/>
              </w:rPr>
              <w:t xml:space="preserve"> </w:t>
            </w:r>
            <w:proofErr w:type="spellStart"/>
            <w:r w:rsidRPr="000219B7">
              <w:rPr>
                <w:rFonts w:cs="Times New Roman"/>
                <w:lang w:val="fr-BE"/>
              </w:rPr>
              <w:t>на</w:t>
            </w:r>
            <w:proofErr w:type="spellEnd"/>
            <w:r w:rsidRPr="000219B7">
              <w:rPr>
                <w:rFonts w:cs="Times New Roman"/>
                <w:lang w:val="fr-BE"/>
              </w:rPr>
              <w:t xml:space="preserve"> 100% </w:t>
            </w:r>
            <w:proofErr w:type="spellStart"/>
            <w:r w:rsidRPr="000219B7">
              <w:rPr>
                <w:rFonts w:cs="Times New Roman"/>
                <w:lang w:val="fr-BE"/>
              </w:rPr>
              <w:t>безвъзмездни</w:t>
            </w:r>
            <w:proofErr w:type="spellEnd"/>
            <w:r w:rsidRPr="000219B7">
              <w:rPr>
                <w:rFonts w:cs="Times New Roman"/>
                <w:lang w:val="fr-BE"/>
              </w:rPr>
              <w:t xml:space="preserve"> </w:t>
            </w:r>
            <w:proofErr w:type="spellStart"/>
            <w:r w:rsidRPr="000219B7">
              <w:rPr>
                <w:rFonts w:cs="Times New Roman"/>
                <w:lang w:val="fr-BE"/>
              </w:rPr>
              <w:t>схеми</w:t>
            </w:r>
            <w:proofErr w:type="spellEnd"/>
            <w:r w:rsidRPr="000219B7">
              <w:rPr>
                <w:rFonts w:cs="Times New Roman"/>
                <w:lang w:val="fr-BE"/>
              </w:rPr>
              <w:t xml:space="preserve"> </w:t>
            </w:r>
            <w:proofErr w:type="spellStart"/>
            <w:r w:rsidRPr="000219B7">
              <w:rPr>
                <w:rFonts w:cs="Times New Roman"/>
                <w:lang w:val="fr-BE"/>
              </w:rPr>
              <w:t>създава</w:t>
            </w:r>
            <w:proofErr w:type="spellEnd"/>
            <w:r w:rsidRPr="000219B7">
              <w:rPr>
                <w:rFonts w:cs="Times New Roman"/>
                <w:lang w:val="fr-BE"/>
              </w:rPr>
              <w:t xml:space="preserve"> </w:t>
            </w:r>
            <w:proofErr w:type="spellStart"/>
            <w:r w:rsidRPr="000219B7">
              <w:rPr>
                <w:rFonts w:cs="Times New Roman"/>
                <w:lang w:val="fr-BE"/>
              </w:rPr>
              <w:t>пазарни</w:t>
            </w:r>
            <w:proofErr w:type="spellEnd"/>
            <w:r w:rsidRPr="000219B7">
              <w:rPr>
                <w:rFonts w:cs="Times New Roman"/>
                <w:lang w:val="fr-BE"/>
              </w:rPr>
              <w:t xml:space="preserve"> </w:t>
            </w:r>
            <w:proofErr w:type="spellStart"/>
            <w:r w:rsidRPr="000219B7">
              <w:rPr>
                <w:rFonts w:cs="Times New Roman"/>
                <w:lang w:val="fr-BE"/>
              </w:rPr>
              <w:t>изкривявания</w:t>
            </w:r>
            <w:proofErr w:type="spellEnd"/>
            <w:r w:rsidRPr="000219B7">
              <w:rPr>
                <w:rFonts w:cs="Times New Roman"/>
                <w:lang w:val="fr-BE"/>
              </w:rPr>
              <w:t xml:space="preserve">, </w:t>
            </w:r>
            <w:proofErr w:type="spellStart"/>
            <w:r w:rsidRPr="000219B7">
              <w:rPr>
                <w:rFonts w:cs="Times New Roman"/>
                <w:lang w:val="fr-BE"/>
              </w:rPr>
              <w:t>формира</w:t>
            </w:r>
            <w:proofErr w:type="spellEnd"/>
            <w:r w:rsidRPr="000219B7">
              <w:rPr>
                <w:rFonts w:cs="Times New Roman"/>
                <w:lang w:val="fr-BE"/>
              </w:rPr>
              <w:t xml:space="preserve"> </w:t>
            </w:r>
            <w:proofErr w:type="spellStart"/>
            <w:r w:rsidRPr="000219B7">
              <w:rPr>
                <w:rFonts w:cs="Times New Roman"/>
                <w:lang w:val="fr-BE"/>
              </w:rPr>
              <w:t>очакване</w:t>
            </w:r>
            <w:proofErr w:type="spellEnd"/>
            <w:r w:rsidRPr="000219B7">
              <w:rPr>
                <w:rFonts w:cs="Times New Roman"/>
                <w:lang w:val="fr-BE"/>
              </w:rPr>
              <w:t xml:space="preserve"> </w:t>
            </w:r>
            <w:proofErr w:type="spellStart"/>
            <w:r w:rsidRPr="000219B7">
              <w:rPr>
                <w:rFonts w:cs="Times New Roman"/>
                <w:lang w:val="fr-BE"/>
              </w:rPr>
              <w:t>за</w:t>
            </w:r>
            <w:proofErr w:type="spellEnd"/>
            <w:r w:rsidRPr="000219B7">
              <w:rPr>
                <w:rFonts w:cs="Times New Roman"/>
                <w:lang w:val="fr-BE"/>
              </w:rPr>
              <w:t xml:space="preserve"> </w:t>
            </w:r>
            <w:proofErr w:type="spellStart"/>
            <w:r w:rsidRPr="000219B7">
              <w:rPr>
                <w:rFonts w:cs="Times New Roman"/>
                <w:lang w:val="fr-BE"/>
              </w:rPr>
              <w:t>пълно</w:t>
            </w:r>
            <w:proofErr w:type="spellEnd"/>
            <w:r w:rsidRPr="000219B7">
              <w:rPr>
                <w:rFonts w:cs="Times New Roman"/>
                <w:lang w:val="fr-BE"/>
              </w:rPr>
              <w:t xml:space="preserve"> </w:t>
            </w:r>
            <w:proofErr w:type="spellStart"/>
            <w:r w:rsidRPr="000219B7">
              <w:rPr>
                <w:rFonts w:cs="Times New Roman"/>
                <w:lang w:val="fr-BE"/>
              </w:rPr>
              <w:t>публично</w:t>
            </w:r>
            <w:proofErr w:type="spellEnd"/>
            <w:r w:rsidRPr="000219B7">
              <w:rPr>
                <w:rFonts w:cs="Times New Roman"/>
                <w:lang w:val="fr-BE"/>
              </w:rPr>
              <w:t xml:space="preserve"> </w:t>
            </w:r>
            <w:proofErr w:type="spellStart"/>
            <w:r w:rsidRPr="000219B7">
              <w:rPr>
                <w:rFonts w:cs="Times New Roman"/>
                <w:lang w:val="fr-BE"/>
              </w:rPr>
              <w:t>покритие</w:t>
            </w:r>
            <w:proofErr w:type="spellEnd"/>
            <w:r w:rsidRPr="000219B7">
              <w:rPr>
                <w:rFonts w:cs="Times New Roman"/>
                <w:lang w:val="fr-BE"/>
              </w:rPr>
              <w:t xml:space="preserve"> и </w:t>
            </w:r>
            <w:proofErr w:type="spellStart"/>
            <w:r w:rsidRPr="000219B7">
              <w:rPr>
                <w:rFonts w:cs="Times New Roman"/>
                <w:lang w:val="fr-BE"/>
              </w:rPr>
              <w:t>възпрепятства</w:t>
            </w:r>
            <w:proofErr w:type="spellEnd"/>
            <w:r w:rsidRPr="000219B7">
              <w:rPr>
                <w:rFonts w:cs="Times New Roman"/>
                <w:lang w:val="fr-BE"/>
              </w:rPr>
              <w:t xml:space="preserve"> </w:t>
            </w:r>
            <w:proofErr w:type="spellStart"/>
            <w:r w:rsidRPr="000219B7">
              <w:rPr>
                <w:rFonts w:cs="Times New Roman"/>
                <w:lang w:val="fr-BE"/>
              </w:rPr>
              <w:t>развитието</w:t>
            </w:r>
            <w:proofErr w:type="spellEnd"/>
            <w:r w:rsidRPr="000219B7">
              <w:rPr>
                <w:rFonts w:cs="Times New Roman"/>
                <w:lang w:val="fr-BE"/>
              </w:rPr>
              <w:t xml:space="preserve"> </w:t>
            </w:r>
            <w:proofErr w:type="spellStart"/>
            <w:r w:rsidRPr="000219B7">
              <w:rPr>
                <w:rFonts w:cs="Times New Roman"/>
                <w:lang w:val="fr-BE"/>
              </w:rPr>
              <w:t>на</w:t>
            </w:r>
            <w:proofErr w:type="spellEnd"/>
            <w:r w:rsidRPr="000219B7">
              <w:rPr>
                <w:rFonts w:cs="Times New Roman"/>
                <w:lang w:val="fr-BE"/>
              </w:rPr>
              <w:t xml:space="preserve"> </w:t>
            </w:r>
            <w:proofErr w:type="spellStart"/>
            <w:r w:rsidRPr="000219B7">
              <w:rPr>
                <w:rFonts w:cs="Times New Roman"/>
                <w:lang w:val="fr-BE"/>
              </w:rPr>
              <w:t>възвръщаеми</w:t>
            </w:r>
            <w:proofErr w:type="spellEnd"/>
            <w:r w:rsidRPr="000219B7">
              <w:rPr>
                <w:rFonts w:cs="Times New Roman"/>
                <w:lang w:val="fr-BE"/>
              </w:rPr>
              <w:t xml:space="preserve"> и </w:t>
            </w:r>
            <w:proofErr w:type="spellStart"/>
            <w:r w:rsidRPr="000219B7">
              <w:rPr>
                <w:rFonts w:cs="Times New Roman"/>
                <w:lang w:val="fr-BE"/>
              </w:rPr>
              <w:t>комбинирани</w:t>
            </w:r>
            <w:proofErr w:type="spellEnd"/>
            <w:r w:rsidRPr="000219B7">
              <w:rPr>
                <w:rFonts w:cs="Times New Roman"/>
                <w:lang w:val="fr-BE"/>
              </w:rPr>
              <w:t xml:space="preserve"> </w:t>
            </w:r>
            <w:proofErr w:type="spellStart"/>
            <w:r w:rsidRPr="000219B7">
              <w:rPr>
                <w:rFonts w:cs="Times New Roman"/>
                <w:lang w:val="fr-BE"/>
              </w:rPr>
              <w:t>финансови</w:t>
            </w:r>
            <w:proofErr w:type="spellEnd"/>
            <w:r w:rsidRPr="000219B7">
              <w:rPr>
                <w:rFonts w:cs="Times New Roman"/>
                <w:lang w:val="fr-BE"/>
              </w:rPr>
              <w:t xml:space="preserve"> </w:t>
            </w:r>
            <w:proofErr w:type="spellStart"/>
            <w:r w:rsidRPr="000219B7">
              <w:rPr>
                <w:rFonts w:cs="Times New Roman"/>
                <w:lang w:val="fr-BE"/>
              </w:rPr>
              <w:t>инструменти</w:t>
            </w:r>
            <w:proofErr w:type="spellEnd"/>
            <w:r>
              <w:rPr>
                <w:rFonts w:cs="Times New Roman"/>
              </w:rPr>
              <w:t>, което</w:t>
            </w:r>
            <w:r w:rsidRPr="000219B7">
              <w:rPr>
                <w:rFonts w:cs="Times New Roman"/>
                <w:lang w:val="fr-BE"/>
              </w:rPr>
              <w:t xml:space="preserve"> </w:t>
            </w:r>
            <w:proofErr w:type="spellStart"/>
            <w:r w:rsidRPr="000219B7">
              <w:rPr>
                <w:rFonts w:cs="Times New Roman"/>
                <w:lang w:val="fr-BE"/>
              </w:rPr>
              <w:t>ограничава</w:t>
            </w:r>
            <w:proofErr w:type="spellEnd"/>
            <w:r w:rsidRPr="000219B7">
              <w:rPr>
                <w:rFonts w:cs="Times New Roman"/>
                <w:lang w:val="fr-BE"/>
              </w:rPr>
              <w:t xml:space="preserve"> </w:t>
            </w:r>
            <w:proofErr w:type="spellStart"/>
            <w:r w:rsidRPr="000219B7">
              <w:rPr>
                <w:rFonts w:cs="Times New Roman"/>
                <w:lang w:val="fr-BE"/>
              </w:rPr>
              <w:t>мобилизирането</w:t>
            </w:r>
            <w:proofErr w:type="spellEnd"/>
            <w:r w:rsidRPr="000219B7">
              <w:rPr>
                <w:rFonts w:cs="Times New Roman"/>
                <w:lang w:val="fr-BE"/>
              </w:rPr>
              <w:t xml:space="preserve"> </w:t>
            </w:r>
            <w:proofErr w:type="spellStart"/>
            <w:r w:rsidRPr="000219B7">
              <w:rPr>
                <w:rFonts w:cs="Times New Roman"/>
                <w:lang w:val="fr-BE"/>
              </w:rPr>
              <w:t>на</w:t>
            </w:r>
            <w:proofErr w:type="spellEnd"/>
            <w:r w:rsidRPr="000219B7">
              <w:rPr>
                <w:rFonts w:cs="Times New Roman"/>
                <w:lang w:val="fr-BE"/>
              </w:rPr>
              <w:t xml:space="preserve"> </w:t>
            </w:r>
            <w:proofErr w:type="spellStart"/>
            <w:r w:rsidRPr="000219B7">
              <w:rPr>
                <w:rFonts w:cs="Times New Roman"/>
                <w:lang w:val="fr-BE"/>
              </w:rPr>
              <w:t>частен</w:t>
            </w:r>
            <w:proofErr w:type="spellEnd"/>
            <w:r w:rsidRPr="000219B7">
              <w:rPr>
                <w:rFonts w:cs="Times New Roman"/>
                <w:lang w:val="fr-BE"/>
              </w:rPr>
              <w:t xml:space="preserve"> </w:t>
            </w:r>
            <w:proofErr w:type="spellStart"/>
            <w:r w:rsidRPr="000219B7">
              <w:rPr>
                <w:rFonts w:cs="Times New Roman"/>
                <w:lang w:val="fr-BE"/>
              </w:rPr>
              <w:t>капитал</w:t>
            </w:r>
            <w:proofErr w:type="spellEnd"/>
            <w:r w:rsidRPr="000219B7">
              <w:rPr>
                <w:rFonts w:cs="Times New Roman"/>
                <w:lang w:val="fr-BE"/>
              </w:rPr>
              <w:t xml:space="preserve"> и </w:t>
            </w:r>
            <w:proofErr w:type="spellStart"/>
            <w:r w:rsidRPr="000219B7">
              <w:rPr>
                <w:rFonts w:cs="Times New Roman"/>
                <w:lang w:val="fr-BE"/>
              </w:rPr>
              <w:t>води</w:t>
            </w:r>
            <w:proofErr w:type="spellEnd"/>
            <w:r w:rsidRPr="000219B7">
              <w:rPr>
                <w:rFonts w:cs="Times New Roman"/>
                <w:lang w:val="fr-BE"/>
              </w:rPr>
              <w:t xml:space="preserve"> </w:t>
            </w:r>
            <w:proofErr w:type="spellStart"/>
            <w:r w:rsidRPr="000219B7">
              <w:rPr>
                <w:rFonts w:cs="Times New Roman"/>
                <w:lang w:val="fr-BE"/>
              </w:rPr>
              <w:t>до</w:t>
            </w:r>
            <w:proofErr w:type="spellEnd"/>
            <w:r w:rsidRPr="000219B7">
              <w:rPr>
                <w:rFonts w:cs="Times New Roman"/>
                <w:lang w:val="fr-BE"/>
              </w:rPr>
              <w:t xml:space="preserve"> </w:t>
            </w:r>
            <w:proofErr w:type="spellStart"/>
            <w:r w:rsidRPr="000219B7">
              <w:rPr>
                <w:rFonts w:cs="Times New Roman"/>
                <w:lang w:val="fr-BE"/>
              </w:rPr>
              <w:t>недостатъчен</w:t>
            </w:r>
            <w:proofErr w:type="spellEnd"/>
            <w:r w:rsidRPr="000219B7">
              <w:rPr>
                <w:rFonts w:cs="Times New Roman"/>
                <w:lang w:val="fr-BE"/>
              </w:rPr>
              <w:t xml:space="preserve"> </w:t>
            </w:r>
            <w:proofErr w:type="spellStart"/>
            <w:r w:rsidRPr="000219B7">
              <w:rPr>
                <w:rFonts w:cs="Times New Roman"/>
                <w:lang w:val="fr-BE"/>
              </w:rPr>
              <w:t>темп</w:t>
            </w:r>
            <w:proofErr w:type="spellEnd"/>
            <w:r w:rsidRPr="000219B7">
              <w:rPr>
                <w:rFonts w:cs="Times New Roman"/>
                <w:lang w:val="fr-BE"/>
              </w:rPr>
              <w:t xml:space="preserve"> и </w:t>
            </w:r>
            <w:proofErr w:type="spellStart"/>
            <w:r w:rsidRPr="000219B7">
              <w:rPr>
                <w:rFonts w:cs="Times New Roman"/>
                <w:lang w:val="fr-BE"/>
              </w:rPr>
              <w:t>дълбочина</w:t>
            </w:r>
            <w:proofErr w:type="spellEnd"/>
            <w:r w:rsidRPr="000219B7">
              <w:rPr>
                <w:rFonts w:cs="Times New Roman"/>
                <w:lang w:val="fr-BE"/>
              </w:rPr>
              <w:t xml:space="preserve"> </w:t>
            </w:r>
            <w:proofErr w:type="spellStart"/>
            <w:r w:rsidRPr="000219B7">
              <w:rPr>
                <w:rFonts w:cs="Times New Roman"/>
                <w:lang w:val="fr-BE"/>
              </w:rPr>
              <w:t>на</w:t>
            </w:r>
            <w:proofErr w:type="spellEnd"/>
            <w:r w:rsidRPr="000219B7">
              <w:rPr>
                <w:rFonts w:cs="Times New Roman"/>
                <w:lang w:val="fr-BE"/>
              </w:rPr>
              <w:t xml:space="preserve"> </w:t>
            </w:r>
            <w:proofErr w:type="spellStart"/>
            <w:r w:rsidRPr="000219B7">
              <w:rPr>
                <w:rFonts w:cs="Times New Roman"/>
                <w:lang w:val="fr-BE"/>
              </w:rPr>
              <w:t>обновяването</w:t>
            </w:r>
            <w:proofErr w:type="spellEnd"/>
            <w:r w:rsidRPr="000219B7">
              <w:rPr>
                <w:rFonts w:cs="Times New Roman"/>
                <w:lang w:val="fr-BE"/>
              </w:rPr>
              <w:t>.</w:t>
            </w:r>
            <w:r w:rsidR="00681B74" w:rsidRPr="006F3533">
              <w:rPr>
                <w:rFonts w:cs="Times New Roman"/>
              </w:rPr>
              <w:t xml:space="preserve"> </w:t>
            </w:r>
            <w:r w:rsidR="00681B74" w:rsidRPr="006F3533">
              <w:rPr>
                <w:rFonts w:cs="Times New Roman"/>
              </w:rPr>
              <w:br/>
              <w:t xml:space="preserve">- </w:t>
            </w:r>
            <w:r w:rsidR="00681B74" w:rsidRPr="006F3533">
              <w:rPr>
                <w:rFonts w:cs="Times New Roman"/>
                <w:b/>
                <w:bCs/>
              </w:rPr>
              <w:t>Ограничен достъп до кредитиране</w:t>
            </w:r>
            <w:r w:rsidR="00681B74" w:rsidRPr="006F3533">
              <w:rPr>
                <w:rFonts w:cs="Times New Roman"/>
              </w:rPr>
              <w:t xml:space="preserve"> – високата оценка на риска за домакинства с ниски доходи затруднява прилагането на модели със съфинансиране.</w:t>
            </w:r>
            <w:r>
              <w:rPr>
                <w:rFonts w:cs="Times New Roman"/>
              </w:rPr>
              <w:t xml:space="preserve"> </w:t>
            </w:r>
            <w:proofErr w:type="spellStart"/>
            <w:r w:rsidRPr="000219B7">
              <w:rPr>
                <w:rFonts w:cs="Times New Roman"/>
                <w:lang w:val="fr-BE"/>
              </w:rPr>
              <w:t>Банките</w:t>
            </w:r>
            <w:proofErr w:type="spellEnd"/>
            <w:r w:rsidRPr="000219B7">
              <w:rPr>
                <w:rFonts w:cs="Times New Roman"/>
                <w:lang w:val="fr-BE"/>
              </w:rPr>
              <w:t xml:space="preserve"> </w:t>
            </w:r>
            <w:proofErr w:type="spellStart"/>
            <w:r w:rsidRPr="000219B7">
              <w:rPr>
                <w:rFonts w:cs="Times New Roman"/>
                <w:lang w:val="fr-BE"/>
              </w:rPr>
              <w:t>идентифицират</w:t>
            </w:r>
            <w:proofErr w:type="spellEnd"/>
            <w:r w:rsidRPr="000219B7">
              <w:rPr>
                <w:rFonts w:cs="Times New Roman"/>
                <w:lang w:val="fr-BE"/>
              </w:rPr>
              <w:t xml:space="preserve"> </w:t>
            </w:r>
            <w:proofErr w:type="spellStart"/>
            <w:r w:rsidRPr="000219B7">
              <w:rPr>
                <w:rFonts w:cs="Times New Roman"/>
                <w:lang w:val="fr-BE"/>
              </w:rPr>
              <w:t>висок</w:t>
            </w:r>
            <w:proofErr w:type="spellEnd"/>
            <w:r w:rsidRPr="000219B7">
              <w:rPr>
                <w:rFonts w:cs="Times New Roman"/>
                <w:lang w:val="fr-BE"/>
              </w:rPr>
              <w:t xml:space="preserve"> </w:t>
            </w:r>
            <w:proofErr w:type="spellStart"/>
            <w:r w:rsidRPr="000219B7">
              <w:rPr>
                <w:rFonts w:cs="Times New Roman"/>
                <w:lang w:val="fr-BE"/>
              </w:rPr>
              <w:t>пазарен</w:t>
            </w:r>
            <w:proofErr w:type="spellEnd"/>
            <w:r w:rsidRPr="000219B7">
              <w:rPr>
                <w:rFonts w:cs="Times New Roman"/>
                <w:lang w:val="fr-BE"/>
              </w:rPr>
              <w:t xml:space="preserve"> </w:t>
            </w:r>
            <w:proofErr w:type="spellStart"/>
            <w:r w:rsidRPr="000219B7">
              <w:rPr>
                <w:rFonts w:cs="Times New Roman"/>
                <w:lang w:val="fr-BE"/>
              </w:rPr>
              <w:t>потенциал</w:t>
            </w:r>
            <w:proofErr w:type="spellEnd"/>
            <w:r w:rsidRPr="000219B7">
              <w:rPr>
                <w:rFonts w:cs="Times New Roman"/>
                <w:lang w:val="fr-BE"/>
              </w:rPr>
              <w:t xml:space="preserve">, </w:t>
            </w:r>
            <w:proofErr w:type="spellStart"/>
            <w:r w:rsidRPr="000219B7">
              <w:rPr>
                <w:rFonts w:cs="Times New Roman"/>
                <w:lang w:val="fr-BE"/>
              </w:rPr>
              <w:t>но</w:t>
            </w:r>
            <w:proofErr w:type="spellEnd"/>
            <w:r w:rsidRPr="000219B7">
              <w:rPr>
                <w:rFonts w:cs="Times New Roman"/>
                <w:lang w:val="fr-BE"/>
              </w:rPr>
              <w:t xml:space="preserve"> </w:t>
            </w:r>
            <w:proofErr w:type="spellStart"/>
            <w:r w:rsidRPr="000219B7">
              <w:rPr>
                <w:rFonts w:cs="Times New Roman"/>
                <w:lang w:val="fr-BE"/>
              </w:rPr>
              <w:t>не</w:t>
            </w:r>
            <w:proofErr w:type="spellEnd"/>
            <w:r w:rsidRPr="000219B7">
              <w:rPr>
                <w:rFonts w:cs="Times New Roman"/>
                <w:lang w:val="fr-BE"/>
              </w:rPr>
              <w:t xml:space="preserve"> </w:t>
            </w:r>
            <w:proofErr w:type="spellStart"/>
            <w:r w:rsidRPr="000219B7">
              <w:rPr>
                <w:rFonts w:cs="Times New Roman"/>
                <w:lang w:val="fr-BE"/>
              </w:rPr>
              <w:t>участват</w:t>
            </w:r>
            <w:proofErr w:type="spellEnd"/>
            <w:r w:rsidRPr="000219B7">
              <w:rPr>
                <w:rFonts w:cs="Times New Roman"/>
                <w:lang w:val="fr-BE"/>
              </w:rPr>
              <w:t xml:space="preserve"> </w:t>
            </w:r>
            <w:proofErr w:type="spellStart"/>
            <w:r w:rsidRPr="000219B7">
              <w:rPr>
                <w:rFonts w:cs="Times New Roman"/>
                <w:lang w:val="fr-BE"/>
              </w:rPr>
              <w:t>активно</w:t>
            </w:r>
            <w:proofErr w:type="spellEnd"/>
            <w:r w:rsidRPr="000219B7">
              <w:rPr>
                <w:rFonts w:cs="Times New Roman"/>
                <w:lang w:val="fr-BE"/>
              </w:rPr>
              <w:t xml:space="preserve"> </w:t>
            </w:r>
            <w:proofErr w:type="spellStart"/>
            <w:r w:rsidRPr="000219B7">
              <w:rPr>
                <w:rFonts w:cs="Times New Roman"/>
                <w:lang w:val="fr-BE"/>
              </w:rPr>
              <w:t>поради</w:t>
            </w:r>
            <w:proofErr w:type="spellEnd"/>
            <w:r w:rsidRPr="000219B7">
              <w:rPr>
                <w:rFonts w:cs="Times New Roman"/>
                <w:lang w:val="fr-BE"/>
              </w:rPr>
              <w:t xml:space="preserve"> </w:t>
            </w:r>
            <w:proofErr w:type="spellStart"/>
            <w:r w:rsidRPr="000219B7">
              <w:rPr>
                <w:rFonts w:cs="Times New Roman"/>
                <w:lang w:val="fr-BE"/>
              </w:rPr>
              <w:t>липса</w:t>
            </w:r>
            <w:proofErr w:type="spellEnd"/>
            <w:r w:rsidRPr="000219B7">
              <w:rPr>
                <w:rFonts w:cs="Times New Roman"/>
                <w:lang w:val="fr-BE"/>
              </w:rPr>
              <w:t xml:space="preserve"> </w:t>
            </w:r>
            <w:proofErr w:type="spellStart"/>
            <w:r w:rsidRPr="000219B7">
              <w:rPr>
                <w:rFonts w:cs="Times New Roman"/>
                <w:lang w:val="fr-BE"/>
              </w:rPr>
              <w:t>на</w:t>
            </w:r>
            <w:proofErr w:type="spellEnd"/>
            <w:r w:rsidRPr="000219B7">
              <w:rPr>
                <w:rFonts w:cs="Times New Roman"/>
                <w:lang w:val="fr-BE"/>
              </w:rPr>
              <w:t xml:space="preserve"> </w:t>
            </w:r>
            <w:proofErr w:type="spellStart"/>
            <w:r w:rsidRPr="000219B7">
              <w:rPr>
                <w:rFonts w:cs="Times New Roman"/>
                <w:lang w:val="fr-BE"/>
              </w:rPr>
              <w:t>държавни</w:t>
            </w:r>
            <w:proofErr w:type="spellEnd"/>
            <w:r w:rsidRPr="000219B7">
              <w:rPr>
                <w:rFonts w:cs="Times New Roman"/>
                <w:lang w:val="fr-BE"/>
              </w:rPr>
              <w:t xml:space="preserve"> </w:t>
            </w:r>
            <w:proofErr w:type="spellStart"/>
            <w:r w:rsidRPr="000219B7">
              <w:rPr>
                <w:rFonts w:cs="Times New Roman"/>
                <w:lang w:val="fr-BE"/>
              </w:rPr>
              <w:t>гаранции</w:t>
            </w:r>
            <w:proofErr w:type="spellEnd"/>
            <w:r w:rsidRPr="000219B7">
              <w:rPr>
                <w:rFonts w:cs="Times New Roman"/>
                <w:lang w:val="fr-BE"/>
              </w:rPr>
              <w:t xml:space="preserve">, </w:t>
            </w:r>
            <w:proofErr w:type="spellStart"/>
            <w:r w:rsidRPr="000219B7">
              <w:rPr>
                <w:rFonts w:cs="Times New Roman"/>
                <w:lang w:val="fr-BE"/>
              </w:rPr>
              <w:t>непознат</w:t>
            </w:r>
            <w:proofErr w:type="spellEnd"/>
            <w:r w:rsidRPr="000219B7">
              <w:rPr>
                <w:rFonts w:cs="Times New Roman"/>
                <w:lang w:val="fr-BE"/>
              </w:rPr>
              <w:t xml:space="preserve"> </w:t>
            </w:r>
            <w:proofErr w:type="spellStart"/>
            <w:r w:rsidRPr="000219B7">
              <w:rPr>
                <w:rFonts w:cs="Times New Roman"/>
                <w:lang w:val="fr-BE"/>
              </w:rPr>
              <w:t>кредитен</w:t>
            </w:r>
            <w:proofErr w:type="spellEnd"/>
            <w:r w:rsidRPr="000219B7">
              <w:rPr>
                <w:rFonts w:cs="Times New Roman"/>
                <w:lang w:val="fr-BE"/>
              </w:rPr>
              <w:t xml:space="preserve"> </w:t>
            </w:r>
            <w:proofErr w:type="spellStart"/>
            <w:r w:rsidRPr="000219B7">
              <w:rPr>
                <w:rFonts w:cs="Times New Roman"/>
                <w:lang w:val="fr-BE"/>
              </w:rPr>
              <w:t>модел</w:t>
            </w:r>
            <w:proofErr w:type="spellEnd"/>
            <w:r w:rsidRPr="000219B7">
              <w:rPr>
                <w:rFonts w:cs="Times New Roman"/>
                <w:lang w:val="fr-BE"/>
              </w:rPr>
              <w:t xml:space="preserve"> </w:t>
            </w:r>
            <w:proofErr w:type="spellStart"/>
            <w:r w:rsidRPr="000219B7">
              <w:rPr>
                <w:rFonts w:cs="Times New Roman"/>
                <w:lang w:val="fr-BE"/>
              </w:rPr>
              <w:t>при</w:t>
            </w:r>
            <w:proofErr w:type="spellEnd"/>
            <w:r w:rsidRPr="000219B7">
              <w:rPr>
                <w:rFonts w:cs="Times New Roman"/>
                <w:lang w:val="fr-BE"/>
              </w:rPr>
              <w:t xml:space="preserve"> </w:t>
            </w:r>
            <w:proofErr w:type="spellStart"/>
            <w:r w:rsidRPr="000219B7">
              <w:rPr>
                <w:rFonts w:cs="Times New Roman"/>
                <w:lang w:val="fr-BE"/>
              </w:rPr>
              <w:t>сдружения</w:t>
            </w:r>
            <w:proofErr w:type="spellEnd"/>
            <w:r w:rsidRPr="000219B7">
              <w:rPr>
                <w:rFonts w:cs="Times New Roman"/>
                <w:lang w:val="fr-BE"/>
              </w:rPr>
              <w:t xml:space="preserve"> </w:t>
            </w:r>
            <w:proofErr w:type="spellStart"/>
            <w:r w:rsidRPr="000219B7">
              <w:rPr>
                <w:rFonts w:cs="Times New Roman"/>
                <w:lang w:val="fr-BE"/>
              </w:rPr>
              <w:t>на</w:t>
            </w:r>
            <w:proofErr w:type="spellEnd"/>
            <w:r w:rsidRPr="000219B7">
              <w:rPr>
                <w:rFonts w:cs="Times New Roman"/>
                <w:lang w:val="fr-BE"/>
              </w:rPr>
              <w:t xml:space="preserve"> </w:t>
            </w:r>
            <w:proofErr w:type="spellStart"/>
            <w:r w:rsidRPr="000219B7">
              <w:rPr>
                <w:rFonts w:cs="Times New Roman"/>
                <w:lang w:val="fr-BE"/>
              </w:rPr>
              <w:t>собственици</w:t>
            </w:r>
            <w:proofErr w:type="spellEnd"/>
            <w:r w:rsidRPr="000219B7">
              <w:rPr>
                <w:rFonts w:cs="Times New Roman"/>
                <w:lang w:val="fr-BE"/>
              </w:rPr>
              <w:t xml:space="preserve">, </w:t>
            </w:r>
            <w:proofErr w:type="spellStart"/>
            <w:r w:rsidRPr="000219B7">
              <w:rPr>
                <w:rFonts w:cs="Times New Roman"/>
                <w:lang w:val="fr-BE"/>
              </w:rPr>
              <w:t>високи</w:t>
            </w:r>
            <w:proofErr w:type="spellEnd"/>
            <w:r w:rsidRPr="000219B7">
              <w:rPr>
                <w:rFonts w:cs="Times New Roman"/>
                <w:lang w:val="fr-BE"/>
              </w:rPr>
              <w:t xml:space="preserve"> </w:t>
            </w:r>
            <w:proofErr w:type="spellStart"/>
            <w:r w:rsidRPr="000219B7">
              <w:rPr>
                <w:rFonts w:cs="Times New Roman"/>
                <w:lang w:val="fr-BE"/>
              </w:rPr>
              <w:t>транзакционни</w:t>
            </w:r>
            <w:proofErr w:type="spellEnd"/>
            <w:r w:rsidRPr="000219B7">
              <w:rPr>
                <w:rFonts w:cs="Times New Roman"/>
                <w:lang w:val="fr-BE"/>
              </w:rPr>
              <w:t xml:space="preserve"> </w:t>
            </w:r>
            <w:proofErr w:type="spellStart"/>
            <w:r w:rsidRPr="000219B7">
              <w:rPr>
                <w:rFonts w:cs="Times New Roman"/>
                <w:lang w:val="fr-BE"/>
              </w:rPr>
              <w:t>разходи</w:t>
            </w:r>
            <w:proofErr w:type="spellEnd"/>
            <w:r w:rsidRPr="000219B7">
              <w:rPr>
                <w:rFonts w:cs="Times New Roman"/>
                <w:lang w:val="fr-BE"/>
              </w:rPr>
              <w:t xml:space="preserve"> и </w:t>
            </w:r>
            <w:proofErr w:type="spellStart"/>
            <w:r w:rsidRPr="000219B7">
              <w:rPr>
                <w:rFonts w:cs="Times New Roman"/>
                <w:lang w:val="fr-BE"/>
              </w:rPr>
              <w:t>липса</w:t>
            </w:r>
            <w:proofErr w:type="spellEnd"/>
            <w:r w:rsidRPr="000219B7">
              <w:rPr>
                <w:rFonts w:cs="Times New Roman"/>
                <w:lang w:val="fr-BE"/>
              </w:rPr>
              <w:t xml:space="preserve"> </w:t>
            </w:r>
            <w:proofErr w:type="spellStart"/>
            <w:r w:rsidRPr="000219B7">
              <w:rPr>
                <w:rFonts w:cs="Times New Roman"/>
                <w:lang w:val="fr-BE"/>
              </w:rPr>
              <w:t>на</w:t>
            </w:r>
            <w:proofErr w:type="spellEnd"/>
            <w:r w:rsidRPr="000219B7">
              <w:rPr>
                <w:rFonts w:cs="Times New Roman"/>
                <w:lang w:val="fr-BE"/>
              </w:rPr>
              <w:t xml:space="preserve"> </w:t>
            </w:r>
            <w:proofErr w:type="spellStart"/>
            <w:r w:rsidRPr="000219B7">
              <w:rPr>
                <w:rFonts w:cs="Times New Roman"/>
                <w:lang w:val="fr-BE"/>
              </w:rPr>
              <w:t>механизми</w:t>
            </w:r>
            <w:proofErr w:type="spellEnd"/>
            <w:r w:rsidRPr="000219B7">
              <w:rPr>
                <w:rFonts w:cs="Times New Roman"/>
                <w:lang w:val="fr-BE"/>
              </w:rPr>
              <w:t xml:space="preserve"> </w:t>
            </w:r>
            <w:proofErr w:type="spellStart"/>
            <w:r w:rsidRPr="000219B7">
              <w:rPr>
                <w:rFonts w:cs="Times New Roman"/>
                <w:lang w:val="fr-BE"/>
              </w:rPr>
              <w:t>за</w:t>
            </w:r>
            <w:proofErr w:type="spellEnd"/>
            <w:r w:rsidRPr="000219B7">
              <w:rPr>
                <w:rFonts w:cs="Times New Roman"/>
                <w:lang w:val="fr-BE"/>
              </w:rPr>
              <w:t xml:space="preserve"> </w:t>
            </w:r>
            <w:proofErr w:type="spellStart"/>
            <w:r w:rsidRPr="000219B7">
              <w:rPr>
                <w:rFonts w:cs="Times New Roman"/>
                <w:lang w:val="fr-BE"/>
              </w:rPr>
              <w:t>агрегиране</w:t>
            </w:r>
            <w:proofErr w:type="spellEnd"/>
            <w:r w:rsidRPr="000219B7">
              <w:rPr>
                <w:rFonts w:cs="Times New Roman"/>
                <w:lang w:val="fr-BE"/>
              </w:rPr>
              <w:t xml:space="preserve"> </w:t>
            </w:r>
            <w:proofErr w:type="spellStart"/>
            <w:r w:rsidRPr="000219B7">
              <w:rPr>
                <w:rFonts w:cs="Times New Roman"/>
                <w:lang w:val="fr-BE"/>
              </w:rPr>
              <w:t>на</w:t>
            </w:r>
            <w:proofErr w:type="spellEnd"/>
            <w:r w:rsidRPr="000219B7">
              <w:rPr>
                <w:rFonts w:cs="Times New Roman"/>
                <w:lang w:val="fr-BE"/>
              </w:rPr>
              <w:t xml:space="preserve"> </w:t>
            </w:r>
            <w:proofErr w:type="spellStart"/>
            <w:r w:rsidRPr="000219B7">
              <w:rPr>
                <w:rFonts w:cs="Times New Roman"/>
                <w:lang w:val="fr-BE"/>
              </w:rPr>
              <w:t>малки</w:t>
            </w:r>
            <w:proofErr w:type="spellEnd"/>
            <w:r w:rsidRPr="000219B7">
              <w:rPr>
                <w:rFonts w:cs="Times New Roman"/>
                <w:lang w:val="fr-BE"/>
              </w:rPr>
              <w:t xml:space="preserve"> </w:t>
            </w:r>
            <w:proofErr w:type="spellStart"/>
            <w:r w:rsidRPr="000219B7">
              <w:rPr>
                <w:rFonts w:cs="Times New Roman"/>
                <w:lang w:val="fr-BE"/>
              </w:rPr>
              <w:t>проект</w:t>
            </w:r>
            <w:proofErr w:type="spellEnd"/>
            <w:r>
              <w:rPr>
                <w:rFonts w:cs="Times New Roman"/>
              </w:rPr>
              <w:t xml:space="preserve">и. </w:t>
            </w:r>
            <w:r w:rsidR="00681B74" w:rsidRPr="006F3533">
              <w:rPr>
                <w:rFonts w:cs="Times New Roman"/>
              </w:rPr>
              <w:br/>
              <w:t xml:space="preserve">- </w:t>
            </w:r>
            <w:r w:rsidR="00681B74" w:rsidRPr="006F3533">
              <w:rPr>
                <w:rFonts w:cs="Times New Roman"/>
                <w:b/>
                <w:bCs/>
              </w:rPr>
              <w:t>Високи цени на материали и труд</w:t>
            </w:r>
            <w:r w:rsidR="00681B74" w:rsidRPr="006F3533">
              <w:rPr>
                <w:rFonts w:cs="Times New Roman"/>
              </w:rPr>
              <w:t xml:space="preserve"> – инфлационен натиск и зависимост от вносни суровини, които увеличават себестойността на обновяването.</w:t>
            </w:r>
            <w:r w:rsidR="00681B74" w:rsidRPr="006F3533">
              <w:rPr>
                <w:rFonts w:cs="Times New Roman"/>
              </w:rPr>
              <w:br/>
              <w:t xml:space="preserve">- </w:t>
            </w:r>
            <w:r w:rsidR="00681B74" w:rsidRPr="006F3533">
              <w:rPr>
                <w:rFonts w:cs="Times New Roman"/>
                <w:b/>
                <w:bCs/>
              </w:rPr>
              <w:t>Недостиг на оборотен капитал</w:t>
            </w:r>
            <w:r w:rsidR="00681B74" w:rsidRPr="006F3533">
              <w:rPr>
                <w:rFonts w:cs="Times New Roman"/>
              </w:rPr>
              <w:t xml:space="preserve"> сред малките и средни предприятия, ограничаващ способността им да участват в обществени поръчки и проекти за обновяване.</w:t>
            </w:r>
          </w:p>
        </w:tc>
      </w:tr>
      <w:tr w:rsidR="00681B74" w:rsidRPr="006F3533" w14:paraId="3A85911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42D3A45" w14:textId="77777777" w:rsidR="00681B74" w:rsidRPr="006F3533" w:rsidRDefault="00681B74" w:rsidP="00077D42">
            <w:pPr>
              <w:jc w:val="both"/>
              <w:rPr>
                <w:rFonts w:cs="Times New Roman"/>
              </w:rPr>
            </w:pPr>
            <w:r w:rsidRPr="006F3533">
              <w:rPr>
                <w:rFonts w:cs="Times New Roman"/>
              </w:rPr>
              <w:t>Технически бариери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6216752" w14:textId="5ACB5E1E"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 xml:space="preserve">- </w:t>
            </w:r>
            <w:r w:rsidRPr="006F3533">
              <w:rPr>
                <w:rFonts w:cs="Times New Roman"/>
                <w:b/>
                <w:bCs/>
              </w:rPr>
              <w:t>Остаряла материална и технологична база</w:t>
            </w:r>
            <w:r w:rsidRPr="006F3533">
              <w:rPr>
                <w:rFonts w:cs="Times New Roman"/>
              </w:rPr>
              <w:t xml:space="preserve"> в по-голямата част от строителните предприятия; ограничен достъп до оборудване за индустриализирано или високоефективно строителство.</w:t>
            </w:r>
            <w:r w:rsidRPr="006F3533">
              <w:rPr>
                <w:rFonts w:cs="Times New Roman"/>
              </w:rPr>
              <w:br/>
              <w:t xml:space="preserve">- </w:t>
            </w:r>
            <w:r w:rsidRPr="006F3533">
              <w:rPr>
                <w:rFonts w:cs="Times New Roman"/>
                <w:b/>
                <w:bCs/>
              </w:rPr>
              <w:t>Ниска степен на дигитализация и прилагане на BIM технологии</w:t>
            </w:r>
            <w:r w:rsidRPr="006F3533">
              <w:rPr>
                <w:rFonts w:cs="Times New Roman"/>
              </w:rPr>
              <w:t xml:space="preserve"> – под 10</w:t>
            </w:r>
            <w:r w:rsidR="00560454" w:rsidRPr="006F3533">
              <w:rPr>
                <w:rFonts w:cs="Times New Roman"/>
              </w:rPr>
              <w:t>%</w:t>
            </w:r>
            <w:r w:rsidRPr="006F3533">
              <w:rPr>
                <w:rFonts w:cs="Times New Roman"/>
              </w:rPr>
              <w:t xml:space="preserve"> от фирмите използват дигитални модели в проектирането и изпълнението.</w:t>
            </w:r>
            <w:r w:rsidRPr="006F3533">
              <w:rPr>
                <w:rFonts w:cs="Times New Roman"/>
              </w:rPr>
              <w:br/>
              <w:t xml:space="preserve">- </w:t>
            </w:r>
            <w:r w:rsidRPr="006F3533">
              <w:rPr>
                <w:rFonts w:cs="Times New Roman"/>
                <w:b/>
                <w:bCs/>
              </w:rPr>
              <w:t>Непълна регулаторна и стандартизационна рамка</w:t>
            </w:r>
            <w:r w:rsidRPr="006F3533">
              <w:rPr>
                <w:rFonts w:cs="Times New Roman"/>
              </w:rPr>
              <w:t xml:space="preserve"> за енергийно ефективни и възобновяеми решения; липса на практика за интегриране на ВЕИ и интелигентни системи в сградите.</w:t>
            </w:r>
            <w:r w:rsidRPr="006F3533">
              <w:rPr>
                <w:rFonts w:cs="Times New Roman"/>
              </w:rPr>
              <w:br/>
              <w:t xml:space="preserve">- </w:t>
            </w:r>
            <w:r w:rsidRPr="006F3533">
              <w:rPr>
                <w:rFonts w:cs="Times New Roman"/>
                <w:b/>
                <w:bCs/>
              </w:rPr>
              <w:t>Недостатъчна техническа информация за сградния фонд</w:t>
            </w:r>
            <w:r w:rsidRPr="006F3533">
              <w:rPr>
                <w:rFonts w:cs="Times New Roman"/>
              </w:rPr>
              <w:t xml:space="preserve"> – липсата на технически паспорти и актуални обследвания възпрепятства </w:t>
            </w:r>
            <w:proofErr w:type="spellStart"/>
            <w:r w:rsidRPr="006F3533">
              <w:rPr>
                <w:rFonts w:cs="Times New Roman"/>
              </w:rPr>
              <w:t>приоритизацията</w:t>
            </w:r>
            <w:proofErr w:type="spellEnd"/>
            <w:r w:rsidRPr="006F3533">
              <w:rPr>
                <w:rFonts w:cs="Times New Roman"/>
              </w:rPr>
              <w:t xml:space="preserve"> на обекти и оценката на потенциала за обновяване.</w:t>
            </w:r>
          </w:p>
        </w:tc>
      </w:tr>
      <w:tr w:rsidR="00681B74" w:rsidRPr="006F3533" w14:paraId="59C0236F"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11C63E5" w14:textId="77777777" w:rsidR="00681B74" w:rsidRPr="006F3533" w:rsidRDefault="00681B74" w:rsidP="00077D42">
            <w:pPr>
              <w:jc w:val="both"/>
              <w:rPr>
                <w:rFonts w:cs="Times New Roman"/>
              </w:rPr>
            </w:pPr>
            <w:r w:rsidRPr="006F3533">
              <w:rPr>
                <w:rFonts w:cs="Times New Roman"/>
              </w:rPr>
              <w:t>Бариери, свързани с човешките ресурси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9310CAD" w14:textId="17396090" w:rsidR="00681B74" w:rsidRPr="006F3533"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 xml:space="preserve">- </w:t>
            </w:r>
            <w:r w:rsidRPr="006F3533">
              <w:rPr>
                <w:rFonts w:cs="Times New Roman"/>
                <w:b/>
                <w:bCs/>
              </w:rPr>
              <w:t>Недостиг на квалифицирани кадри</w:t>
            </w:r>
            <w:r w:rsidRPr="006F3533">
              <w:rPr>
                <w:rFonts w:cs="Times New Roman"/>
              </w:rPr>
              <w:t xml:space="preserve"> – рязък спад на специалистите в ключови строителни професии (монтажници, изолационни техници, инсталатори на ВЕИ).</w:t>
            </w:r>
            <w:r w:rsidRPr="006F3533">
              <w:rPr>
                <w:rFonts w:cs="Times New Roman"/>
              </w:rPr>
              <w:br/>
              <w:t xml:space="preserve">- </w:t>
            </w:r>
            <w:r w:rsidRPr="006F3533">
              <w:rPr>
                <w:rFonts w:cs="Times New Roman"/>
                <w:b/>
                <w:bCs/>
              </w:rPr>
              <w:t>Застаряваща работна сила</w:t>
            </w:r>
            <w:r w:rsidRPr="006F3533">
              <w:rPr>
                <w:rFonts w:cs="Times New Roman"/>
              </w:rPr>
              <w:t xml:space="preserve"> – над 30</w:t>
            </w:r>
            <w:r w:rsidR="00560454" w:rsidRPr="006F3533">
              <w:rPr>
                <w:rFonts w:cs="Times New Roman"/>
              </w:rPr>
              <w:t>%</w:t>
            </w:r>
            <w:r w:rsidRPr="006F3533">
              <w:rPr>
                <w:rFonts w:cs="Times New Roman"/>
              </w:rPr>
              <w:t xml:space="preserve"> от заетите в строителството са над 55 години, с ограничен приток на млади кадри.</w:t>
            </w:r>
            <w:r w:rsidRPr="006F3533">
              <w:rPr>
                <w:rFonts w:cs="Times New Roman"/>
              </w:rPr>
              <w:br/>
              <w:t xml:space="preserve">- </w:t>
            </w:r>
            <w:r w:rsidRPr="006F3533">
              <w:rPr>
                <w:rFonts w:cs="Times New Roman"/>
                <w:b/>
                <w:bCs/>
              </w:rPr>
              <w:t>Липса на система за продължаващо професионално обучение</w:t>
            </w:r>
            <w:r w:rsidRPr="006F3533">
              <w:rPr>
                <w:rFonts w:cs="Times New Roman"/>
              </w:rPr>
              <w:t xml:space="preserve"> – ограничени възможности за преквалификация и </w:t>
            </w:r>
            <w:r w:rsidRPr="006F3533">
              <w:rPr>
                <w:rFonts w:cs="Times New Roman"/>
              </w:rPr>
              <w:lastRenderedPageBreak/>
              <w:t>надграждане на уменията.</w:t>
            </w:r>
            <w:r w:rsidRPr="006F3533">
              <w:rPr>
                <w:rFonts w:cs="Times New Roman"/>
              </w:rPr>
              <w:br/>
              <w:t xml:space="preserve">- </w:t>
            </w:r>
            <w:r w:rsidRPr="006F3533">
              <w:rPr>
                <w:rFonts w:cs="Times New Roman"/>
                <w:b/>
                <w:bCs/>
              </w:rPr>
              <w:t>Неравномерно териториално разпределение на експертите</w:t>
            </w:r>
            <w:r w:rsidRPr="006F3533">
              <w:rPr>
                <w:rFonts w:cs="Times New Roman"/>
              </w:rPr>
              <w:t xml:space="preserve"> – концентрация в големите градове и сериозен дефицит в малките и средни общини.</w:t>
            </w:r>
          </w:p>
        </w:tc>
      </w:tr>
      <w:tr w:rsidR="00681B74" w:rsidRPr="006F3533" w14:paraId="2A128B1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B1C4A51" w14:textId="77777777" w:rsidR="00681B74" w:rsidRPr="006F3533" w:rsidRDefault="00681B74" w:rsidP="00077D42">
            <w:pPr>
              <w:jc w:val="both"/>
              <w:rPr>
                <w:rFonts w:cs="Times New Roman"/>
              </w:rPr>
            </w:pPr>
            <w:r w:rsidRPr="006F3533">
              <w:rPr>
                <w:rFonts w:cs="Times New Roman"/>
              </w:rPr>
              <w:lastRenderedPageBreak/>
              <w:t>Бариери, свързани с осведомеността и доверието</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75BDBF8" w14:textId="77777777"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 xml:space="preserve">- </w:t>
            </w:r>
            <w:r w:rsidRPr="006F3533">
              <w:rPr>
                <w:rFonts w:cs="Times New Roman"/>
                <w:b/>
                <w:bCs/>
              </w:rPr>
              <w:t>Ниска информираност сред гражданите и собствениците</w:t>
            </w:r>
            <w:r w:rsidRPr="006F3533">
              <w:rPr>
                <w:rFonts w:cs="Times New Roman"/>
              </w:rPr>
              <w:t xml:space="preserve"> относно ползите от сградното обновяване и възможностите за финансиране.</w:t>
            </w:r>
            <w:r w:rsidRPr="006F3533">
              <w:rPr>
                <w:rFonts w:cs="Times New Roman"/>
              </w:rPr>
              <w:br/>
              <w:t xml:space="preserve">- </w:t>
            </w:r>
            <w:r w:rsidRPr="006F3533">
              <w:rPr>
                <w:rFonts w:cs="Times New Roman"/>
                <w:b/>
                <w:bCs/>
              </w:rPr>
              <w:t>Ограничено познаване на устойчиви технологии</w:t>
            </w:r>
            <w:r w:rsidRPr="006F3533">
              <w:rPr>
                <w:rFonts w:cs="Times New Roman"/>
              </w:rPr>
              <w:t xml:space="preserve"> – слабо разпространение на добри практики и липса на системна комуникация между експерти, местни власти и крайни потребители.</w:t>
            </w:r>
            <w:r w:rsidRPr="006F3533">
              <w:rPr>
                <w:rFonts w:cs="Times New Roman"/>
              </w:rPr>
              <w:br/>
              <w:t xml:space="preserve">- </w:t>
            </w:r>
            <w:r w:rsidRPr="006F3533">
              <w:rPr>
                <w:rFonts w:cs="Times New Roman"/>
                <w:b/>
                <w:bCs/>
              </w:rPr>
              <w:t>Недоверие към нови финансови и технически модели</w:t>
            </w:r>
            <w:r w:rsidRPr="006F3533">
              <w:rPr>
                <w:rFonts w:cs="Times New Roman"/>
              </w:rPr>
              <w:t xml:space="preserve"> – особено при схеми със съфинансиране, енергийни общности и договори за енергийни услуги.</w:t>
            </w:r>
            <w:r w:rsidRPr="006F3533">
              <w:rPr>
                <w:rFonts w:cs="Times New Roman"/>
              </w:rPr>
              <w:br/>
              <w:t xml:space="preserve">- </w:t>
            </w:r>
            <w:r w:rsidRPr="006F3533">
              <w:rPr>
                <w:rFonts w:cs="Times New Roman"/>
                <w:b/>
                <w:bCs/>
              </w:rPr>
              <w:t>Липса на кампании за повишаване на енергийната култура</w:t>
            </w:r>
            <w:r w:rsidRPr="006F3533">
              <w:rPr>
                <w:rFonts w:cs="Times New Roman"/>
              </w:rPr>
              <w:t xml:space="preserve"> на населението, които да подпомагат приемането на дългосрочни решения за инвестиции.</w:t>
            </w:r>
          </w:p>
        </w:tc>
      </w:tr>
    </w:tbl>
    <w:p w14:paraId="246DDA14" w14:textId="77777777" w:rsidR="00681B74" w:rsidRPr="006F3533" w:rsidRDefault="00681B74" w:rsidP="00077D42">
      <w:pPr>
        <w:jc w:val="both"/>
        <w:rPr>
          <w:rFonts w:cs="Times New Roman"/>
          <w:kern w:val="2"/>
          <w:szCs w:val="24"/>
          <w:lang w:val="bg-BG"/>
          <w14:ligatures w14:val="standardContextual"/>
        </w:rPr>
      </w:pPr>
    </w:p>
    <w:p w14:paraId="2553EF02" w14:textId="77777777" w:rsidR="00681B74" w:rsidRPr="006F3533" w:rsidRDefault="00681B74" w:rsidP="00077D42">
      <w:pPr>
        <w:jc w:val="both"/>
        <w:rPr>
          <w:rFonts w:cs="Times New Roman"/>
          <w:szCs w:val="24"/>
          <w:lang w:val="bg-BG"/>
        </w:rPr>
      </w:pPr>
      <w:r w:rsidRPr="006F3533">
        <w:rPr>
          <w:rFonts w:cs="Times New Roman"/>
          <w:szCs w:val="24"/>
          <w:lang w:val="bg-BG"/>
        </w:rPr>
        <w:t xml:space="preserve">Специфични бариери при основните типове сгради: </w:t>
      </w:r>
    </w:p>
    <w:p w14:paraId="2004ECFB"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Еднофамилни жилищни сгради</w:t>
      </w:r>
    </w:p>
    <w:tbl>
      <w:tblPr>
        <w:tblStyle w:val="GridTable4-Accent1"/>
        <w:tblW w:w="0" w:type="auto"/>
        <w:tblInd w:w="0" w:type="dxa"/>
        <w:tblLook w:val="04A0" w:firstRow="1" w:lastRow="0" w:firstColumn="1" w:lastColumn="0" w:noHBand="0" w:noVBand="1"/>
      </w:tblPr>
      <w:tblGrid>
        <w:gridCol w:w="2323"/>
        <w:gridCol w:w="6739"/>
      </w:tblGrid>
      <w:tr w:rsidR="00681B74" w:rsidRPr="006F3533" w14:paraId="2DADC17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041712" w14:textId="77777777" w:rsidR="00681B74" w:rsidRPr="006F3533" w:rsidRDefault="00681B74" w:rsidP="00077D42">
            <w:pPr>
              <w:jc w:val="both"/>
              <w:rPr>
                <w:rFonts w:cs="Times New Roman"/>
              </w:rPr>
            </w:pPr>
            <w:r w:rsidRPr="006F3533">
              <w:rPr>
                <w:rFonts w:cs="Times New Roman"/>
              </w:rPr>
              <w:t>Вид бариера</w:t>
            </w:r>
          </w:p>
        </w:tc>
        <w:tc>
          <w:tcPr>
            <w:tcW w:w="0" w:type="auto"/>
            <w:hideMark/>
          </w:tcPr>
          <w:p w14:paraId="4FF60F17" w14:textId="77777777" w:rsidR="00681B74" w:rsidRPr="006F3533" w:rsidRDefault="00681B74" w:rsidP="00077D42">
            <w:pPr>
              <w:jc w:val="both"/>
              <w:cnfStyle w:val="100000000000" w:firstRow="1" w:lastRow="0" w:firstColumn="0" w:lastColumn="0" w:oddVBand="0" w:evenVBand="0" w:oddHBand="0" w:evenHBand="0" w:firstRowFirstColumn="0" w:firstRowLastColumn="0" w:lastRowFirstColumn="0" w:lastRowLastColumn="0"/>
              <w:rPr>
                <w:rFonts w:cs="Times New Roman"/>
              </w:rPr>
            </w:pPr>
            <w:r w:rsidRPr="006F3533">
              <w:rPr>
                <w:rFonts w:cs="Times New Roman"/>
              </w:rPr>
              <w:t>Ключови проявления</w:t>
            </w:r>
          </w:p>
        </w:tc>
      </w:tr>
      <w:tr w:rsidR="00681B74" w:rsidRPr="006F3533" w14:paraId="49186DB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DE2EEF4" w14:textId="77777777" w:rsidR="00681B74" w:rsidRPr="006F3533" w:rsidRDefault="00681B74" w:rsidP="00077D42">
            <w:pPr>
              <w:jc w:val="both"/>
              <w:rPr>
                <w:rFonts w:cs="Times New Roman"/>
              </w:rPr>
            </w:pPr>
            <w:r w:rsidRPr="006F3533">
              <w:rPr>
                <w:rFonts w:cs="Times New Roman"/>
              </w:rPr>
              <w:t>Административни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5F5FDDB" w14:textId="77777777"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Липса на механизъм за предоставяне на техническа помощ в малките населени места; неефективна координация между местните и националните институции.</w:t>
            </w:r>
          </w:p>
        </w:tc>
      </w:tr>
      <w:tr w:rsidR="00681B74" w:rsidRPr="006F3533" w14:paraId="69D828F6"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936A175" w14:textId="77777777" w:rsidR="00681B74" w:rsidRPr="006F3533" w:rsidRDefault="00681B74" w:rsidP="00077D42">
            <w:pPr>
              <w:jc w:val="both"/>
              <w:rPr>
                <w:rFonts w:cs="Times New Roman"/>
              </w:rPr>
            </w:pPr>
            <w:r w:rsidRPr="006F3533">
              <w:rPr>
                <w:rFonts w:cs="Times New Roman"/>
              </w:rPr>
              <w:t>Финансови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FDCEF60" w14:textId="77777777" w:rsidR="00681B74" w:rsidRPr="006F3533"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Липса на финансови стимули или програми за подкрепа на еднофамилни сгради; труден достъп до кредитиране; невъзможност за постигане на икономии от мащаба.</w:t>
            </w:r>
          </w:p>
        </w:tc>
      </w:tr>
      <w:tr w:rsidR="00681B74" w:rsidRPr="006F3533" w14:paraId="12F7168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4A86592" w14:textId="77777777" w:rsidR="00681B74" w:rsidRPr="006F3533" w:rsidRDefault="00681B74" w:rsidP="00077D42">
            <w:pPr>
              <w:jc w:val="both"/>
              <w:rPr>
                <w:rFonts w:cs="Times New Roman"/>
              </w:rPr>
            </w:pPr>
            <w:r w:rsidRPr="006F3533">
              <w:rPr>
                <w:rFonts w:cs="Times New Roman"/>
              </w:rPr>
              <w:t>Технически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B4D63B5" w14:textId="77777777"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Ограничен достъп до сертифицирани консултанти, проектанти (ако е необходимо), изпълнители; липса на информация за подходящи технологии и материали; често остаряла инфраструктура.</w:t>
            </w:r>
          </w:p>
        </w:tc>
      </w:tr>
      <w:tr w:rsidR="00681B74" w:rsidRPr="006F3533" w14:paraId="015B9F10"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C274787" w14:textId="77777777" w:rsidR="00681B74" w:rsidRPr="006F3533" w:rsidRDefault="00681B74" w:rsidP="00077D42">
            <w:pPr>
              <w:jc w:val="both"/>
              <w:rPr>
                <w:rFonts w:cs="Times New Roman"/>
              </w:rPr>
            </w:pPr>
            <w:r w:rsidRPr="006F3533">
              <w:rPr>
                <w:rFonts w:cs="Times New Roman"/>
              </w:rPr>
              <w:t>Социални и поведенчески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9EFD8C3" w14:textId="77777777" w:rsidR="00681B74" w:rsidRPr="006F3533"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Ниска информираност за ползите от обновяване; ограничен административен капацитет за подпомагане на домакинствата; разчитане на неквалифициран или нискоквалифициран труд в сивия сектор.</w:t>
            </w:r>
          </w:p>
        </w:tc>
      </w:tr>
    </w:tbl>
    <w:p w14:paraId="32F1E3C8" w14:textId="77777777" w:rsidR="00681B74" w:rsidRPr="006F3533" w:rsidRDefault="00681B74" w:rsidP="00077D42">
      <w:pPr>
        <w:jc w:val="both"/>
        <w:rPr>
          <w:rFonts w:cs="Times New Roman"/>
          <w:b/>
          <w:bCs/>
          <w:kern w:val="2"/>
          <w:szCs w:val="24"/>
          <w:lang w:val="bg-BG"/>
          <w14:ligatures w14:val="standardContextual"/>
        </w:rPr>
      </w:pPr>
    </w:p>
    <w:p w14:paraId="04BC47A1"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Многофамилни жилищни сгради</w:t>
      </w:r>
    </w:p>
    <w:tbl>
      <w:tblPr>
        <w:tblStyle w:val="GridTable4-Accent1"/>
        <w:tblW w:w="0" w:type="auto"/>
        <w:tblInd w:w="0" w:type="dxa"/>
        <w:tblLook w:val="04A0" w:firstRow="1" w:lastRow="0" w:firstColumn="1" w:lastColumn="0" w:noHBand="0" w:noVBand="1"/>
      </w:tblPr>
      <w:tblGrid>
        <w:gridCol w:w="2122"/>
        <w:gridCol w:w="6940"/>
      </w:tblGrid>
      <w:tr w:rsidR="00681B74" w:rsidRPr="006F3533" w14:paraId="5BB78C3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6148D8B" w14:textId="77777777" w:rsidR="00681B74" w:rsidRPr="006F3533" w:rsidRDefault="00681B74" w:rsidP="00077D42">
            <w:pPr>
              <w:jc w:val="both"/>
              <w:rPr>
                <w:rFonts w:cs="Times New Roman"/>
              </w:rPr>
            </w:pPr>
            <w:r w:rsidRPr="006F3533">
              <w:rPr>
                <w:rFonts w:cs="Times New Roman"/>
              </w:rPr>
              <w:t>Вид бариера</w:t>
            </w:r>
          </w:p>
        </w:tc>
        <w:tc>
          <w:tcPr>
            <w:tcW w:w="0" w:type="auto"/>
            <w:hideMark/>
          </w:tcPr>
          <w:p w14:paraId="1D86E979" w14:textId="77777777" w:rsidR="00681B74" w:rsidRPr="006F3533" w:rsidRDefault="00681B74" w:rsidP="00077D42">
            <w:pPr>
              <w:jc w:val="both"/>
              <w:cnfStyle w:val="100000000000" w:firstRow="1" w:lastRow="0" w:firstColumn="0" w:lastColumn="0" w:oddVBand="0" w:evenVBand="0" w:oddHBand="0" w:evenHBand="0" w:firstRowFirstColumn="0" w:firstRowLastColumn="0" w:lastRowFirstColumn="0" w:lastRowLastColumn="0"/>
              <w:rPr>
                <w:rFonts w:cs="Times New Roman"/>
              </w:rPr>
            </w:pPr>
            <w:r w:rsidRPr="006F3533">
              <w:rPr>
                <w:rFonts w:cs="Times New Roman"/>
              </w:rPr>
              <w:t>Ключови проявления</w:t>
            </w:r>
          </w:p>
        </w:tc>
      </w:tr>
      <w:tr w:rsidR="00681B74" w:rsidRPr="006F3533" w14:paraId="238C97D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B8A0759" w14:textId="77777777" w:rsidR="00681B74" w:rsidRPr="006F3533" w:rsidRDefault="00681B74" w:rsidP="00077D42">
            <w:pPr>
              <w:jc w:val="both"/>
              <w:rPr>
                <w:rFonts w:cs="Times New Roman"/>
              </w:rPr>
            </w:pPr>
            <w:r w:rsidRPr="006F3533">
              <w:rPr>
                <w:rFonts w:cs="Times New Roman"/>
              </w:rPr>
              <w:t>Административни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948A91C" w14:textId="77777777"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Усложнено управление на собствеността, липса на система за контрол и санкции по прилагане на ЗУЕС; липса на доверие в институциите и организационен капацитет в сдруженията на собствениците.</w:t>
            </w:r>
          </w:p>
        </w:tc>
      </w:tr>
      <w:tr w:rsidR="00681B74" w:rsidRPr="006F3533" w14:paraId="361911B1"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3A94EC5" w14:textId="77777777" w:rsidR="00681B74" w:rsidRPr="006F3533" w:rsidRDefault="00681B74" w:rsidP="00077D42">
            <w:pPr>
              <w:jc w:val="both"/>
              <w:rPr>
                <w:rFonts w:cs="Times New Roman"/>
              </w:rPr>
            </w:pPr>
            <w:r w:rsidRPr="006F3533">
              <w:rPr>
                <w:rFonts w:cs="Times New Roman"/>
              </w:rPr>
              <w:t>Финансови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13FC297" w14:textId="1B9FBE1F" w:rsidR="00681B74" w:rsidRPr="006F3533"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 xml:space="preserve">Ограничен достъп до кредитиране за колективни проекти; липса на инструменти за гарантиране на вноските; висок риск за </w:t>
            </w:r>
            <w:r w:rsidRPr="006F3533">
              <w:rPr>
                <w:rFonts w:cs="Times New Roman"/>
              </w:rPr>
              <w:lastRenderedPageBreak/>
              <w:t>финансовите институции</w:t>
            </w:r>
            <w:r w:rsidR="000219B7">
              <w:rPr>
                <w:rFonts w:cs="Times New Roman"/>
              </w:rPr>
              <w:t xml:space="preserve">; липса </w:t>
            </w:r>
            <w:proofErr w:type="spellStart"/>
            <w:r w:rsidR="000219B7" w:rsidRPr="000219B7">
              <w:rPr>
                <w:rFonts w:cs="Times New Roman"/>
                <w:lang w:val="fr-BE"/>
              </w:rPr>
              <w:t>на</w:t>
            </w:r>
            <w:proofErr w:type="spellEnd"/>
            <w:r w:rsidR="000219B7" w:rsidRPr="000219B7">
              <w:rPr>
                <w:rFonts w:cs="Times New Roman"/>
                <w:lang w:val="fr-BE"/>
              </w:rPr>
              <w:t xml:space="preserve"> </w:t>
            </w:r>
            <w:proofErr w:type="spellStart"/>
            <w:r w:rsidR="000219B7" w:rsidRPr="000219B7">
              <w:rPr>
                <w:rFonts w:cs="Times New Roman"/>
                <w:lang w:val="fr-BE"/>
              </w:rPr>
              <w:t>диференциран</w:t>
            </w:r>
            <w:proofErr w:type="spellEnd"/>
            <w:r w:rsidR="000219B7" w:rsidRPr="000219B7">
              <w:rPr>
                <w:rFonts w:cs="Times New Roman"/>
                <w:lang w:val="fr-BE"/>
              </w:rPr>
              <w:t xml:space="preserve"> </w:t>
            </w:r>
            <w:proofErr w:type="spellStart"/>
            <w:r w:rsidR="000219B7" w:rsidRPr="000219B7">
              <w:rPr>
                <w:rFonts w:cs="Times New Roman"/>
                <w:lang w:val="fr-BE"/>
              </w:rPr>
              <w:t>подход</w:t>
            </w:r>
            <w:proofErr w:type="spellEnd"/>
            <w:r w:rsidR="000219B7" w:rsidRPr="000219B7">
              <w:rPr>
                <w:rFonts w:cs="Times New Roman"/>
                <w:lang w:val="fr-BE"/>
              </w:rPr>
              <w:t xml:space="preserve"> </w:t>
            </w:r>
            <w:proofErr w:type="spellStart"/>
            <w:r w:rsidR="000219B7" w:rsidRPr="000219B7">
              <w:rPr>
                <w:rFonts w:cs="Times New Roman"/>
                <w:lang w:val="fr-BE"/>
              </w:rPr>
              <w:t>за</w:t>
            </w:r>
            <w:proofErr w:type="spellEnd"/>
            <w:r w:rsidR="000219B7" w:rsidRPr="000219B7">
              <w:rPr>
                <w:rFonts w:cs="Times New Roman"/>
                <w:lang w:val="fr-BE"/>
              </w:rPr>
              <w:t xml:space="preserve"> </w:t>
            </w:r>
            <w:proofErr w:type="spellStart"/>
            <w:r w:rsidR="000219B7" w:rsidRPr="000219B7">
              <w:rPr>
                <w:rFonts w:cs="Times New Roman"/>
                <w:lang w:val="fr-BE"/>
              </w:rPr>
              <w:t>уязвими</w:t>
            </w:r>
            <w:proofErr w:type="spellEnd"/>
            <w:r w:rsidR="000219B7" w:rsidRPr="000219B7">
              <w:rPr>
                <w:rFonts w:cs="Times New Roman"/>
                <w:lang w:val="fr-BE"/>
              </w:rPr>
              <w:t xml:space="preserve"> и </w:t>
            </w:r>
            <w:proofErr w:type="spellStart"/>
            <w:r w:rsidR="000219B7" w:rsidRPr="000219B7">
              <w:rPr>
                <w:rFonts w:cs="Times New Roman"/>
                <w:lang w:val="fr-BE"/>
              </w:rPr>
              <w:t>неактивни</w:t>
            </w:r>
            <w:proofErr w:type="spellEnd"/>
            <w:r w:rsidR="000219B7" w:rsidRPr="000219B7">
              <w:rPr>
                <w:rFonts w:cs="Times New Roman"/>
                <w:lang w:val="fr-BE"/>
              </w:rPr>
              <w:t xml:space="preserve"> </w:t>
            </w:r>
            <w:proofErr w:type="spellStart"/>
            <w:r w:rsidR="000219B7" w:rsidRPr="000219B7">
              <w:rPr>
                <w:rFonts w:cs="Times New Roman"/>
                <w:lang w:val="fr-BE"/>
              </w:rPr>
              <w:t>собственици</w:t>
            </w:r>
            <w:proofErr w:type="spellEnd"/>
            <w:r w:rsidR="000219B7" w:rsidRPr="000219B7">
              <w:rPr>
                <w:rFonts w:cs="Times New Roman"/>
                <w:lang w:val="fr-BE"/>
              </w:rPr>
              <w:t>.</w:t>
            </w:r>
          </w:p>
        </w:tc>
      </w:tr>
      <w:tr w:rsidR="00681B74" w:rsidRPr="006F3533" w14:paraId="4375257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AC8906F" w14:textId="77777777" w:rsidR="00681B74" w:rsidRPr="006F3533" w:rsidRDefault="00681B74" w:rsidP="00077D42">
            <w:pPr>
              <w:jc w:val="both"/>
              <w:rPr>
                <w:rFonts w:cs="Times New Roman"/>
              </w:rPr>
            </w:pPr>
            <w:r w:rsidRPr="006F3533">
              <w:rPr>
                <w:rFonts w:cs="Times New Roman"/>
              </w:rPr>
              <w:lastRenderedPageBreak/>
              <w:t>Технически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B59EA0E" w14:textId="77777777"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Остарели и неподдържани конструкции и общи инсталации; трудности при интеграция на ВЕИ и интелигентни системи.</w:t>
            </w:r>
          </w:p>
        </w:tc>
      </w:tr>
      <w:tr w:rsidR="00681B74" w:rsidRPr="006F3533" w14:paraId="49979983"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02BA60C" w14:textId="77777777" w:rsidR="00681B74" w:rsidRPr="006F3533" w:rsidRDefault="00681B74" w:rsidP="00077D42">
            <w:pPr>
              <w:jc w:val="both"/>
              <w:rPr>
                <w:rFonts w:cs="Times New Roman"/>
              </w:rPr>
            </w:pPr>
            <w:r w:rsidRPr="006F3533">
              <w:rPr>
                <w:rFonts w:cs="Times New Roman"/>
              </w:rPr>
              <w:t>Социални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58DBCFA" w14:textId="55D42043" w:rsidR="00681B74" w:rsidRPr="006F3533"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Ниска мотивация и ограничено участие на собствениците; липса на професионални специализирани посредници</w:t>
            </w:r>
            <w:r w:rsidR="000219B7">
              <w:rPr>
                <w:rFonts w:cs="Times New Roman"/>
              </w:rPr>
              <w:t>; н</w:t>
            </w:r>
            <w:proofErr w:type="spellStart"/>
            <w:r w:rsidR="000219B7" w:rsidRPr="000219B7">
              <w:rPr>
                <w:rFonts w:cs="Times New Roman"/>
                <w:lang w:val="fr-BE"/>
              </w:rPr>
              <w:t>аличието</w:t>
            </w:r>
            <w:proofErr w:type="spellEnd"/>
            <w:r w:rsidR="000219B7" w:rsidRPr="000219B7">
              <w:rPr>
                <w:rFonts w:cs="Times New Roman"/>
                <w:lang w:val="fr-BE"/>
              </w:rPr>
              <w:t xml:space="preserve"> </w:t>
            </w:r>
            <w:proofErr w:type="spellStart"/>
            <w:r w:rsidR="000219B7" w:rsidRPr="000219B7">
              <w:rPr>
                <w:rFonts w:cs="Times New Roman"/>
                <w:lang w:val="fr-BE"/>
              </w:rPr>
              <w:t>на</w:t>
            </w:r>
            <w:proofErr w:type="spellEnd"/>
            <w:r w:rsidR="000219B7" w:rsidRPr="000219B7">
              <w:rPr>
                <w:rFonts w:cs="Times New Roman"/>
                <w:lang w:val="fr-BE"/>
              </w:rPr>
              <w:t xml:space="preserve"> </w:t>
            </w:r>
            <w:proofErr w:type="spellStart"/>
            <w:r w:rsidR="000219B7" w:rsidRPr="000219B7">
              <w:rPr>
                <w:rFonts w:cs="Times New Roman"/>
                <w:lang w:val="fr-BE"/>
              </w:rPr>
              <w:t>необитавани</w:t>
            </w:r>
            <w:proofErr w:type="spellEnd"/>
            <w:r w:rsidR="000219B7" w:rsidRPr="000219B7">
              <w:rPr>
                <w:rFonts w:cs="Times New Roman"/>
                <w:lang w:val="fr-BE"/>
              </w:rPr>
              <w:t xml:space="preserve"> </w:t>
            </w:r>
            <w:proofErr w:type="spellStart"/>
            <w:r w:rsidR="000219B7" w:rsidRPr="000219B7">
              <w:rPr>
                <w:rFonts w:cs="Times New Roman"/>
                <w:lang w:val="fr-BE"/>
              </w:rPr>
              <w:t>жилища</w:t>
            </w:r>
            <w:proofErr w:type="spellEnd"/>
            <w:r w:rsidR="000219B7" w:rsidRPr="000219B7">
              <w:rPr>
                <w:rFonts w:cs="Times New Roman"/>
                <w:lang w:val="fr-BE"/>
              </w:rPr>
              <w:t xml:space="preserve"> и </w:t>
            </w:r>
            <w:proofErr w:type="spellStart"/>
            <w:r w:rsidR="000219B7" w:rsidRPr="000219B7">
              <w:rPr>
                <w:rFonts w:cs="Times New Roman"/>
                <w:lang w:val="fr-BE"/>
              </w:rPr>
              <w:t>собственици</w:t>
            </w:r>
            <w:proofErr w:type="spellEnd"/>
            <w:r w:rsidR="000219B7" w:rsidRPr="000219B7">
              <w:rPr>
                <w:rFonts w:cs="Times New Roman"/>
                <w:lang w:val="fr-BE"/>
              </w:rPr>
              <w:t xml:space="preserve"> </w:t>
            </w:r>
            <w:proofErr w:type="spellStart"/>
            <w:r w:rsidR="000219B7" w:rsidRPr="000219B7">
              <w:rPr>
                <w:rFonts w:cs="Times New Roman"/>
                <w:lang w:val="fr-BE"/>
              </w:rPr>
              <w:t>без</w:t>
            </w:r>
            <w:proofErr w:type="spellEnd"/>
            <w:r w:rsidR="000219B7" w:rsidRPr="000219B7">
              <w:rPr>
                <w:rFonts w:cs="Times New Roman"/>
                <w:lang w:val="fr-BE"/>
              </w:rPr>
              <w:t xml:space="preserve"> </w:t>
            </w:r>
            <w:proofErr w:type="spellStart"/>
            <w:r w:rsidR="000219B7" w:rsidRPr="000219B7">
              <w:rPr>
                <w:rFonts w:cs="Times New Roman"/>
                <w:lang w:val="fr-BE"/>
              </w:rPr>
              <w:t>икономически</w:t>
            </w:r>
            <w:proofErr w:type="spellEnd"/>
            <w:r w:rsidR="000219B7" w:rsidRPr="000219B7">
              <w:rPr>
                <w:rFonts w:cs="Times New Roman"/>
                <w:lang w:val="fr-BE"/>
              </w:rPr>
              <w:t xml:space="preserve"> </w:t>
            </w:r>
            <w:proofErr w:type="spellStart"/>
            <w:r w:rsidR="000219B7" w:rsidRPr="000219B7">
              <w:rPr>
                <w:rFonts w:cs="Times New Roman"/>
                <w:lang w:val="fr-BE"/>
              </w:rPr>
              <w:t>интерес</w:t>
            </w:r>
            <w:proofErr w:type="spellEnd"/>
            <w:r w:rsidR="000219B7" w:rsidRPr="000219B7">
              <w:rPr>
                <w:rFonts w:cs="Times New Roman"/>
                <w:lang w:val="fr-BE"/>
              </w:rPr>
              <w:t xml:space="preserve"> </w:t>
            </w:r>
            <w:proofErr w:type="spellStart"/>
            <w:r w:rsidR="000219B7" w:rsidRPr="000219B7">
              <w:rPr>
                <w:rFonts w:cs="Times New Roman"/>
                <w:lang w:val="fr-BE"/>
              </w:rPr>
              <w:t>от</w:t>
            </w:r>
            <w:proofErr w:type="spellEnd"/>
            <w:r w:rsidR="000219B7" w:rsidRPr="000219B7">
              <w:rPr>
                <w:rFonts w:cs="Times New Roman"/>
                <w:lang w:val="fr-BE"/>
              </w:rPr>
              <w:t xml:space="preserve"> </w:t>
            </w:r>
            <w:proofErr w:type="spellStart"/>
            <w:r w:rsidR="000219B7" w:rsidRPr="000219B7">
              <w:rPr>
                <w:rFonts w:cs="Times New Roman"/>
                <w:lang w:val="fr-BE"/>
              </w:rPr>
              <w:t>обновяван</w:t>
            </w:r>
            <w:proofErr w:type="spellEnd"/>
            <w:r w:rsidR="000219B7">
              <w:rPr>
                <w:rFonts w:cs="Times New Roman"/>
              </w:rPr>
              <w:t xml:space="preserve">е; </w:t>
            </w:r>
          </w:p>
        </w:tc>
      </w:tr>
    </w:tbl>
    <w:p w14:paraId="57E924E2" w14:textId="77777777" w:rsidR="00681B74" w:rsidRPr="006F3533" w:rsidRDefault="00681B74" w:rsidP="00077D42">
      <w:pPr>
        <w:jc w:val="both"/>
        <w:rPr>
          <w:rFonts w:cs="Times New Roman"/>
          <w:kern w:val="2"/>
          <w:szCs w:val="24"/>
          <w:lang w:val="bg-BG"/>
          <w14:ligatures w14:val="standardContextual"/>
        </w:rPr>
      </w:pPr>
    </w:p>
    <w:p w14:paraId="2638DA54"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Обществени сгради</w:t>
      </w:r>
    </w:p>
    <w:tbl>
      <w:tblPr>
        <w:tblStyle w:val="GridTable4-Accent1"/>
        <w:tblW w:w="0" w:type="auto"/>
        <w:tblInd w:w="0" w:type="dxa"/>
        <w:tblLook w:val="04A0" w:firstRow="1" w:lastRow="0" w:firstColumn="1" w:lastColumn="0" w:noHBand="0" w:noVBand="1"/>
      </w:tblPr>
      <w:tblGrid>
        <w:gridCol w:w="2122"/>
        <w:gridCol w:w="6940"/>
      </w:tblGrid>
      <w:tr w:rsidR="00681B74" w:rsidRPr="006F3533" w14:paraId="517CA65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1C9564" w14:textId="77777777" w:rsidR="00681B74" w:rsidRPr="006F3533" w:rsidRDefault="00681B74" w:rsidP="00077D42">
            <w:pPr>
              <w:jc w:val="both"/>
              <w:rPr>
                <w:rFonts w:cs="Times New Roman"/>
              </w:rPr>
            </w:pPr>
            <w:r w:rsidRPr="006F3533">
              <w:rPr>
                <w:rFonts w:cs="Times New Roman"/>
              </w:rPr>
              <w:t>Вид бариера</w:t>
            </w:r>
          </w:p>
        </w:tc>
        <w:tc>
          <w:tcPr>
            <w:tcW w:w="0" w:type="auto"/>
            <w:hideMark/>
          </w:tcPr>
          <w:p w14:paraId="599C051A" w14:textId="77777777" w:rsidR="00681B74" w:rsidRPr="006F3533" w:rsidRDefault="00681B74" w:rsidP="00077D42">
            <w:pPr>
              <w:jc w:val="both"/>
              <w:cnfStyle w:val="100000000000" w:firstRow="1" w:lastRow="0" w:firstColumn="0" w:lastColumn="0" w:oddVBand="0" w:evenVBand="0" w:oddHBand="0" w:evenHBand="0" w:firstRowFirstColumn="0" w:firstRowLastColumn="0" w:lastRowFirstColumn="0" w:lastRowLastColumn="0"/>
              <w:rPr>
                <w:rFonts w:cs="Times New Roman"/>
              </w:rPr>
            </w:pPr>
            <w:r w:rsidRPr="006F3533">
              <w:rPr>
                <w:rFonts w:cs="Times New Roman"/>
              </w:rPr>
              <w:t>Ключови проявления</w:t>
            </w:r>
          </w:p>
        </w:tc>
      </w:tr>
      <w:tr w:rsidR="00681B74" w:rsidRPr="006F3533" w14:paraId="602430A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6052C2C" w14:textId="77777777" w:rsidR="00681B74" w:rsidRPr="006F3533" w:rsidRDefault="00681B74" w:rsidP="00077D42">
            <w:pPr>
              <w:jc w:val="both"/>
              <w:rPr>
                <w:rFonts w:cs="Times New Roman"/>
              </w:rPr>
            </w:pPr>
            <w:r w:rsidRPr="006F3533">
              <w:rPr>
                <w:rFonts w:cs="Times New Roman"/>
              </w:rPr>
              <w:t>Административни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F7C570B" w14:textId="77777777"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Ограничен капацитет на публичните възложители; липса на стандартизирани процедури и качествени проектни задания; недостатъчен контрол върху изпълнението.</w:t>
            </w:r>
          </w:p>
        </w:tc>
      </w:tr>
      <w:tr w:rsidR="00681B74" w:rsidRPr="006F3533" w14:paraId="2E86F091"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76ACFEE" w14:textId="77777777" w:rsidR="00681B74" w:rsidRPr="006F3533" w:rsidRDefault="00681B74" w:rsidP="00077D42">
            <w:pPr>
              <w:jc w:val="both"/>
              <w:rPr>
                <w:rFonts w:cs="Times New Roman"/>
              </w:rPr>
            </w:pPr>
            <w:r w:rsidRPr="006F3533">
              <w:rPr>
                <w:rFonts w:cs="Times New Roman"/>
              </w:rPr>
              <w:t>Финансови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7B7BAD3" w14:textId="77777777" w:rsidR="00681B74" w:rsidRPr="006F3533"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Недостатъчни собствени средства на общините; липса на устойчиви модели за съфинансиране; слабо прилагане на ЕСКО-договори.</w:t>
            </w:r>
          </w:p>
        </w:tc>
      </w:tr>
      <w:tr w:rsidR="00681B74" w:rsidRPr="006F3533" w14:paraId="57B879E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9C7C232" w14:textId="77777777" w:rsidR="00681B74" w:rsidRPr="006F3533" w:rsidRDefault="00681B74" w:rsidP="00077D42">
            <w:pPr>
              <w:jc w:val="both"/>
              <w:rPr>
                <w:rFonts w:cs="Times New Roman"/>
              </w:rPr>
            </w:pPr>
            <w:r w:rsidRPr="006F3533">
              <w:rPr>
                <w:rFonts w:cs="Times New Roman"/>
              </w:rPr>
              <w:t>Технически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F71B1A2" w14:textId="77777777"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Остаряла инфраструктура и инсталации; трудности при внедряване на интелигентни решения; ограничен достъп до високоефективни технологии.</w:t>
            </w:r>
          </w:p>
        </w:tc>
      </w:tr>
      <w:tr w:rsidR="00681B74" w:rsidRPr="006F3533" w14:paraId="70F3B91B"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B297BE4" w14:textId="77777777" w:rsidR="00681B74" w:rsidRPr="006F3533" w:rsidRDefault="00681B74" w:rsidP="00077D42">
            <w:pPr>
              <w:jc w:val="both"/>
              <w:rPr>
                <w:rFonts w:cs="Times New Roman"/>
              </w:rPr>
            </w:pPr>
            <w:r w:rsidRPr="006F3533">
              <w:rPr>
                <w:rFonts w:cs="Times New Roman"/>
              </w:rPr>
              <w:t>Човешки ресурси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182C606" w14:textId="77777777" w:rsidR="00681B74" w:rsidRPr="006F3533"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Недостиг на специалисти по енергийно управление и мониторинг; зависимост от външна техническа помощ.</w:t>
            </w:r>
          </w:p>
        </w:tc>
      </w:tr>
    </w:tbl>
    <w:p w14:paraId="51113459" w14:textId="77777777" w:rsidR="00681B74" w:rsidRPr="006F3533" w:rsidRDefault="00681B74" w:rsidP="00077D42">
      <w:pPr>
        <w:jc w:val="both"/>
        <w:rPr>
          <w:rFonts w:cs="Times New Roman"/>
          <w:kern w:val="2"/>
          <w:szCs w:val="24"/>
          <w:lang w:val="bg-BG"/>
          <w14:ligatures w14:val="standardContextual"/>
        </w:rPr>
      </w:pPr>
    </w:p>
    <w:p w14:paraId="1C1217C5" w14:textId="77777777" w:rsidR="00681B74" w:rsidRPr="006F3533" w:rsidRDefault="00681B74" w:rsidP="00077D42">
      <w:pPr>
        <w:jc w:val="both"/>
        <w:rPr>
          <w:rFonts w:cs="Times New Roman"/>
          <w:b/>
          <w:bCs/>
          <w:i/>
          <w:iCs/>
          <w:szCs w:val="24"/>
          <w:lang w:val="bg-BG"/>
        </w:rPr>
      </w:pPr>
      <w:r w:rsidRPr="006F3533">
        <w:rPr>
          <w:rFonts w:cs="Times New Roman"/>
          <w:b/>
          <w:bCs/>
          <w:i/>
          <w:iCs/>
          <w:szCs w:val="24"/>
          <w:lang w:val="bg-BG"/>
        </w:rPr>
        <w:t>Частни търговски и административни сгради</w:t>
      </w:r>
    </w:p>
    <w:tbl>
      <w:tblPr>
        <w:tblStyle w:val="GridTable4-Accent1"/>
        <w:tblW w:w="0" w:type="auto"/>
        <w:tblInd w:w="0" w:type="dxa"/>
        <w:tblLook w:val="04A0" w:firstRow="1" w:lastRow="0" w:firstColumn="1" w:lastColumn="0" w:noHBand="0" w:noVBand="1"/>
      </w:tblPr>
      <w:tblGrid>
        <w:gridCol w:w="2589"/>
        <w:gridCol w:w="6473"/>
      </w:tblGrid>
      <w:tr w:rsidR="00681B74" w:rsidRPr="006F3533" w14:paraId="50DD0A4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D26A772" w14:textId="77777777" w:rsidR="00681B74" w:rsidRPr="006F3533" w:rsidRDefault="00681B74" w:rsidP="00077D42">
            <w:pPr>
              <w:jc w:val="both"/>
              <w:rPr>
                <w:rFonts w:cs="Times New Roman"/>
              </w:rPr>
            </w:pPr>
            <w:r w:rsidRPr="006F3533">
              <w:rPr>
                <w:rFonts w:cs="Times New Roman"/>
              </w:rPr>
              <w:t>Вид бариера</w:t>
            </w:r>
          </w:p>
        </w:tc>
        <w:tc>
          <w:tcPr>
            <w:tcW w:w="0" w:type="auto"/>
            <w:hideMark/>
          </w:tcPr>
          <w:p w14:paraId="4EF2BA2C" w14:textId="77777777" w:rsidR="00681B74" w:rsidRPr="006F3533" w:rsidRDefault="00681B74" w:rsidP="00077D42">
            <w:pPr>
              <w:jc w:val="both"/>
              <w:cnfStyle w:val="100000000000" w:firstRow="1" w:lastRow="0" w:firstColumn="0" w:lastColumn="0" w:oddVBand="0" w:evenVBand="0" w:oddHBand="0" w:evenHBand="0" w:firstRowFirstColumn="0" w:firstRowLastColumn="0" w:lastRowFirstColumn="0" w:lastRowLastColumn="0"/>
              <w:rPr>
                <w:rFonts w:cs="Times New Roman"/>
              </w:rPr>
            </w:pPr>
            <w:r w:rsidRPr="006F3533">
              <w:rPr>
                <w:rFonts w:cs="Times New Roman"/>
              </w:rPr>
              <w:t>Ключови проявления</w:t>
            </w:r>
          </w:p>
        </w:tc>
      </w:tr>
      <w:tr w:rsidR="00681B74" w:rsidRPr="006F3533" w14:paraId="3C07182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ADFBC34" w14:textId="77777777" w:rsidR="00681B74" w:rsidRPr="006F3533" w:rsidRDefault="00681B74" w:rsidP="00077D42">
            <w:pPr>
              <w:jc w:val="both"/>
              <w:rPr>
                <w:rFonts w:cs="Times New Roman"/>
              </w:rPr>
            </w:pPr>
            <w:r w:rsidRPr="006F3533">
              <w:rPr>
                <w:rFonts w:cs="Times New Roman"/>
              </w:rPr>
              <w:t>Административни и регулаторни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443E725" w14:textId="77777777"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Спорадично и непоследователно прилагане на изискванията за енергийна ефективност; липса на стимули за доброволно обновяване.</w:t>
            </w:r>
          </w:p>
        </w:tc>
      </w:tr>
      <w:tr w:rsidR="00681B74" w:rsidRPr="006F3533" w14:paraId="1E1B6523"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736ACB1" w14:textId="77777777" w:rsidR="00681B74" w:rsidRPr="006F3533" w:rsidRDefault="00681B74" w:rsidP="00077D42">
            <w:pPr>
              <w:jc w:val="both"/>
              <w:rPr>
                <w:rFonts w:cs="Times New Roman"/>
              </w:rPr>
            </w:pPr>
            <w:r w:rsidRPr="006F3533">
              <w:rPr>
                <w:rFonts w:cs="Times New Roman"/>
              </w:rPr>
              <w:t>Финансови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78BED4D" w14:textId="77777777" w:rsidR="00681B74" w:rsidRPr="006F3533"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Липса на целеви програми или данъчни стимули за частни инвеститори; ограничен интерес на финансовите институции към дългосрочни зелени инвестиции.</w:t>
            </w:r>
          </w:p>
        </w:tc>
      </w:tr>
      <w:tr w:rsidR="00681B74" w:rsidRPr="006F3533" w14:paraId="73762B9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C03B21B" w14:textId="77777777" w:rsidR="00681B74" w:rsidRPr="006F3533" w:rsidRDefault="00681B74" w:rsidP="00077D42">
            <w:pPr>
              <w:jc w:val="both"/>
              <w:rPr>
                <w:rFonts w:cs="Times New Roman"/>
              </w:rPr>
            </w:pPr>
            <w:r w:rsidRPr="006F3533">
              <w:rPr>
                <w:rFonts w:cs="Times New Roman"/>
              </w:rPr>
              <w:t>Технически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4D466BC" w14:textId="77777777" w:rsidR="00681B74" w:rsidRPr="006F3533" w:rsidRDefault="00681B74" w:rsidP="00077D42">
            <w:pPr>
              <w:jc w:val="both"/>
              <w:cnfStyle w:val="000000100000" w:firstRow="0" w:lastRow="0" w:firstColumn="0" w:lastColumn="0" w:oddVBand="0" w:evenVBand="0" w:oddHBand="1" w:evenHBand="0" w:firstRowFirstColumn="0" w:firstRowLastColumn="0" w:lastRowFirstColumn="0" w:lastRowLastColumn="0"/>
              <w:rPr>
                <w:rFonts w:cs="Times New Roman"/>
              </w:rPr>
            </w:pPr>
            <w:r w:rsidRPr="006F3533">
              <w:rPr>
                <w:rFonts w:cs="Times New Roman"/>
              </w:rPr>
              <w:t>Недостатъчен обмен на данни за енергийното потребление; липса на стандартизирани методи за мониторинг и оценка на изпълнението.</w:t>
            </w:r>
          </w:p>
        </w:tc>
      </w:tr>
      <w:tr w:rsidR="00681B74" w:rsidRPr="006F3533" w14:paraId="1C60E79F" w14:textId="7777777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7730BE9" w14:textId="77777777" w:rsidR="00681B74" w:rsidRPr="006F3533" w:rsidRDefault="00681B74" w:rsidP="00077D42">
            <w:pPr>
              <w:jc w:val="both"/>
              <w:rPr>
                <w:rFonts w:cs="Times New Roman"/>
              </w:rPr>
            </w:pPr>
            <w:r w:rsidRPr="006F3533">
              <w:rPr>
                <w:rFonts w:cs="Times New Roman"/>
              </w:rPr>
              <w:t>Социални и организационни</w:t>
            </w:r>
          </w:p>
        </w:tc>
        <w:tc>
          <w:tcPr>
            <w:tcW w:w="0" w:type="auto"/>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39CAB35" w14:textId="77777777" w:rsidR="00681B74" w:rsidRPr="006F3533" w:rsidRDefault="00681B74" w:rsidP="00077D42">
            <w:pPr>
              <w:jc w:val="both"/>
              <w:cnfStyle w:val="000000000000" w:firstRow="0" w:lastRow="0" w:firstColumn="0" w:lastColumn="0" w:oddVBand="0" w:evenVBand="0" w:oddHBand="0" w:evenHBand="0" w:firstRowFirstColumn="0" w:firstRowLastColumn="0" w:lastRowFirstColumn="0" w:lastRowLastColumn="0"/>
              <w:rPr>
                <w:rFonts w:cs="Times New Roman"/>
              </w:rPr>
            </w:pPr>
            <w:r w:rsidRPr="006F3533">
              <w:rPr>
                <w:rFonts w:cs="Times New Roman"/>
              </w:rPr>
              <w:t>Енергийната ефективност не е стратегически приоритет за бизнеса; слаба информираност относно икономическите ползи от устойчиви сгради.</w:t>
            </w:r>
          </w:p>
        </w:tc>
      </w:tr>
    </w:tbl>
    <w:p w14:paraId="4CA290A8" w14:textId="77777777" w:rsidR="00681B74" w:rsidRPr="006F3533" w:rsidRDefault="00681B74" w:rsidP="00077D42">
      <w:pPr>
        <w:jc w:val="both"/>
        <w:rPr>
          <w:rFonts w:cs="Times New Roman"/>
          <w:kern w:val="2"/>
          <w:szCs w:val="24"/>
          <w:lang w:val="bg-BG"/>
          <w14:ligatures w14:val="standardContextual"/>
        </w:rPr>
      </w:pPr>
    </w:p>
    <w:p w14:paraId="3216BD3B" w14:textId="77777777" w:rsidR="004B18B0" w:rsidRPr="006F3533" w:rsidRDefault="004B18B0" w:rsidP="004B18B0">
      <w:pPr>
        <w:pStyle w:val="Heading1"/>
        <w:jc w:val="both"/>
        <w:rPr>
          <w:lang w:val="bg-BG"/>
        </w:rPr>
      </w:pPr>
      <w:bookmarkStart w:id="160" w:name="_Toc217837148"/>
      <w:bookmarkStart w:id="161" w:name="_Toc217888801"/>
      <w:r w:rsidRPr="006F3533">
        <w:rPr>
          <w:lang w:val="bg-BG"/>
        </w:rPr>
        <w:t>Енергийна бедност (определение)</w:t>
      </w:r>
      <w:bookmarkEnd w:id="160"/>
      <w:bookmarkEnd w:id="161"/>
    </w:p>
    <w:p w14:paraId="2D6641EC" w14:textId="77777777" w:rsidR="004B18B0" w:rsidRPr="006F3533" w:rsidRDefault="004B18B0" w:rsidP="004B18B0">
      <w:pPr>
        <w:spacing w:line="240" w:lineRule="auto"/>
        <w:jc w:val="both"/>
        <w:rPr>
          <w:rFonts w:cs="Times New Roman"/>
          <w:color w:val="000000" w:themeColor="text1"/>
          <w:szCs w:val="24"/>
          <w:lang w:val="bg-BG"/>
        </w:rPr>
      </w:pPr>
      <w:r w:rsidRPr="006F3533">
        <w:rPr>
          <w:rFonts w:cs="Times New Roman"/>
          <w:color w:val="000000" w:themeColor="text1"/>
          <w:szCs w:val="24"/>
          <w:lang w:val="bg-BG"/>
        </w:rPr>
        <w:t xml:space="preserve">Съгласно Директива (ЕС) 2019/944, Европейската комисия налага задължение на държавите членки да установят системи за идентифициране и защита на домакинствата, които са в риск от енергийна бедност. При провеждането на програми за повишаване на енергийната ефективност и инсталиране на възобновяеми енергийни източници, тези </w:t>
      </w:r>
      <w:r w:rsidRPr="006F3533">
        <w:rPr>
          <w:rFonts w:cs="Times New Roman"/>
          <w:color w:val="000000" w:themeColor="text1"/>
          <w:szCs w:val="24"/>
          <w:lang w:val="bg-BG"/>
        </w:rPr>
        <w:lastRenderedPageBreak/>
        <w:t xml:space="preserve">групи трябва да бъдат приоритетни (съгласно Директива 2012/27/ЕС и Директива 2010/31/ЕС, изменена през 2021 г. и 2023година). </w:t>
      </w:r>
    </w:p>
    <w:p w14:paraId="46FBCB22" w14:textId="77777777" w:rsidR="004B18B0" w:rsidRPr="006F3533" w:rsidRDefault="004B18B0" w:rsidP="004B18B0">
      <w:pPr>
        <w:jc w:val="both"/>
        <w:rPr>
          <w:rFonts w:cs="Times New Roman"/>
          <w:color w:val="000000" w:themeColor="text1"/>
          <w:szCs w:val="24"/>
          <w:lang w:val="bg-BG"/>
        </w:rPr>
      </w:pPr>
      <w:r w:rsidRPr="006F3533">
        <w:rPr>
          <w:rFonts w:cs="Times New Roman"/>
          <w:color w:val="000000" w:themeColor="text1"/>
          <w:szCs w:val="24"/>
          <w:lang w:val="bg-BG"/>
        </w:rPr>
        <w:t xml:space="preserve">От ноември 2023 г. в България има приета официална дефиниция за енергийна бедност в чл.38д на </w:t>
      </w:r>
      <w:hyperlink r:id="rId32">
        <w:r w:rsidRPr="006F3533">
          <w:rPr>
            <w:rFonts w:cs="Times New Roman"/>
            <w:color w:val="000000" w:themeColor="text1"/>
            <w:szCs w:val="24"/>
            <w:u w:val="single"/>
            <w:lang w:val="bg-BG"/>
          </w:rPr>
          <w:t>Закона за енергетиката</w:t>
        </w:r>
      </w:hyperlink>
      <w:r w:rsidRPr="006F3533">
        <w:rPr>
          <w:rFonts w:cs="Times New Roman"/>
          <w:color w:val="000000" w:themeColor="text1"/>
          <w:szCs w:val="24"/>
          <w:lang w:val="bg-BG"/>
        </w:rPr>
        <w:t xml:space="preserve">. Определянето на статут на домакинство в положение на енергийна бедност и/или на уязвим клиент за снабдяване с електрическа енергия, включително оценката на броя на домакинствата в положение на енергийна бедност, се извършват при условия и по ред, определени в </w:t>
      </w:r>
      <w:hyperlink r:id="rId33">
        <w:r w:rsidRPr="006F3533">
          <w:rPr>
            <w:rFonts w:cs="Times New Roman"/>
            <w:color w:val="000000" w:themeColor="text1"/>
            <w:szCs w:val="24"/>
            <w:u w:val="single"/>
            <w:lang w:val="bg-BG"/>
          </w:rPr>
          <w:t>Наредба</w:t>
        </w:r>
      </w:hyperlink>
      <w:r w:rsidRPr="006F3533">
        <w:rPr>
          <w:rFonts w:cs="Times New Roman"/>
          <w:color w:val="000000" w:themeColor="text1"/>
          <w:szCs w:val="24"/>
          <w:vertAlign w:val="superscript"/>
          <w:lang w:val="bg-BG"/>
        </w:rPr>
        <w:footnoteReference w:id="43"/>
      </w:r>
      <w:r w:rsidRPr="006F3533">
        <w:rPr>
          <w:rFonts w:cs="Times New Roman"/>
          <w:color w:val="000000" w:themeColor="text1"/>
          <w:szCs w:val="24"/>
          <w:lang w:val="bg-BG"/>
        </w:rPr>
        <w:t>, приета от Министерския съвет. Според Наредбата се определят две групи:</w:t>
      </w:r>
    </w:p>
    <w:p w14:paraId="44ACAD5F" w14:textId="77777777" w:rsidR="004B18B0" w:rsidRPr="006F3533" w:rsidRDefault="004B18B0" w:rsidP="004B18B0">
      <w:pPr>
        <w:spacing w:after="0"/>
        <w:jc w:val="both"/>
        <w:rPr>
          <w:rFonts w:cs="Times New Roman"/>
          <w:color w:val="000000" w:themeColor="text1"/>
          <w:szCs w:val="24"/>
          <w:lang w:val="bg-BG"/>
        </w:rPr>
      </w:pPr>
      <w:r w:rsidRPr="006F3533">
        <w:rPr>
          <w:rFonts w:cs="Times New Roman"/>
          <w:b/>
          <w:color w:val="000000" w:themeColor="text1"/>
          <w:szCs w:val="24"/>
          <w:lang w:val="bg-BG"/>
        </w:rPr>
        <w:t xml:space="preserve">1) Домакинства в положение на енергийна бедност, </w:t>
      </w:r>
      <w:r w:rsidRPr="006F3533">
        <w:rPr>
          <w:rFonts w:cs="Times New Roman"/>
          <w:color w:val="000000" w:themeColor="text1"/>
          <w:szCs w:val="24"/>
          <w:lang w:val="bg-BG"/>
        </w:rPr>
        <w:t>които се определят въз основа на:</w:t>
      </w:r>
    </w:p>
    <w:p w14:paraId="2F83DD12" w14:textId="77777777" w:rsidR="004B18B0" w:rsidRPr="006F3533" w:rsidRDefault="004B18B0" w:rsidP="004B18B0">
      <w:pPr>
        <w:spacing w:after="0"/>
        <w:ind w:left="708"/>
        <w:jc w:val="both"/>
        <w:rPr>
          <w:rFonts w:cs="Times New Roman"/>
          <w:color w:val="000000" w:themeColor="text1"/>
          <w:szCs w:val="24"/>
          <w:lang w:val="bg-BG"/>
        </w:rPr>
      </w:pPr>
      <w:r w:rsidRPr="006F3533">
        <w:rPr>
          <w:rFonts w:cs="Times New Roman"/>
          <w:color w:val="000000" w:themeColor="text1"/>
          <w:szCs w:val="24"/>
          <w:lang w:val="bg-BG"/>
        </w:rPr>
        <w:t>1. разполагаем средномесечен доход на членовете на домакинството;</w:t>
      </w:r>
    </w:p>
    <w:p w14:paraId="70C4C0EC" w14:textId="77777777" w:rsidR="004B18B0" w:rsidRPr="006F3533" w:rsidRDefault="004B18B0" w:rsidP="004B18B0">
      <w:pPr>
        <w:spacing w:after="0"/>
        <w:ind w:left="708"/>
        <w:jc w:val="both"/>
        <w:rPr>
          <w:rFonts w:cs="Times New Roman"/>
          <w:color w:val="000000" w:themeColor="text1"/>
          <w:szCs w:val="24"/>
          <w:lang w:val="bg-BG"/>
        </w:rPr>
      </w:pPr>
      <w:r w:rsidRPr="006F3533">
        <w:rPr>
          <w:rFonts w:cs="Times New Roman"/>
          <w:color w:val="000000" w:themeColor="text1"/>
          <w:szCs w:val="24"/>
          <w:lang w:val="bg-BG"/>
        </w:rPr>
        <w:t>2. разход за типово потребление на енергия;</w:t>
      </w:r>
    </w:p>
    <w:p w14:paraId="4729FF37" w14:textId="77777777" w:rsidR="004B18B0" w:rsidRPr="006F3533" w:rsidRDefault="004B18B0" w:rsidP="004B18B0">
      <w:pPr>
        <w:spacing w:after="120"/>
        <w:ind w:left="708"/>
        <w:jc w:val="both"/>
        <w:rPr>
          <w:rFonts w:cs="Times New Roman"/>
          <w:color w:val="000000" w:themeColor="text1"/>
          <w:szCs w:val="24"/>
          <w:lang w:val="bg-BG"/>
        </w:rPr>
      </w:pPr>
      <w:r w:rsidRPr="006F3533">
        <w:rPr>
          <w:rFonts w:cs="Times New Roman"/>
          <w:color w:val="000000" w:themeColor="text1"/>
          <w:szCs w:val="24"/>
          <w:lang w:val="bg-BG"/>
        </w:rPr>
        <w:t>3. енергийни характеристики на жилището.</w:t>
      </w:r>
    </w:p>
    <w:p w14:paraId="3130C6F6" w14:textId="77777777" w:rsidR="004B18B0" w:rsidRPr="006F3533" w:rsidRDefault="004B18B0" w:rsidP="004B18B0">
      <w:pPr>
        <w:jc w:val="both"/>
        <w:rPr>
          <w:rFonts w:cs="Times New Roman"/>
          <w:color w:val="000000" w:themeColor="text1"/>
          <w:szCs w:val="24"/>
          <w:lang w:val="bg-BG"/>
        </w:rPr>
      </w:pPr>
      <w:r w:rsidRPr="006F3533">
        <w:rPr>
          <w:rFonts w:cs="Times New Roman"/>
          <w:color w:val="000000" w:themeColor="text1"/>
          <w:szCs w:val="24"/>
          <w:lang w:val="bg-BG"/>
        </w:rPr>
        <w:t xml:space="preserve">Чл.5 (1) от Наредбата гласи: „Разполагаем доход на лице след намаляване с разхода за енергия се получава като от сумата на разполагаемия доход на членовете на домакинството се извади типовият разход за енергия на домакинството, и полученият доход се раздели на броя членове на домакинство, разделен на 12“. </w:t>
      </w:r>
    </w:p>
    <w:p w14:paraId="374D8703" w14:textId="77777777" w:rsidR="004B18B0" w:rsidRPr="006F3533" w:rsidRDefault="004B18B0" w:rsidP="004B18B0">
      <w:pPr>
        <w:jc w:val="both"/>
        <w:rPr>
          <w:rFonts w:cs="Times New Roman"/>
          <w:color w:val="000000" w:themeColor="text1"/>
          <w:szCs w:val="24"/>
          <w:lang w:val="bg-BG"/>
        </w:rPr>
      </w:pPr>
      <w:r w:rsidRPr="006F3533">
        <w:rPr>
          <w:rFonts w:cs="Times New Roman"/>
          <w:color w:val="000000" w:themeColor="text1"/>
          <w:szCs w:val="24"/>
          <w:lang w:val="bg-BG"/>
        </w:rPr>
        <w:t xml:space="preserve">Ако полученият доход е под официалната линия на бедност, то домакинството е в положение на енергийна бедност. </w:t>
      </w:r>
    </w:p>
    <w:p w14:paraId="4775B28D" w14:textId="77777777" w:rsidR="004B18B0" w:rsidRPr="006F3533" w:rsidRDefault="004B18B0" w:rsidP="004B18B0">
      <w:pPr>
        <w:jc w:val="both"/>
        <w:rPr>
          <w:rFonts w:cs="Times New Roman"/>
          <w:color w:val="000000" w:themeColor="text1"/>
          <w:szCs w:val="24"/>
          <w:lang w:val="bg-BG"/>
        </w:rPr>
      </w:pPr>
      <w:r w:rsidRPr="006F3533">
        <w:rPr>
          <w:rFonts w:cs="Times New Roman"/>
          <w:color w:val="000000" w:themeColor="text1"/>
          <w:szCs w:val="24"/>
          <w:lang w:val="bg-BG"/>
        </w:rPr>
        <w:t xml:space="preserve">Според </w:t>
      </w:r>
      <w:hyperlink r:id="rId34">
        <w:r w:rsidRPr="006F3533">
          <w:rPr>
            <w:rFonts w:cs="Times New Roman"/>
            <w:color w:val="000000" w:themeColor="text1"/>
            <w:szCs w:val="24"/>
            <w:u w:val="single"/>
            <w:lang w:val="bg-BG"/>
          </w:rPr>
          <w:t>годишния анализ</w:t>
        </w:r>
      </w:hyperlink>
      <w:r w:rsidRPr="006F3533">
        <w:rPr>
          <w:rFonts w:cs="Times New Roman"/>
          <w:color w:val="000000" w:themeColor="text1"/>
          <w:szCs w:val="24"/>
          <w:lang w:val="bg-BG"/>
        </w:rPr>
        <w:t xml:space="preserve"> на Агенцията за устойчиво енергийно развитие (АУЕР), през 2024 г. има 1 832 881 лица в енергийна бедност, по методиката разписана в чл. 16-19 на Наредбата. АУЕР ежегодно актуализира тази оценка за предходната година в срок до 31 март на следващата година. </w:t>
      </w:r>
    </w:p>
    <w:p w14:paraId="094F9BED" w14:textId="77777777" w:rsidR="004B18B0" w:rsidRPr="006F3533" w:rsidRDefault="004B18B0" w:rsidP="004B18B0">
      <w:pPr>
        <w:jc w:val="both"/>
        <w:rPr>
          <w:rFonts w:cs="Times New Roman"/>
          <w:color w:val="000000" w:themeColor="text1"/>
          <w:szCs w:val="24"/>
          <w:lang w:val="bg-BG"/>
        </w:rPr>
      </w:pPr>
      <w:r w:rsidRPr="006F3533">
        <w:rPr>
          <w:rFonts w:cs="Times New Roman"/>
          <w:b/>
          <w:color w:val="000000" w:themeColor="text1"/>
          <w:szCs w:val="24"/>
          <w:lang w:val="bg-BG"/>
        </w:rPr>
        <w:t xml:space="preserve">2) Уязвими клиенти за снабдяване с електрическа енергия. </w:t>
      </w:r>
      <w:r w:rsidRPr="006F3533">
        <w:rPr>
          <w:rFonts w:cs="Times New Roman"/>
          <w:color w:val="000000" w:themeColor="text1"/>
          <w:szCs w:val="24"/>
          <w:lang w:val="bg-BG"/>
        </w:rPr>
        <w:t xml:space="preserve">Съгласно чл.3 (2) на Наредбата „Уязвим клиент за снабдяване с електрическа енергия е битов клиент, който купува електрическа енергия за битовите нужди на домакинство, на което той е член, и той и/или друг член на домакинството е в критична зависимост от електрическо оборудване, поради наличието на поне едно от следните обстоятелства: </w:t>
      </w:r>
    </w:p>
    <w:p w14:paraId="4E1D7843" w14:textId="77777777" w:rsidR="004B18B0" w:rsidRPr="006F3533" w:rsidRDefault="004B18B0" w:rsidP="00551FED">
      <w:pPr>
        <w:numPr>
          <w:ilvl w:val="0"/>
          <w:numId w:val="115"/>
        </w:numPr>
        <w:spacing w:after="0" w:line="276" w:lineRule="auto"/>
        <w:jc w:val="both"/>
        <w:rPr>
          <w:rFonts w:cs="Times New Roman"/>
          <w:color w:val="000000" w:themeColor="text1"/>
          <w:szCs w:val="24"/>
          <w:lang w:val="bg-BG"/>
        </w:rPr>
      </w:pPr>
      <w:r w:rsidRPr="006F3533">
        <w:rPr>
          <w:rFonts w:cs="Times New Roman"/>
          <w:color w:val="000000" w:themeColor="text1"/>
          <w:szCs w:val="24"/>
          <w:lang w:val="bg-BG"/>
        </w:rPr>
        <w:t xml:space="preserve">лице над 65 години, живеещо само или с други лица над 65 години, с разполагаем доход по чл. 5, ал. 1 след намаляване с разхода за енергия по-малък или равен на официално обявената линия на бедност; </w:t>
      </w:r>
    </w:p>
    <w:p w14:paraId="5B9B7FC6" w14:textId="77777777" w:rsidR="004B18B0" w:rsidRPr="006F3533" w:rsidRDefault="004B18B0" w:rsidP="00551FED">
      <w:pPr>
        <w:numPr>
          <w:ilvl w:val="0"/>
          <w:numId w:val="115"/>
        </w:numPr>
        <w:spacing w:after="0" w:line="276" w:lineRule="auto"/>
        <w:jc w:val="both"/>
        <w:rPr>
          <w:rFonts w:cs="Times New Roman"/>
          <w:color w:val="000000" w:themeColor="text1"/>
          <w:szCs w:val="24"/>
          <w:lang w:val="bg-BG"/>
        </w:rPr>
      </w:pPr>
      <w:r w:rsidRPr="006F3533">
        <w:rPr>
          <w:rFonts w:cs="Times New Roman"/>
          <w:color w:val="000000" w:themeColor="text1"/>
          <w:szCs w:val="24"/>
          <w:lang w:val="bg-BG"/>
        </w:rPr>
        <w:t xml:space="preserve">лице с установени 50 и над 50 на сто трайно намалена работоспособност или вид и степен на увреждане, с разполагаем доход по чл. 5, ал. 1 след намаляване с разхода за енергия по-малък или равен на официално обявената линия на бедност; </w:t>
      </w:r>
    </w:p>
    <w:p w14:paraId="7781BC2C" w14:textId="77777777" w:rsidR="004B18B0" w:rsidRPr="006F3533" w:rsidRDefault="004B18B0" w:rsidP="00551FED">
      <w:pPr>
        <w:numPr>
          <w:ilvl w:val="0"/>
          <w:numId w:val="115"/>
        </w:numPr>
        <w:spacing w:after="0" w:line="276" w:lineRule="auto"/>
        <w:jc w:val="both"/>
        <w:rPr>
          <w:rFonts w:cs="Times New Roman"/>
          <w:color w:val="000000" w:themeColor="text1"/>
          <w:szCs w:val="24"/>
          <w:lang w:val="bg-BG"/>
        </w:rPr>
      </w:pPr>
      <w:r w:rsidRPr="006F3533">
        <w:rPr>
          <w:rFonts w:cs="Times New Roman"/>
          <w:color w:val="000000" w:themeColor="text1"/>
          <w:szCs w:val="24"/>
          <w:lang w:val="bg-BG"/>
        </w:rPr>
        <w:t xml:space="preserve">лица, които имат нужда от помощни средства за независим живот и/или медицински изделия за поддържане на живота, чието функциониране зависи от източник на електрическа енергия; </w:t>
      </w:r>
    </w:p>
    <w:p w14:paraId="471CDDBE" w14:textId="77777777" w:rsidR="004B18B0" w:rsidRPr="006F3533" w:rsidRDefault="004B18B0" w:rsidP="00551FED">
      <w:pPr>
        <w:numPr>
          <w:ilvl w:val="0"/>
          <w:numId w:val="115"/>
        </w:numPr>
        <w:spacing w:after="0" w:line="276" w:lineRule="auto"/>
        <w:jc w:val="both"/>
        <w:rPr>
          <w:rFonts w:cs="Times New Roman"/>
          <w:color w:val="000000" w:themeColor="text1"/>
          <w:szCs w:val="24"/>
          <w:lang w:val="bg-BG"/>
        </w:rPr>
      </w:pPr>
      <w:r w:rsidRPr="006F3533">
        <w:rPr>
          <w:rFonts w:cs="Times New Roman"/>
          <w:color w:val="000000" w:themeColor="text1"/>
          <w:szCs w:val="24"/>
          <w:lang w:val="bg-BG"/>
        </w:rPr>
        <w:lastRenderedPageBreak/>
        <w:t>лица, които получават месечни социални помощи и/или целева помощ за отопление по Закона за социално подпомагане за предходния отоплителен сезон.“</w:t>
      </w:r>
    </w:p>
    <w:p w14:paraId="3973A24F" w14:textId="537C8A34" w:rsidR="004B18B0" w:rsidRPr="006F3533" w:rsidRDefault="004B18B0" w:rsidP="004B18B0">
      <w:pPr>
        <w:spacing w:line="240" w:lineRule="auto"/>
        <w:contextualSpacing/>
        <w:jc w:val="both"/>
        <w:rPr>
          <w:rFonts w:cs="Times New Roman"/>
          <w:color w:val="000000" w:themeColor="text1"/>
          <w:szCs w:val="24"/>
          <w:lang w:val="bg-BG"/>
        </w:rPr>
      </w:pPr>
      <w:r w:rsidRPr="006F3533">
        <w:rPr>
          <w:rFonts w:cs="Times New Roman"/>
          <w:color w:val="000000" w:themeColor="text1"/>
          <w:szCs w:val="24"/>
          <w:lang w:val="bg-BG"/>
        </w:rPr>
        <w:t>За да се предотврати отрицателното въздействие от политиките за климата и новата схема за търговия с емисии в секторите сгради и транспорт (СТЕ 2), в ЕС се приема Регламент (ЕС) 2023/955 за създаване на Социален фонд за климата, с цел защита и подкрепа на най-уязвимите групи. В съответствие с Регламент (ЕС) 2023/955 всяка държава членка създава Социален план за климата (СПК) и определя национални дефиниции за уязвими потребители на енергия и транспорт.  Дефинициите, които ще се прилагат на национално ниво за организация и координация на подготовката на СПК на Република България и за определяне на органите и структурите, отговорни за неговата подготовка и управление, и на техните основни функции, са одобрени с ПМС № 24/2025 г. (изм. и доп. с ПМС № 241 от 2025 г.). Съгласно постановлението, дефинициите отнасящи се до сектор «Сгради» са както следва:</w:t>
      </w:r>
    </w:p>
    <w:p w14:paraId="242673D6" w14:textId="77777777" w:rsidR="004B18B0" w:rsidRPr="006F3533" w:rsidRDefault="004B18B0" w:rsidP="004B18B0">
      <w:pPr>
        <w:contextualSpacing/>
        <w:jc w:val="both"/>
        <w:rPr>
          <w:rFonts w:cs="Times New Roman"/>
          <w:b/>
          <w:bCs/>
          <w:color w:val="000000" w:themeColor="text1"/>
          <w:szCs w:val="24"/>
          <w:lang w:val="bg-BG"/>
        </w:rPr>
      </w:pPr>
    </w:p>
    <w:p w14:paraId="7236A8FD" w14:textId="77777777" w:rsidR="004B18B0" w:rsidRPr="006F3533" w:rsidRDefault="004B18B0" w:rsidP="004B18B0">
      <w:pPr>
        <w:contextualSpacing/>
        <w:jc w:val="both"/>
        <w:rPr>
          <w:rFonts w:cs="Times New Roman"/>
          <w:color w:val="000000" w:themeColor="text1"/>
          <w:szCs w:val="24"/>
          <w:lang w:val="bg-BG"/>
        </w:rPr>
      </w:pPr>
      <w:r w:rsidRPr="006F3533">
        <w:rPr>
          <w:rFonts w:cs="Times New Roman"/>
          <w:b/>
          <w:bCs/>
          <w:color w:val="000000" w:themeColor="text1"/>
          <w:szCs w:val="24"/>
          <w:lang w:val="bg-BG"/>
        </w:rPr>
        <w:t xml:space="preserve">„Уязвимо домакинство“ </w:t>
      </w:r>
      <w:r w:rsidRPr="006F3533">
        <w:rPr>
          <w:rFonts w:cs="Times New Roman"/>
          <w:color w:val="000000" w:themeColor="text1"/>
          <w:szCs w:val="24"/>
          <w:lang w:val="bg-BG"/>
        </w:rPr>
        <w:t xml:space="preserve">е домакинство, което отговаря на едно от следните две условия: </w:t>
      </w:r>
    </w:p>
    <w:p w14:paraId="35FDE05B" w14:textId="00D72CF2" w:rsidR="004B18B0" w:rsidRPr="006F3533" w:rsidRDefault="004B18B0" w:rsidP="004B18B0">
      <w:pPr>
        <w:spacing w:line="240" w:lineRule="auto"/>
        <w:jc w:val="both"/>
        <w:rPr>
          <w:rFonts w:cs="Times New Roman"/>
          <w:color w:val="000000" w:themeColor="text1"/>
          <w:szCs w:val="24"/>
          <w:lang w:val="bg-BG"/>
        </w:rPr>
      </w:pPr>
      <w:r w:rsidRPr="006F3533">
        <w:rPr>
          <w:rFonts w:cs="Times New Roman"/>
          <w:color w:val="000000" w:themeColor="text1"/>
          <w:szCs w:val="24"/>
          <w:lang w:val="bg-BG"/>
        </w:rPr>
        <w:t>1. „Домакинство в положение на енергийна бедност“ по смисъла на Закона за енергетиката (ЗЕ), което е домакинство, което при действащите цени на енергийните носители е с разполагаем средномесечен доход на член от домакинството за предходната година, по-малък или равен на официалната линия на бедност, след като е намален с разхода му за определеното спрямо енергийните характеристики на жилището типово потребление на енергия, и което поради това няма достъп до основни енергийни услуги за адекватно отопление, охлаждане, осветление и осигуряване на енергия за домакинските уреди.</w:t>
      </w:r>
    </w:p>
    <w:p w14:paraId="6794D301" w14:textId="18D4D6D0"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 xml:space="preserve">2. Домакинство, засегнато от ценовото въздействие на включването на емисиите на парникови газове от сектор „Сгради“ в приложното поле на Директива 2003/87/ЕО за установяване на схема за търговия с квоти за емисии на парникови </w:t>
      </w:r>
      <w:proofErr w:type="spellStart"/>
      <w:r w:rsidRPr="006F3533">
        <w:rPr>
          <w:rFonts w:cs="Times New Roman"/>
          <w:color w:val="000000" w:themeColor="text1"/>
          <w:szCs w:val="24"/>
          <w:lang w:val="bg-BG"/>
        </w:rPr>
        <w:t>газовe</w:t>
      </w:r>
      <w:proofErr w:type="spellEnd"/>
      <w:r w:rsidRPr="006F3533">
        <w:rPr>
          <w:rFonts w:cs="Times New Roman"/>
          <w:color w:val="000000" w:themeColor="text1"/>
          <w:szCs w:val="24"/>
          <w:lang w:val="bg-BG"/>
        </w:rPr>
        <w:t xml:space="preserve">, което има доходи в размер, равен на или по-малък от </w:t>
      </w:r>
      <w:proofErr w:type="spellStart"/>
      <w:r w:rsidRPr="006F3533">
        <w:rPr>
          <w:rFonts w:cs="Times New Roman"/>
          <w:color w:val="000000" w:themeColor="text1"/>
          <w:szCs w:val="24"/>
          <w:lang w:val="bg-BG"/>
        </w:rPr>
        <w:t>медианния</w:t>
      </w:r>
      <w:proofErr w:type="spellEnd"/>
      <w:r w:rsidRPr="006F3533">
        <w:rPr>
          <w:rFonts w:cs="Times New Roman"/>
          <w:color w:val="000000" w:themeColor="text1"/>
          <w:szCs w:val="24"/>
          <w:lang w:val="bg-BG"/>
        </w:rPr>
        <w:t xml:space="preserve"> доход на лице от домакинство общо за страната по данни на НСИ от изследването "Статистика на доходите и условията на живот (SILC)" за всеки член на домакинството“.</w:t>
      </w:r>
    </w:p>
    <w:p w14:paraId="536FC64C" w14:textId="77777777"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 xml:space="preserve">Според данни на Евростат през 2023 г. 20,7% от българските домакинства не са могли да поддържат домовете си адекватно отоплен при средно ниво на ЕС – 10,6%. За същия период близо 21% от разполагаемия доход на домакинствата е предназначен за разходи за енергия. </w:t>
      </w:r>
    </w:p>
    <w:p w14:paraId="021731E5" w14:textId="77777777" w:rsidR="004B18B0" w:rsidRPr="006F3533" w:rsidRDefault="004B18B0" w:rsidP="004B18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cs="Times New Roman"/>
          <w:szCs w:val="24"/>
          <w:lang w:val="bg-BG"/>
        </w:rPr>
      </w:pPr>
      <w:r w:rsidRPr="006F3533">
        <w:rPr>
          <w:rFonts w:cs="Times New Roman"/>
          <w:szCs w:val="24"/>
          <w:lang w:val="bg-BG"/>
        </w:rPr>
        <w:t xml:space="preserve">В Препоръките на Европейската комисия от 2020 г. се използват индикатори за измерване на енергийната бедност и основни индикатори за сравнение на нивата на енергийна бедност на ниво ЕС от изследването на доходите и условията на живот на Евростат. </w:t>
      </w:r>
    </w:p>
    <w:p w14:paraId="4EE1E154" w14:textId="77777777" w:rsidR="004B18B0" w:rsidRPr="006F3533" w:rsidRDefault="004B18B0" w:rsidP="004B18B0">
      <w:pPr>
        <w:spacing w:line="240" w:lineRule="auto"/>
        <w:jc w:val="both"/>
        <w:rPr>
          <w:rFonts w:cs="Times New Roman"/>
          <w:i/>
          <w:iCs/>
          <w:color w:val="0070C0"/>
          <w:szCs w:val="24"/>
          <w:lang w:val="bg-BG"/>
        </w:rPr>
      </w:pPr>
      <w:r w:rsidRPr="006F3533">
        <w:rPr>
          <w:rFonts w:cs="Times New Roman"/>
          <w:i/>
          <w:iCs/>
          <w:color w:val="0070C0"/>
          <w:szCs w:val="24"/>
          <w:lang w:val="bg-BG"/>
        </w:rPr>
        <w:t xml:space="preserve">Фигура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Фигура_№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16</w:t>
      </w:r>
      <w:r w:rsidRPr="006F3533">
        <w:rPr>
          <w:rFonts w:cs="Times New Roman"/>
          <w:i/>
          <w:iCs/>
          <w:color w:val="0070C0"/>
          <w:szCs w:val="24"/>
          <w:lang w:val="bg-BG"/>
        </w:rPr>
        <w:fldChar w:fldCharType="end"/>
      </w:r>
      <w:r w:rsidRPr="006F3533">
        <w:rPr>
          <w:rFonts w:cs="Times New Roman"/>
          <w:i/>
          <w:iCs/>
          <w:color w:val="0070C0"/>
          <w:szCs w:val="24"/>
          <w:lang w:val="bg-BG"/>
        </w:rPr>
        <w:t>: Индикатори за енергийна бедност по данни на Евростат (%)</w:t>
      </w:r>
    </w:p>
    <w:p w14:paraId="4A8E23C4" w14:textId="77777777" w:rsidR="004B18B0" w:rsidRPr="006F3533" w:rsidRDefault="004B18B0" w:rsidP="004B18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Arial"/>
          <w:bCs/>
          <w:color w:val="000000" w:themeColor="text1"/>
          <w:sz w:val="20"/>
          <w:szCs w:val="20"/>
          <w:lang w:val="bg-BG"/>
        </w:rPr>
      </w:pPr>
      <w:r w:rsidRPr="006F3533">
        <w:rPr>
          <w:noProof/>
          <w:color w:val="000000" w:themeColor="text1"/>
          <w:sz w:val="22"/>
          <w:lang w:val="bg-BG"/>
        </w:rPr>
        <w:lastRenderedPageBreak/>
        <w:drawing>
          <wp:inline distT="0" distB="0" distL="0" distR="0" wp14:anchorId="6D460610" wp14:editId="32638794">
            <wp:extent cx="2503805" cy="3400425"/>
            <wp:effectExtent l="0" t="0" r="10795" b="9525"/>
            <wp:docPr id="46503274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6F3533">
        <w:rPr>
          <w:color w:val="000000" w:themeColor="text1"/>
          <w:sz w:val="22"/>
          <w:lang w:val="bg-BG"/>
        </w:rPr>
        <w:t xml:space="preserve"> </w:t>
      </w:r>
      <w:r w:rsidRPr="006F3533">
        <w:rPr>
          <w:noProof/>
          <w:color w:val="000000" w:themeColor="text1"/>
          <w:sz w:val="22"/>
          <w:lang w:val="bg-BG"/>
        </w:rPr>
        <w:drawing>
          <wp:inline distT="0" distB="0" distL="0" distR="0" wp14:anchorId="2F5504AB" wp14:editId="6BA0EE08">
            <wp:extent cx="2354580" cy="3400425"/>
            <wp:effectExtent l="0" t="0" r="7620" b="9525"/>
            <wp:docPr id="63616433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9FEF549" w14:textId="77777777" w:rsidR="004B18B0" w:rsidRPr="006F3533" w:rsidRDefault="004B18B0" w:rsidP="004B18B0">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Източник: Евростат, SILC.</w:t>
      </w:r>
    </w:p>
    <w:p w14:paraId="5514DE9D" w14:textId="77777777"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Съгласно данни от изследване на доходите и условията на живот от НСИ през 2023 г. 30% от населението на България е в риск от бедност и социално изключване, 18% живеят в тежки материални и социални лишения, а 19% от хората изпитват затруднения при плащането навреме на определени разходи, вкл. текущи разходи за снабдяване с електрическа енергия, вода, отопление. Дефинициите, приети за целите на СПК показват (вж. т. 1.4), че към 2024 г. 897 281 домакинства са енергийно бедни. Общо 53 817 домакинства използват за отопление въглища, природен газ и течни горива и ще бъдат засегнати от СТЕ2. От тях 37 240 живеят в многофамилни жилищни сгради, както следва:</w:t>
      </w:r>
    </w:p>
    <w:p w14:paraId="1CAD18DC" w14:textId="77777777"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- 28 316 домакинства използват природен газ;</w:t>
      </w:r>
    </w:p>
    <w:p w14:paraId="379F7202" w14:textId="77777777"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- 386 домакинства използват течни горива;</w:t>
      </w:r>
    </w:p>
    <w:p w14:paraId="7AE59881" w14:textId="77777777"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- 8 538 използват въглища;</w:t>
      </w:r>
    </w:p>
    <w:p w14:paraId="55188EA3" w14:textId="77777777"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 xml:space="preserve">Допълнително общо 119 702 са домакинствата, с доход под </w:t>
      </w:r>
      <w:proofErr w:type="spellStart"/>
      <w:r w:rsidRPr="006F3533">
        <w:rPr>
          <w:rFonts w:cs="Times New Roman"/>
          <w:color w:val="000000" w:themeColor="text1"/>
          <w:szCs w:val="24"/>
          <w:lang w:val="bg-BG"/>
        </w:rPr>
        <w:t>медианния</w:t>
      </w:r>
      <w:proofErr w:type="spellEnd"/>
      <w:r w:rsidRPr="006F3533">
        <w:rPr>
          <w:rFonts w:cs="Times New Roman"/>
          <w:color w:val="000000" w:themeColor="text1"/>
          <w:szCs w:val="24"/>
          <w:lang w:val="bg-BG"/>
        </w:rPr>
        <w:t xml:space="preserve">, които ще бъдат пряко засегнати от разширяването на системата за търговия с емисии, </w:t>
      </w:r>
      <w:proofErr w:type="spellStart"/>
      <w:r w:rsidRPr="006F3533">
        <w:rPr>
          <w:rFonts w:cs="Times New Roman"/>
          <w:color w:val="000000" w:themeColor="text1"/>
          <w:szCs w:val="24"/>
          <w:lang w:val="bg-BG"/>
        </w:rPr>
        <w:t>т.к</w:t>
      </w:r>
      <w:proofErr w:type="spellEnd"/>
      <w:r w:rsidRPr="006F3533">
        <w:rPr>
          <w:rFonts w:cs="Times New Roman"/>
          <w:color w:val="000000" w:themeColor="text1"/>
          <w:szCs w:val="24"/>
          <w:lang w:val="bg-BG"/>
        </w:rPr>
        <w:t xml:space="preserve">. използват за отопление въглища, природен газ и течни горива </w:t>
      </w:r>
    </w:p>
    <w:p w14:paraId="2A24F422" w14:textId="77777777"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 xml:space="preserve">Така общият брой на уязвимите домакинства в страната достига </w:t>
      </w:r>
      <w:r w:rsidRPr="006F3533">
        <w:rPr>
          <w:rFonts w:cs="Times New Roman"/>
          <w:b/>
          <w:bCs/>
          <w:color w:val="000000" w:themeColor="text1"/>
          <w:szCs w:val="24"/>
          <w:lang w:val="bg-BG"/>
        </w:rPr>
        <w:t>1 016 983, което формира 35,5% от домакинствата.</w:t>
      </w:r>
      <w:r w:rsidRPr="006F3533">
        <w:rPr>
          <w:rFonts w:cs="Times New Roman"/>
          <w:color w:val="000000" w:themeColor="text1"/>
          <w:szCs w:val="24"/>
          <w:lang w:val="bg-BG"/>
        </w:rPr>
        <w:t xml:space="preserve"> След корекцията за избягване на повторното броене в двата критерия на дефиницията окончателният размер на уязвимите домакинства възлиза на 963 166, формиращ </w:t>
      </w:r>
      <w:r w:rsidRPr="006F3533">
        <w:rPr>
          <w:rFonts w:cs="Times New Roman"/>
          <w:b/>
          <w:bCs/>
          <w:color w:val="000000" w:themeColor="text1"/>
          <w:szCs w:val="24"/>
          <w:lang w:val="bg-BG"/>
        </w:rPr>
        <w:t>33,6% от домакинствата</w:t>
      </w:r>
      <w:r w:rsidRPr="006F3533">
        <w:rPr>
          <w:rFonts w:cs="Times New Roman"/>
          <w:color w:val="000000" w:themeColor="text1"/>
          <w:szCs w:val="24"/>
          <w:lang w:val="bg-BG"/>
        </w:rPr>
        <w:t xml:space="preserve">. </w:t>
      </w:r>
    </w:p>
    <w:p w14:paraId="66B68BEC" w14:textId="77777777"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 xml:space="preserve">Допълнително, общо 247 346 енергийно бедните домакинства в многофамилните жилищни сгради използват дърва и електричество. В същото време в търсене на алтернативни и достъпни източници за отопление голяма част от хората с ниски доходи, вкл. и енергийно бедни, прибягват до: изгаряне на нискокачествени горива (при това се отделят вредни замърсители в закритата и външната среда), неефективни отоплителни </w:t>
      </w:r>
      <w:r w:rsidRPr="006F3533">
        <w:rPr>
          <w:rFonts w:cs="Times New Roman"/>
          <w:color w:val="000000" w:themeColor="text1"/>
          <w:szCs w:val="24"/>
          <w:lang w:val="bg-BG"/>
        </w:rPr>
        <w:lastRenderedPageBreak/>
        <w:t>системи (по-старите, по-малко ефективни отоплителни системи консумират повече енергия и отделят повече емисии), нерегламентирано изгаряне на отпадъци.</w:t>
      </w:r>
    </w:p>
    <w:p w14:paraId="0422D932" w14:textId="77777777" w:rsidR="004B18B0" w:rsidRPr="006F3533" w:rsidRDefault="004B18B0" w:rsidP="004B18B0">
      <w:pPr>
        <w:spacing w:line="240" w:lineRule="auto"/>
        <w:ind w:left="-12"/>
        <w:jc w:val="both"/>
        <w:rPr>
          <w:rFonts w:cs="Times New Roman"/>
          <w:color w:val="000000" w:themeColor="text1"/>
          <w:szCs w:val="24"/>
          <w:lang w:val="bg-BG"/>
        </w:rPr>
      </w:pPr>
      <w:r w:rsidRPr="006F3533">
        <w:rPr>
          <w:rFonts w:cs="Times New Roman"/>
          <w:color w:val="000000" w:themeColor="text1"/>
          <w:szCs w:val="24"/>
          <w:lang w:val="bg-BG"/>
        </w:rPr>
        <w:t xml:space="preserve">Според статистически данни и </w:t>
      </w:r>
      <w:hyperlink r:id="rId37" w:history="1">
        <w:r w:rsidRPr="006F3533">
          <w:rPr>
            <w:rFonts w:cs="Times New Roman"/>
            <w:color w:val="0563C1" w:themeColor="hyperlink"/>
            <w:szCs w:val="24"/>
            <w:u w:val="single"/>
            <w:lang w:val="bg-BG"/>
          </w:rPr>
          <w:t>анализ</w:t>
        </w:r>
      </w:hyperlink>
      <w:r w:rsidRPr="006F3533">
        <w:rPr>
          <w:rFonts w:cs="Times New Roman"/>
          <w:color w:val="000000" w:themeColor="text1"/>
          <w:szCs w:val="24"/>
          <w:lang w:val="bg-BG"/>
        </w:rPr>
        <w:t xml:space="preserve"> на целевите групи за социалния план за климата – Сектор „</w:t>
      </w:r>
      <w:proofErr w:type="spellStart"/>
      <w:r w:rsidRPr="006F3533">
        <w:rPr>
          <w:rFonts w:cs="Times New Roman"/>
          <w:color w:val="000000" w:themeColor="text1"/>
          <w:szCs w:val="24"/>
          <w:lang w:val="bg-BG"/>
        </w:rPr>
        <w:t>Сгради“на</w:t>
      </w:r>
      <w:proofErr w:type="spellEnd"/>
      <w:r w:rsidRPr="006F3533">
        <w:rPr>
          <w:rFonts w:cs="Times New Roman"/>
          <w:color w:val="000000" w:themeColor="text1"/>
          <w:szCs w:val="24"/>
          <w:lang w:val="bg-BG"/>
        </w:rPr>
        <w:t xml:space="preserve"> Института за икономически изследвания при БАН са налице следните тенденции:</w:t>
      </w:r>
    </w:p>
    <w:p w14:paraId="47F2FB53" w14:textId="77777777" w:rsidR="004B18B0" w:rsidRPr="006F3533" w:rsidRDefault="004B18B0" w:rsidP="004B18B0">
      <w:pPr>
        <w:spacing w:before="120" w:after="120"/>
        <w:jc w:val="both"/>
        <w:rPr>
          <w:rFonts w:cs="Times New Roman"/>
          <w:szCs w:val="24"/>
          <w:lang w:val="bg-BG"/>
        </w:rPr>
      </w:pPr>
      <w:r w:rsidRPr="006F3533">
        <w:rPr>
          <w:rFonts w:cs="Times New Roman"/>
          <w:b/>
          <w:bCs/>
          <w:szCs w:val="24"/>
          <w:lang w:val="bg-BG"/>
        </w:rPr>
        <w:t>Над 76% от енергийно бедните домакинства обитават къщи – самостоятелни или къща близнак или част от къща</w:t>
      </w:r>
      <w:r w:rsidRPr="006F3533">
        <w:rPr>
          <w:rFonts w:cs="Times New Roman"/>
          <w:szCs w:val="24"/>
          <w:lang w:val="bg-BG"/>
        </w:rPr>
        <w:t xml:space="preserve">.  Енергийно бедните домакинства представляват едва 21% от живущите в сгради с по-малко от 10 жилища и </w:t>
      </w:r>
      <w:r w:rsidRPr="006F3533">
        <w:rPr>
          <w:rFonts w:cs="Times New Roman"/>
          <w:b/>
          <w:bCs/>
          <w:szCs w:val="24"/>
          <w:lang w:val="bg-BG"/>
        </w:rPr>
        <w:t>23% от живущите в сгради с 10 или повече жилища</w:t>
      </w:r>
      <w:r w:rsidRPr="006F3533">
        <w:rPr>
          <w:rFonts w:cs="Times New Roman"/>
          <w:szCs w:val="24"/>
          <w:lang w:val="bg-BG"/>
        </w:rPr>
        <w:t xml:space="preserve">. </w:t>
      </w:r>
    </w:p>
    <w:p w14:paraId="4FA086C7" w14:textId="77777777" w:rsidR="004B18B0" w:rsidRPr="006F3533" w:rsidRDefault="004B18B0" w:rsidP="004B18B0">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28</w:t>
      </w:r>
      <w:r w:rsidRPr="006F3533">
        <w:rPr>
          <w:rFonts w:cs="Times New Roman"/>
          <w:i/>
          <w:iCs/>
          <w:color w:val="0070C0"/>
          <w:szCs w:val="24"/>
          <w:lang w:val="bg-BG"/>
        </w:rPr>
        <w:fldChar w:fldCharType="end"/>
      </w:r>
      <w:r w:rsidRPr="006F3533">
        <w:rPr>
          <w:rFonts w:cs="Times New Roman"/>
          <w:i/>
          <w:iCs/>
          <w:color w:val="0070C0"/>
          <w:szCs w:val="24"/>
          <w:lang w:val="bg-BG"/>
        </w:rPr>
        <w:t>: Брой и дял на енергийно бедни домакинства по вид жилище и енергиен ресурс</w:t>
      </w:r>
    </w:p>
    <w:tbl>
      <w:tblPr>
        <w:tblStyle w:val="GridTable4-Accent5"/>
        <w:tblW w:w="9776" w:type="dxa"/>
        <w:jc w:val="center"/>
        <w:tblLayout w:type="fixed"/>
        <w:tblLook w:val="04A0" w:firstRow="1" w:lastRow="0" w:firstColumn="1" w:lastColumn="0" w:noHBand="0" w:noVBand="1"/>
      </w:tblPr>
      <w:tblGrid>
        <w:gridCol w:w="1527"/>
        <w:gridCol w:w="896"/>
        <w:gridCol w:w="896"/>
        <w:gridCol w:w="897"/>
        <w:gridCol w:w="896"/>
        <w:gridCol w:w="897"/>
        <w:gridCol w:w="896"/>
        <w:gridCol w:w="897"/>
        <w:gridCol w:w="896"/>
        <w:gridCol w:w="511"/>
        <w:gridCol w:w="567"/>
      </w:tblGrid>
      <w:tr w:rsidR="004B18B0" w:rsidRPr="006F3533" w14:paraId="07B4C619" w14:textId="77777777" w:rsidTr="00541E06">
        <w:trPr>
          <w:cnfStyle w:val="100000000000" w:firstRow="1" w:lastRow="0" w:firstColumn="0" w:lastColumn="0" w:oddVBand="0" w:evenVBand="0" w:oddHBand="0" w:evenHBand="0" w:firstRowFirstColumn="0" w:firstRowLastColumn="0" w:lastRowFirstColumn="0" w:lastRowLastColumn="0"/>
          <w:trHeight w:val="609"/>
          <w:jc w:val="center"/>
        </w:trPr>
        <w:tc>
          <w:tcPr>
            <w:cnfStyle w:val="001000000000" w:firstRow="0" w:lastRow="0" w:firstColumn="1" w:lastColumn="0" w:oddVBand="0" w:evenVBand="0" w:oddHBand="0" w:evenHBand="0" w:firstRowFirstColumn="0" w:firstRowLastColumn="0" w:lastRowFirstColumn="0" w:lastRowLastColumn="0"/>
            <w:tcW w:w="1527" w:type="dxa"/>
            <w:vMerge w:val="restart"/>
          </w:tcPr>
          <w:p w14:paraId="5C5F6226" w14:textId="77777777" w:rsidR="004B18B0" w:rsidRPr="006F3533" w:rsidRDefault="004B18B0" w:rsidP="00541E06">
            <w:pPr>
              <w:rPr>
                <w:rFonts w:cs="Times New Roman"/>
                <w:sz w:val="20"/>
                <w:szCs w:val="20"/>
                <w:lang w:val="bg-BG"/>
              </w:rPr>
            </w:pPr>
            <w:r w:rsidRPr="006F3533">
              <w:rPr>
                <w:rFonts w:cs="Times New Roman"/>
                <w:sz w:val="20"/>
                <w:szCs w:val="20"/>
                <w:lang w:val="bg-BG"/>
              </w:rPr>
              <w:t>Основен енергиен ресурс</w:t>
            </w:r>
          </w:p>
        </w:tc>
        <w:tc>
          <w:tcPr>
            <w:tcW w:w="1792" w:type="dxa"/>
            <w:gridSpan w:val="2"/>
          </w:tcPr>
          <w:p w14:paraId="52452E2F"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Самостоятелна къща</w:t>
            </w:r>
          </w:p>
        </w:tc>
        <w:tc>
          <w:tcPr>
            <w:tcW w:w="1793" w:type="dxa"/>
            <w:gridSpan w:val="2"/>
          </w:tcPr>
          <w:p w14:paraId="4309ADDF"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Къща близнак или част от къща</w:t>
            </w:r>
          </w:p>
        </w:tc>
        <w:tc>
          <w:tcPr>
            <w:tcW w:w="1793" w:type="dxa"/>
            <w:gridSpan w:val="2"/>
          </w:tcPr>
          <w:p w14:paraId="656013F5"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Апартамент в сграда с по-малко от 10 жилища</w:t>
            </w:r>
          </w:p>
        </w:tc>
        <w:tc>
          <w:tcPr>
            <w:tcW w:w="1793" w:type="dxa"/>
            <w:gridSpan w:val="2"/>
          </w:tcPr>
          <w:p w14:paraId="31EA96F0"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Апартамент в сграда с 10 или повече жилища</w:t>
            </w:r>
          </w:p>
        </w:tc>
        <w:tc>
          <w:tcPr>
            <w:tcW w:w="1078" w:type="dxa"/>
            <w:gridSpan w:val="2"/>
            <w:noWrap/>
          </w:tcPr>
          <w:p w14:paraId="0FAD5579"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Друг вид жилище</w:t>
            </w:r>
          </w:p>
        </w:tc>
      </w:tr>
      <w:tr w:rsidR="004B18B0" w:rsidRPr="006F3533" w14:paraId="0B987AA0" w14:textId="77777777" w:rsidTr="00541E06">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1527" w:type="dxa"/>
            <w:vMerge/>
          </w:tcPr>
          <w:p w14:paraId="3D2056F8" w14:textId="77777777" w:rsidR="004B18B0" w:rsidRPr="006F3533" w:rsidRDefault="004B18B0" w:rsidP="00541E06">
            <w:pPr>
              <w:rPr>
                <w:rFonts w:cs="Times New Roman"/>
                <w:sz w:val="20"/>
                <w:szCs w:val="20"/>
                <w:lang w:val="bg-BG"/>
              </w:rPr>
            </w:pPr>
          </w:p>
        </w:tc>
        <w:tc>
          <w:tcPr>
            <w:tcW w:w="896" w:type="dxa"/>
          </w:tcPr>
          <w:p w14:paraId="1CB5302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Брой</w:t>
            </w:r>
          </w:p>
        </w:tc>
        <w:tc>
          <w:tcPr>
            <w:tcW w:w="896" w:type="dxa"/>
          </w:tcPr>
          <w:p w14:paraId="6E05FE2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 от всички</w:t>
            </w:r>
          </w:p>
        </w:tc>
        <w:tc>
          <w:tcPr>
            <w:tcW w:w="897" w:type="dxa"/>
          </w:tcPr>
          <w:p w14:paraId="76F3BC70"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Брой</w:t>
            </w:r>
          </w:p>
        </w:tc>
        <w:tc>
          <w:tcPr>
            <w:tcW w:w="896" w:type="dxa"/>
          </w:tcPr>
          <w:p w14:paraId="7F90FD3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 от всички</w:t>
            </w:r>
          </w:p>
        </w:tc>
        <w:tc>
          <w:tcPr>
            <w:tcW w:w="897" w:type="dxa"/>
          </w:tcPr>
          <w:p w14:paraId="784EE970"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Брой</w:t>
            </w:r>
          </w:p>
        </w:tc>
        <w:tc>
          <w:tcPr>
            <w:tcW w:w="896" w:type="dxa"/>
          </w:tcPr>
          <w:p w14:paraId="065E7264"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 от всички</w:t>
            </w:r>
          </w:p>
        </w:tc>
        <w:tc>
          <w:tcPr>
            <w:tcW w:w="897" w:type="dxa"/>
          </w:tcPr>
          <w:p w14:paraId="70570DD0"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Брой</w:t>
            </w:r>
          </w:p>
        </w:tc>
        <w:tc>
          <w:tcPr>
            <w:tcW w:w="896" w:type="dxa"/>
            <w:noWrap/>
          </w:tcPr>
          <w:p w14:paraId="56B9DA3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 от всички</w:t>
            </w:r>
          </w:p>
        </w:tc>
        <w:tc>
          <w:tcPr>
            <w:tcW w:w="511" w:type="dxa"/>
            <w:noWrap/>
          </w:tcPr>
          <w:p w14:paraId="32F4B74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w:t>
            </w:r>
          </w:p>
        </w:tc>
        <w:tc>
          <w:tcPr>
            <w:tcW w:w="567" w:type="dxa"/>
          </w:tcPr>
          <w:p w14:paraId="71274BE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w:t>
            </w:r>
          </w:p>
        </w:tc>
      </w:tr>
      <w:tr w:rsidR="004B18B0" w:rsidRPr="006F3533" w14:paraId="163AFD1A" w14:textId="77777777" w:rsidTr="00541E06">
        <w:trPr>
          <w:trHeight w:val="250"/>
          <w:jc w:val="center"/>
        </w:trPr>
        <w:tc>
          <w:tcPr>
            <w:cnfStyle w:val="001000000000" w:firstRow="0" w:lastRow="0" w:firstColumn="1" w:lastColumn="0" w:oddVBand="0" w:evenVBand="0" w:oddHBand="0" w:evenHBand="0" w:firstRowFirstColumn="0" w:firstRowLastColumn="0" w:lastRowFirstColumn="0" w:lastRowLastColumn="0"/>
            <w:tcW w:w="1527" w:type="dxa"/>
          </w:tcPr>
          <w:p w14:paraId="73A4F02A" w14:textId="77777777" w:rsidR="004B18B0" w:rsidRPr="006F3533" w:rsidRDefault="004B18B0" w:rsidP="00541E06">
            <w:pPr>
              <w:rPr>
                <w:rFonts w:cs="Times New Roman"/>
                <w:sz w:val="20"/>
                <w:szCs w:val="20"/>
                <w:lang w:val="bg-BG" w:eastAsia="zh-CN"/>
              </w:rPr>
            </w:pPr>
            <w:r w:rsidRPr="006F3533">
              <w:rPr>
                <w:rFonts w:cs="Times New Roman"/>
                <w:sz w:val="20"/>
                <w:szCs w:val="20"/>
                <w:lang w:val="bg-BG"/>
              </w:rPr>
              <w:t>Електричество</w:t>
            </w:r>
          </w:p>
        </w:tc>
        <w:tc>
          <w:tcPr>
            <w:tcW w:w="896" w:type="dxa"/>
          </w:tcPr>
          <w:p w14:paraId="199E6343"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70 502</w:t>
            </w:r>
          </w:p>
        </w:tc>
        <w:tc>
          <w:tcPr>
            <w:tcW w:w="896" w:type="dxa"/>
          </w:tcPr>
          <w:p w14:paraId="6C52B94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30%</w:t>
            </w:r>
          </w:p>
        </w:tc>
        <w:tc>
          <w:tcPr>
            <w:tcW w:w="897" w:type="dxa"/>
          </w:tcPr>
          <w:p w14:paraId="3C9BFFD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33 355</w:t>
            </w:r>
          </w:p>
        </w:tc>
        <w:tc>
          <w:tcPr>
            <w:tcW w:w="896" w:type="dxa"/>
          </w:tcPr>
          <w:p w14:paraId="47B2A39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33%</w:t>
            </w:r>
          </w:p>
        </w:tc>
        <w:tc>
          <w:tcPr>
            <w:tcW w:w="897" w:type="dxa"/>
          </w:tcPr>
          <w:p w14:paraId="2B39979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25 925</w:t>
            </w:r>
          </w:p>
        </w:tc>
        <w:tc>
          <w:tcPr>
            <w:tcW w:w="896" w:type="dxa"/>
          </w:tcPr>
          <w:p w14:paraId="5B79523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24%</w:t>
            </w:r>
          </w:p>
        </w:tc>
        <w:tc>
          <w:tcPr>
            <w:tcW w:w="897" w:type="dxa"/>
          </w:tcPr>
          <w:p w14:paraId="5855254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177 627</w:t>
            </w:r>
          </w:p>
        </w:tc>
        <w:tc>
          <w:tcPr>
            <w:tcW w:w="896" w:type="dxa"/>
            <w:noWrap/>
          </w:tcPr>
          <w:p w14:paraId="558438A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27%</w:t>
            </w:r>
          </w:p>
        </w:tc>
        <w:tc>
          <w:tcPr>
            <w:tcW w:w="511" w:type="dxa"/>
            <w:noWrap/>
          </w:tcPr>
          <w:p w14:paraId="4C7E8EC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826</w:t>
            </w:r>
          </w:p>
        </w:tc>
        <w:tc>
          <w:tcPr>
            <w:tcW w:w="567" w:type="dxa"/>
          </w:tcPr>
          <w:p w14:paraId="2E37300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100%</w:t>
            </w:r>
          </w:p>
        </w:tc>
      </w:tr>
      <w:tr w:rsidR="004B18B0" w:rsidRPr="006F3533" w14:paraId="4FA2EDF9" w14:textId="77777777" w:rsidTr="00541E06">
        <w:trPr>
          <w:cnfStyle w:val="000000100000" w:firstRow="0" w:lastRow="0" w:firstColumn="0" w:lastColumn="0" w:oddVBand="0" w:evenVBand="0" w:oddHBand="1" w:evenHBand="0" w:firstRowFirstColumn="0" w:firstRowLastColumn="0" w:lastRowFirstColumn="0" w:lastRowLastColumn="0"/>
          <w:trHeight w:val="303"/>
          <w:jc w:val="center"/>
        </w:trPr>
        <w:tc>
          <w:tcPr>
            <w:cnfStyle w:val="001000000000" w:firstRow="0" w:lastRow="0" w:firstColumn="1" w:lastColumn="0" w:oddVBand="0" w:evenVBand="0" w:oddHBand="0" w:evenHBand="0" w:firstRowFirstColumn="0" w:firstRowLastColumn="0" w:lastRowFirstColumn="0" w:lastRowLastColumn="0"/>
            <w:tcW w:w="1527" w:type="dxa"/>
          </w:tcPr>
          <w:p w14:paraId="700C7F85" w14:textId="77777777" w:rsidR="004B18B0" w:rsidRPr="006F3533" w:rsidRDefault="004B18B0" w:rsidP="00541E06">
            <w:pPr>
              <w:rPr>
                <w:rFonts w:cs="Times New Roman"/>
                <w:sz w:val="20"/>
                <w:szCs w:val="20"/>
                <w:lang w:val="bg-BG"/>
              </w:rPr>
            </w:pPr>
            <w:r w:rsidRPr="006F3533">
              <w:rPr>
                <w:rFonts w:cs="Times New Roman"/>
                <w:sz w:val="20"/>
                <w:szCs w:val="20"/>
                <w:lang w:val="bg-BG"/>
              </w:rPr>
              <w:t>Газ - природен или пропан</w:t>
            </w:r>
          </w:p>
        </w:tc>
        <w:tc>
          <w:tcPr>
            <w:tcW w:w="896" w:type="dxa"/>
            <w:noWrap/>
          </w:tcPr>
          <w:p w14:paraId="2A85108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7 551</w:t>
            </w:r>
          </w:p>
        </w:tc>
        <w:tc>
          <w:tcPr>
            <w:tcW w:w="896" w:type="dxa"/>
            <w:noWrap/>
          </w:tcPr>
          <w:p w14:paraId="4DD88ED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26%</w:t>
            </w:r>
          </w:p>
        </w:tc>
        <w:tc>
          <w:tcPr>
            <w:tcW w:w="897" w:type="dxa"/>
          </w:tcPr>
          <w:p w14:paraId="07EBDE7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2 516</w:t>
            </w:r>
          </w:p>
        </w:tc>
        <w:tc>
          <w:tcPr>
            <w:tcW w:w="896" w:type="dxa"/>
          </w:tcPr>
          <w:p w14:paraId="7EC23C5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16%</w:t>
            </w:r>
          </w:p>
        </w:tc>
        <w:tc>
          <w:tcPr>
            <w:tcW w:w="897" w:type="dxa"/>
          </w:tcPr>
          <w:p w14:paraId="7C91CFE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1 411</w:t>
            </w:r>
          </w:p>
        </w:tc>
        <w:tc>
          <w:tcPr>
            <w:tcW w:w="896" w:type="dxa"/>
          </w:tcPr>
          <w:p w14:paraId="00E1221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w:t>
            </w:r>
          </w:p>
        </w:tc>
        <w:tc>
          <w:tcPr>
            <w:tcW w:w="897" w:type="dxa"/>
            <w:noWrap/>
          </w:tcPr>
          <w:p w14:paraId="57E5921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26 905</w:t>
            </w:r>
          </w:p>
        </w:tc>
        <w:tc>
          <w:tcPr>
            <w:tcW w:w="896" w:type="dxa"/>
            <w:noWrap/>
          </w:tcPr>
          <w:p w14:paraId="1D234080"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13%</w:t>
            </w:r>
          </w:p>
        </w:tc>
        <w:tc>
          <w:tcPr>
            <w:tcW w:w="511" w:type="dxa"/>
            <w:noWrap/>
          </w:tcPr>
          <w:p w14:paraId="6C6E24E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469</w:t>
            </w:r>
          </w:p>
        </w:tc>
        <w:tc>
          <w:tcPr>
            <w:tcW w:w="567" w:type="dxa"/>
          </w:tcPr>
          <w:p w14:paraId="588A607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100%</w:t>
            </w:r>
          </w:p>
        </w:tc>
      </w:tr>
      <w:tr w:rsidR="004B18B0" w:rsidRPr="006F3533" w14:paraId="7779336F"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527" w:type="dxa"/>
          </w:tcPr>
          <w:p w14:paraId="38904D43" w14:textId="77777777" w:rsidR="004B18B0" w:rsidRPr="006F3533" w:rsidRDefault="004B18B0" w:rsidP="00541E06">
            <w:pPr>
              <w:rPr>
                <w:rFonts w:cs="Times New Roman"/>
                <w:sz w:val="20"/>
                <w:szCs w:val="20"/>
                <w:lang w:val="bg-BG"/>
              </w:rPr>
            </w:pPr>
            <w:r w:rsidRPr="006F3533">
              <w:rPr>
                <w:rFonts w:cs="Times New Roman"/>
                <w:sz w:val="20"/>
                <w:szCs w:val="20"/>
                <w:lang w:val="bg-BG"/>
              </w:rPr>
              <w:t xml:space="preserve">Нафта, маслени радиатори и др. </w:t>
            </w:r>
          </w:p>
        </w:tc>
        <w:tc>
          <w:tcPr>
            <w:tcW w:w="896" w:type="dxa"/>
            <w:noWrap/>
          </w:tcPr>
          <w:p w14:paraId="12F0DB1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6" w:type="dxa"/>
            <w:noWrap/>
          </w:tcPr>
          <w:p w14:paraId="3D118301"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0%</w:t>
            </w:r>
          </w:p>
        </w:tc>
        <w:tc>
          <w:tcPr>
            <w:tcW w:w="897" w:type="dxa"/>
          </w:tcPr>
          <w:p w14:paraId="63DB970D"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297</w:t>
            </w:r>
          </w:p>
        </w:tc>
        <w:tc>
          <w:tcPr>
            <w:tcW w:w="896" w:type="dxa"/>
          </w:tcPr>
          <w:p w14:paraId="7A3EB7D1"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100%</w:t>
            </w:r>
          </w:p>
        </w:tc>
        <w:tc>
          <w:tcPr>
            <w:tcW w:w="897" w:type="dxa"/>
          </w:tcPr>
          <w:p w14:paraId="531ED4E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6" w:type="dxa"/>
          </w:tcPr>
          <w:p w14:paraId="60DB2F4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7" w:type="dxa"/>
            <w:noWrap/>
          </w:tcPr>
          <w:p w14:paraId="53B1DD4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386</w:t>
            </w:r>
          </w:p>
        </w:tc>
        <w:tc>
          <w:tcPr>
            <w:tcW w:w="896" w:type="dxa"/>
            <w:noWrap/>
          </w:tcPr>
          <w:p w14:paraId="6983043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w:t>
            </w:r>
          </w:p>
        </w:tc>
        <w:tc>
          <w:tcPr>
            <w:tcW w:w="511" w:type="dxa"/>
            <w:noWrap/>
          </w:tcPr>
          <w:p w14:paraId="6245DC3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567" w:type="dxa"/>
          </w:tcPr>
          <w:p w14:paraId="2D1E1E3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r>
      <w:tr w:rsidR="004B18B0" w:rsidRPr="006F3533" w14:paraId="460F2AB6" w14:textId="77777777" w:rsidTr="00541E06">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1527" w:type="dxa"/>
          </w:tcPr>
          <w:p w14:paraId="7FB73044" w14:textId="77777777" w:rsidR="004B18B0" w:rsidRPr="006F3533" w:rsidRDefault="004B18B0" w:rsidP="00541E06">
            <w:pPr>
              <w:rPr>
                <w:rFonts w:cs="Times New Roman"/>
                <w:sz w:val="20"/>
                <w:szCs w:val="20"/>
                <w:lang w:val="bg-BG"/>
              </w:rPr>
            </w:pPr>
            <w:r w:rsidRPr="006F3533">
              <w:rPr>
                <w:rFonts w:cs="Times New Roman"/>
                <w:sz w:val="20"/>
                <w:szCs w:val="20"/>
                <w:lang w:val="bg-BG"/>
              </w:rPr>
              <w:t xml:space="preserve">Биомаса </w:t>
            </w:r>
          </w:p>
        </w:tc>
        <w:tc>
          <w:tcPr>
            <w:tcW w:w="896" w:type="dxa"/>
            <w:noWrap/>
          </w:tcPr>
          <w:p w14:paraId="31C3A62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6 412</w:t>
            </w:r>
          </w:p>
        </w:tc>
        <w:tc>
          <w:tcPr>
            <w:tcW w:w="896" w:type="dxa"/>
            <w:noWrap/>
          </w:tcPr>
          <w:p w14:paraId="39C9ECFA"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10%</w:t>
            </w:r>
          </w:p>
        </w:tc>
        <w:tc>
          <w:tcPr>
            <w:tcW w:w="897" w:type="dxa"/>
          </w:tcPr>
          <w:p w14:paraId="1294FF40"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3 910</w:t>
            </w:r>
          </w:p>
        </w:tc>
        <w:tc>
          <w:tcPr>
            <w:tcW w:w="896" w:type="dxa"/>
          </w:tcPr>
          <w:p w14:paraId="7910F836"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17%</w:t>
            </w:r>
          </w:p>
        </w:tc>
        <w:tc>
          <w:tcPr>
            <w:tcW w:w="897" w:type="dxa"/>
          </w:tcPr>
          <w:p w14:paraId="1B0F3824"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375</w:t>
            </w:r>
          </w:p>
        </w:tc>
        <w:tc>
          <w:tcPr>
            <w:tcW w:w="896" w:type="dxa"/>
          </w:tcPr>
          <w:p w14:paraId="31E96EC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8%</w:t>
            </w:r>
          </w:p>
        </w:tc>
        <w:tc>
          <w:tcPr>
            <w:tcW w:w="897" w:type="dxa"/>
            <w:noWrap/>
          </w:tcPr>
          <w:p w14:paraId="634ACC5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2 463</w:t>
            </w:r>
          </w:p>
        </w:tc>
        <w:tc>
          <w:tcPr>
            <w:tcW w:w="896" w:type="dxa"/>
            <w:noWrap/>
          </w:tcPr>
          <w:p w14:paraId="478ED4F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12%</w:t>
            </w:r>
          </w:p>
        </w:tc>
        <w:tc>
          <w:tcPr>
            <w:tcW w:w="511" w:type="dxa"/>
            <w:noWrap/>
          </w:tcPr>
          <w:p w14:paraId="4D8DD98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567" w:type="dxa"/>
          </w:tcPr>
          <w:p w14:paraId="55DE23C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r>
      <w:tr w:rsidR="004B18B0" w:rsidRPr="006F3533" w14:paraId="7C9FC099"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527" w:type="dxa"/>
          </w:tcPr>
          <w:p w14:paraId="4EE66268" w14:textId="77777777" w:rsidR="004B18B0" w:rsidRPr="006F3533" w:rsidRDefault="004B18B0" w:rsidP="00541E06">
            <w:pPr>
              <w:rPr>
                <w:rFonts w:cs="Times New Roman"/>
                <w:sz w:val="20"/>
                <w:szCs w:val="20"/>
                <w:lang w:val="bg-BG"/>
              </w:rPr>
            </w:pPr>
            <w:r w:rsidRPr="006F3533">
              <w:rPr>
                <w:rFonts w:cs="Times New Roman"/>
                <w:sz w:val="20"/>
                <w:szCs w:val="20"/>
                <w:lang w:val="bg-BG"/>
              </w:rPr>
              <w:t>Дърва</w:t>
            </w:r>
          </w:p>
        </w:tc>
        <w:tc>
          <w:tcPr>
            <w:tcW w:w="896" w:type="dxa"/>
            <w:noWrap/>
          </w:tcPr>
          <w:p w14:paraId="775A04E6"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373 339</w:t>
            </w:r>
          </w:p>
        </w:tc>
        <w:tc>
          <w:tcPr>
            <w:tcW w:w="896" w:type="dxa"/>
            <w:noWrap/>
          </w:tcPr>
          <w:p w14:paraId="537AD29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46%</w:t>
            </w:r>
          </w:p>
        </w:tc>
        <w:tc>
          <w:tcPr>
            <w:tcW w:w="897" w:type="dxa"/>
          </w:tcPr>
          <w:p w14:paraId="29ED6EAE"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58 691</w:t>
            </w:r>
          </w:p>
        </w:tc>
        <w:tc>
          <w:tcPr>
            <w:tcW w:w="896" w:type="dxa"/>
          </w:tcPr>
          <w:p w14:paraId="14BBC6CE"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45%</w:t>
            </w:r>
          </w:p>
        </w:tc>
        <w:tc>
          <w:tcPr>
            <w:tcW w:w="897" w:type="dxa"/>
          </w:tcPr>
          <w:p w14:paraId="02C68C2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8 186</w:t>
            </w:r>
          </w:p>
        </w:tc>
        <w:tc>
          <w:tcPr>
            <w:tcW w:w="896" w:type="dxa"/>
          </w:tcPr>
          <w:p w14:paraId="15FB7A4E"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33%</w:t>
            </w:r>
          </w:p>
        </w:tc>
        <w:tc>
          <w:tcPr>
            <w:tcW w:w="897" w:type="dxa"/>
            <w:noWrap/>
          </w:tcPr>
          <w:p w14:paraId="6B8FB66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35 608</w:t>
            </w:r>
          </w:p>
        </w:tc>
        <w:tc>
          <w:tcPr>
            <w:tcW w:w="896" w:type="dxa"/>
            <w:noWrap/>
          </w:tcPr>
          <w:p w14:paraId="0355D43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37%</w:t>
            </w:r>
          </w:p>
        </w:tc>
        <w:tc>
          <w:tcPr>
            <w:tcW w:w="511" w:type="dxa"/>
            <w:noWrap/>
          </w:tcPr>
          <w:p w14:paraId="0EBAA4B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4502</w:t>
            </w:r>
          </w:p>
        </w:tc>
        <w:tc>
          <w:tcPr>
            <w:tcW w:w="567" w:type="dxa"/>
          </w:tcPr>
          <w:p w14:paraId="294CA69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88%</w:t>
            </w:r>
          </w:p>
        </w:tc>
      </w:tr>
      <w:tr w:rsidR="004B18B0" w:rsidRPr="006F3533" w14:paraId="05FE0E05" w14:textId="77777777" w:rsidTr="00541E06">
        <w:trPr>
          <w:cnfStyle w:val="000000100000" w:firstRow="0" w:lastRow="0" w:firstColumn="0" w:lastColumn="0" w:oddVBand="0" w:evenVBand="0" w:oddHBand="1" w:evenHBand="0" w:firstRowFirstColumn="0" w:firstRowLastColumn="0" w:lastRowFirstColumn="0" w:lastRowLastColumn="0"/>
          <w:trHeight w:val="303"/>
          <w:jc w:val="center"/>
        </w:trPr>
        <w:tc>
          <w:tcPr>
            <w:cnfStyle w:val="001000000000" w:firstRow="0" w:lastRow="0" w:firstColumn="1" w:lastColumn="0" w:oddVBand="0" w:evenVBand="0" w:oddHBand="0" w:evenHBand="0" w:firstRowFirstColumn="0" w:firstRowLastColumn="0" w:lastRowFirstColumn="0" w:lastRowLastColumn="0"/>
            <w:tcW w:w="1527" w:type="dxa"/>
          </w:tcPr>
          <w:p w14:paraId="17ACB44E" w14:textId="77777777" w:rsidR="004B18B0" w:rsidRPr="006F3533" w:rsidRDefault="004B18B0" w:rsidP="00541E06">
            <w:pPr>
              <w:rPr>
                <w:rFonts w:cs="Times New Roman"/>
                <w:sz w:val="20"/>
                <w:szCs w:val="20"/>
                <w:lang w:val="bg-BG"/>
              </w:rPr>
            </w:pPr>
            <w:r w:rsidRPr="006F3533">
              <w:rPr>
                <w:rFonts w:cs="Times New Roman"/>
                <w:sz w:val="20"/>
                <w:szCs w:val="20"/>
                <w:lang w:val="bg-BG"/>
              </w:rPr>
              <w:t>Въглища</w:t>
            </w:r>
          </w:p>
        </w:tc>
        <w:tc>
          <w:tcPr>
            <w:tcW w:w="896" w:type="dxa"/>
            <w:noWrap/>
          </w:tcPr>
          <w:p w14:paraId="578DDE9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5 366</w:t>
            </w:r>
          </w:p>
        </w:tc>
        <w:tc>
          <w:tcPr>
            <w:tcW w:w="896" w:type="dxa"/>
            <w:noWrap/>
          </w:tcPr>
          <w:p w14:paraId="78A120E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33%</w:t>
            </w:r>
          </w:p>
        </w:tc>
        <w:tc>
          <w:tcPr>
            <w:tcW w:w="897" w:type="dxa"/>
          </w:tcPr>
          <w:p w14:paraId="5878BDF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1 491</w:t>
            </w:r>
          </w:p>
        </w:tc>
        <w:tc>
          <w:tcPr>
            <w:tcW w:w="896" w:type="dxa"/>
          </w:tcPr>
          <w:p w14:paraId="2B1BE061"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21%</w:t>
            </w:r>
          </w:p>
        </w:tc>
        <w:tc>
          <w:tcPr>
            <w:tcW w:w="897" w:type="dxa"/>
          </w:tcPr>
          <w:p w14:paraId="677BBF8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6" w:type="dxa"/>
          </w:tcPr>
          <w:p w14:paraId="11708E0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0%</w:t>
            </w:r>
          </w:p>
        </w:tc>
        <w:tc>
          <w:tcPr>
            <w:tcW w:w="897" w:type="dxa"/>
            <w:noWrap/>
          </w:tcPr>
          <w:p w14:paraId="26050AB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8 538</w:t>
            </w:r>
          </w:p>
        </w:tc>
        <w:tc>
          <w:tcPr>
            <w:tcW w:w="896" w:type="dxa"/>
            <w:noWrap/>
          </w:tcPr>
          <w:p w14:paraId="2A78F176"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28%</w:t>
            </w:r>
          </w:p>
        </w:tc>
        <w:tc>
          <w:tcPr>
            <w:tcW w:w="511" w:type="dxa"/>
            <w:noWrap/>
          </w:tcPr>
          <w:p w14:paraId="7CD413A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567" w:type="dxa"/>
          </w:tcPr>
          <w:p w14:paraId="6F03F5EA"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r>
      <w:tr w:rsidR="004B18B0" w:rsidRPr="006F3533" w14:paraId="7F474CD8"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527" w:type="dxa"/>
          </w:tcPr>
          <w:p w14:paraId="7E6C7A9A" w14:textId="77777777" w:rsidR="004B18B0" w:rsidRPr="006F3533" w:rsidRDefault="004B18B0" w:rsidP="00541E06">
            <w:pPr>
              <w:rPr>
                <w:rFonts w:cs="Times New Roman"/>
                <w:sz w:val="20"/>
                <w:szCs w:val="20"/>
                <w:lang w:val="bg-BG"/>
              </w:rPr>
            </w:pPr>
            <w:r w:rsidRPr="006F3533">
              <w:rPr>
                <w:rFonts w:cs="Times New Roman"/>
                <w:sz w:val="20"/>
                <w:szCs w:val="20"/>
                <w:lang w:val="bg-BG"/>
              </w:rPr>
              <w:t>ВЕИ</w:t>
            </w:r>
          </w:p>
        </w:tc>
        <w:tc>
          <w:tcPr>
            <w:tcW w:w="896" w:type="dxa"/>
            <w:noWrap/>
          </w:tcPr>
          <w:p w14:paraId="22A86D4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509</w:t>
            </w:r>
          </w:p>
        </w:tc>
        <w:tc>
          <w:tcPr>
            <w:tcW w:w="896" w:type="dxa"/>
            <w:noWrap/>
          </w:tcPr>
          <w:p w14:paraId="3274A55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53%</w:t>
            </w:r>
          </w:p>
        </w:tc>
        <w:tc>
          <w:tcPr>
            <w:tcW w:w="897" w:type="dxa"/>
          </w:tcPr>
          <w:p w14:paraId="3FF7DA1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6" w:type="dxa"/>
          </w:tcPr>
          <w:p w14:paraId="22758163"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7" w:type="dxa"/>
          </w:tcPr>
          <w:p w14:paraId="10F18A2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6" w:type="dxa"/>
          </w:tcPr>
          <w:p w14:paraId="1D4EF10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7" w:type="dxa"/>
            <w:noWrap/>
          </w:tcPr>
          <w:p w14:paraId="7881B671"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6" w:type="dxa"/>
            <w:noWrap/>
          </w:tcPr>
          <w:p w14:paraId="2340F48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511" w:type="dxa"/>
            <w:noWrap/>
          </w:tcPr>
          <w:p w14:paraId="0DF1B30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567" w:type="dxa"/>
          </w:tcPr>
          <w:p w14:paraId="0C6E51DD"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r>
      <w:tr w:rsidR="004B18B0" w:rsidRPr="006F3533" w14:paraId="3D873B56" w14:textId="77777777" w:rsidTr="00541E06">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1527" w:type="dxa"/>
          </w:tcPr>
          <w:p w14:paraId="6D5BF832" w14:textId="77777777" w:rsidR="004B18B0" w:rsidRPr="006F3533" w:rsidRDefault="004B18B0" w:rsidP="00541E06">
            <w:pPr>
              <w:rPr>
                <w:rFonts w:cs="Times New Roman"/>
                <w:sz w:val="20"/>
                <w:szCs w:val="20"/>
                <w:lang w:val="bg-BG"/>
              </w:rPr>
            </w:pPr>
            <w:r w:rsidRPr="006F3533">
              <w:rPr>
                <w:rFonts w:cs="Times New Roman"/>
                <w:sz w:val="20"/>
                <w:szCs w:val="20"/>
                <w:lang w:val="bg-BG"/>
              </w:rPr>
              <w:t>Друго</w:t>
            </w:r>
          </w:p>
        </w:tc>
        <w:tc>
          <w:tcPr>
            <w:tcW w:w="896" w:type="dxa"/>
            <w:noWrap/>
          </w:tcPr>
          <w:p w14:paraId="7C4D8E9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617</w:t>
            </w:r>
          </w:p>
        </w:tc>
        <w:tc>
          <w:tcPr>
            <w:tcW w:w="896" w:type="dxa"/>
            <w:noWrap/>
          </w:tcPr>
          <w:p w14:paraId="4663735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57%</w:t>
            </w:r>
          </w:p>
        </w:tc>
        <w:tc>
          <w:tcPr>
            <w:tcW w:w="897" w:type="dxa"/>
          </w:tcPr>
          <w:p w14:paraId="704CDDF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6" w:type="dxa"/>
          </w:tcPr>
          <w:p w14:paraId="4FED501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7" w:type="dxa"/>
          </w:tcPr>
          <w:p w14:paraId="5E271F4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947</w:t>
            </w:r>
          </w:p>
        </w:tc>
        <w:tc>
          <w:tcPr>
            <w:tcW w:w="896" w:type="dxa"/>
          </w:tcPr>
          <w:p w14:paraId="1DE8EB1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14%</w:t>
            </w:r>
          </w:p>
        </w:tc>
        <w:tc>
          <w:tcPr>
            <w:tcW w:w="897" w:type="dxa"/>
            <w:noWrap/>
          </w:tcPr>
          <w:p w14:paraId="0B8EF56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13 977</w:t>
            </w:r>
          </w:p>
        </w:tc>
        <w:tc>
          <w:tcPr>
            <w:tcW w:w="896" w:type="dxa"/>
            <w:noWrap/>
          </w:tcPr>
          <w:p w14:paraId="0669E896"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13%</w:t>
            </w:r>
          </w:p>
        </w:tc>
        <w:tc>
          <w:tcPr>
            <w:tcW w:w="511" w:type="dxa"/>
            <w:noWrap/>
          </w:tcPr>
          <w:p w14:paraId="280C666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567" w:type="dxa"/>
          </w:tcPr>
          <w:p w14:paraId="7EC097A9"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r>
      <w:tr w:rsidR="004B18B0" w:rsidRPr="006F3533" w14:paraId="0D45D740"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527" w:type="dxa"/>
          </w:tcPr>
          <w:p w14:paraId="07FC1F59" w14:textId="77777777" w:rsidR="004B18B0" w:rsidRPr="006F3533" w:rsidRDefault="004B18B0" w:rsidP="00541E06">
            <w:pPr>
              <w:rPr>
                <w:rFonts w:cs="Times New Roman"/>
                <w:sz w:val="20"/>
                <w:szCs w:val="20"/>
                <w:lang w:val="bg-BG"/>
              </w:rPr>
            </w:pPr>
            <w:r w:rsidRPr="006F3533">
              <w:rPr>
                <w:rFonts w:cs="Times New Roman"/>
                <w:sz w:val="20"/>
                <w:szCs w:val="20"/>
                <w:lang w:val="bg-BG"/>
              </w:rPr>
              <w:t>Неприложимо</w:t>
            </w:r>
          </w:p>
        </w:tc>
        <w:tc>
          <w:tcPr>
            <w:tcW w:w="896" w:type="dxa"/>
            <w:noWrap/>
          </w:tcPr>
          <w:p w14:paraId="6E4B494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1 404</w:t>
            </w:r>
          </w:p>
        </w:tc>
        <w:tc>
          <w:tcPr>
            <w:tcW w:w="896" w:type="dxa"/>
            <w:noWrap/>
          </w:tcPr>
          <w:p w14:paraId="594758F3"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39%</w:t>
            </w:r>
          </w:p>
        </w:tc>
        <w:tc>
          <w:tcPr>
            <w:tcW w:w="897" w:type="dxa"/>
          </w:tcPr>
          <w:p w14:paraId="212C3D9E"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6" w:type="dxa"/>
          </w:tcPr>
          <w:p w14:paraId="394499F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897" w:type="dxa"/>
          </w:tcPr>
          <w:p w14:paraId="17D42C3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1 904</w:t>
            </w:r>
          </w:p>
        </w:tc>
        <w:tc>
          <w:tcPr>
            <w:tcW w:w="896" w:type="dxa"/>
          </w:tcPr>
          <w:p w14:paraId="41B21C3E"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14%</w:t>
            </w:r>
          </w:p>
        </w:tc>
        <w:tc>
          <w:tcPr>
            <w:tcW w:w="897" w:type="dxa"/>
            <w:noWrap/>
          </w:tcPr>
          <w:p w14:paraId="68F24891"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20 916</w:t>
            </w:r>
          </w:p>
        </w:tc>
        <w:tc>
          <w:tcPr>
            <w:tcW w:w="896" w:type="dxa"/>
            <w:noWrap/>
          </w:tcPr>
          <w:p w14:paraId="31D6DEE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20%</w:t>
            </w:r>
          </w:p>
        </w:tc>
        <w:tc>
          <w:tcPr>
            <w:tcW w:w="511" w:type="dxa"/>
            <w:noWrap/>
          </w:tcPr>
          <w:p w14:paraId="1B324A44"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567" w:type="dxa"/>
          </w:tcPr>
          <w:p w14:paraId="7357E053"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r>
      <w:tr w:rsidR="004B18B0" w:rsidRPr="006F3533" w14:paraId="3DFBDDF9" w14:textId="77777777" w:rsidTr="00541E06">
        <w:trPr>
          <w:cnfStyle w:val="000000100000" w:firstRow="0" w:lastRow="0" w:firstColumn="0" w:lastColumn="0" w:oddVBand="0" w:evenVBand="0" w:oddHBand="1" w:evenHBand="0" w:firstRowFirstColumn="0" w:firstRowLastColumn="0" w:lastRowFirstColumn="0" w:lastRowLastColumn="0"/>
          <w:trHeight w:val="303"/>
          <w:jc w:val="center"/>
        </w:trPr>
        <w:tc>
          <w:tcPr>
            <w:cnfStyle w:val="001000000000" w:firstRow="0" w:lastRow="0" w:firstColumn="1" w:lastColumn="0" w:oddVBand="0" w:evenVBand="0" w:oddHBand="0" w:evenHBand="0" w:firstRowFirstColumn="0" w:firstRowLastColumn="0" w:lastRowFirstColumn="0" w:lastRowLastColumn="0"/>
            <w:tcW w:w="1527" w:type="dxa"/>
          </w:tcPr>
          <w:p w14:paraId="4B5F78E8" w14:textId="77777777" w:rsidR="004B18B0" w:rsidRPr="006F3533" w:rsidRDefault="004B18B0" w:rsidP="00541E06">
            <w:pPr>
              <w:rPr>
                <w:rFonts w:cs="Times New Roman"/>
                <w:sz w:val="20"/>
                <w:szCs w:val="20"/>
                <w:lang w:val="bg-BG"/>
              </w:rPr>
            </w:pPr>
            <w:r w:rsidRPr="006F3533">
              <w:rPr>
                <w:rFonts w:cs="Times New Roman"/>
                <w:sz w:val="20"/>
                <w:szCs w:val="20"/>
                <w:lang w:val="bg-BG"/>
              </w:rPr>
              <w:t>Не знае</w:t>
            </w:r>
          </w:p>
        </w:tc>
        <w:tc>
          <w:tcPr>
            <w:tcW w:w="896" w:type="dxa"/>
            <w:noWrap/>
          </w:tcPr>
          <w:p w14:paraId="28AE412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915</w:t>
            </w:r>
          </w:p>
        </w:tc>
        <w:tc>
          <w:tcPr>
            <w:tcW w:w="896" w:type="dxa"/>
            <w:noWrap/>
          </w:tcPr>
          <w:p w14:paraId="4005A1E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76%</w:t>
            </w:r>
          </w:p>
        </w:tc>
        <w:tc>
          <w:tcPr>
            <w:tcW w:w="897" w:type="dxa"/>
          </w:tcPr>
          <w:p w14:paraId="3321BC24"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248</w:t>
            </w:r>
          </w:p>
        </w:tc>
        <w:tc>
          <w:tcPr>
            <w:tcW w:w="896" w:type="dxa"/>
          </w:tcPr>
          <w:p w14:paraId="303B900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100%</w:t>
            </w:r>
          </w:p>
        </w:tc>
        <w:tc>
          <w:tcPr>
            <w:tcW w:w="897" w:type="dxa"/>
          </w:tcPr>
          <w:p w14:paraId="7810A23F"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282</w:t>
            </w:r>
          </w:p>
        </w:tc>
        <w:tc>
          <w:tcPr>
            <w:tcW w:w="896" w:type="dxa"/>
          </w:tcPr>
          <w:p w14:paraId="312D3EF4"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100%</w:t>
            </w:r>
          </w:p>
        </w:tc>
        <w:tc>
          <w:tcPr>
            <w:tcW w:w="897" w:type="dxa"/>
            <w:noWrap/>
          </w:tcPr>
          <w:p w14:paraId="2FD4D80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326</w:t>
            </w:r>
          </w:p>
        </w:tc>
        <w:tc>
          <w:tcPr>
            <w:tcW w:w="896" w:type="dxa"/>
            <w:noWrap/>
          </w:tcPr>
          <w:p w14:paraId="13715A8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67%</w:t>
            </w:r>
          </w:p>
        </w:tc>
        <w:tc>
          <w:tcPr>
            <w:tcW w:w="511" w:type="dxa"/>
            <w:noWrap/>
          </w:tcPr>
          <w:p w14:paraId="7EAA541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567" w:type="dxa"/>
          </w:tcPr>
          <w:p w14:paraId="6768E3E6"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r>
      <w:tr w:rsidR="004B18B0" w:rsidRPr="006F3533" w14:paraId="65671127"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527" w:type="dxa"/>
          </w:tcPr>
          <w:p w14:paraId="027F771F" w14:textId="77777777" w:rsidR="004B18B0" w:rsidRPr="006F3533" w:rsidRDefault="004B18B0" w:rsidP="00541E06">
            <w:pPr>
              <w:rPr>
                <w:rFonts w:cs="Times New Roman"/>
                <w:sz w:val="20"/>
                <w:szCs w:val="20"/>
                <w:lang w:val="bg-BG"/>
              </w:rPr>
            </w:pPr>
            <w:r w:rsidRPr="006F3533">
              <w:rPr>
                <w:rFonts w:cs="Times New Roman"/>
                <w:sz w:val="20"/>
                <w:szCs w:val="20"/>
                <w:lang w:val="bg-BG"/>
              </w:rPr>
              <w:t>Всички</w:t>
            </w:r>
          </w:p>
        </w:tc>
        <w:tc>
          <w:tcPr>
            <w:tcW w:w="896" w:type="dxa"/>
            <w:noWrap/>
          </w:tcPr>
          <w:p w14:paraId="6F0995A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b/>
                <w:bCs/>
                <w:color w:val="000000"/>
                <w:sz w:val="20"/>
                <w:szCs w:val="20"/>
                <w:lang w:val="bg-BG"/>
              </w:rPr>
              <w:t>466 615</w:t>
            </w:r>
          </w:p>
        </w:tc>
        <w:tc>
          <w:tcPr>
            <w:tcW w:w="896" w:type="dxa"/>
            <w:noWrap/>
          </w:tcPr>
          <w:p w14:paraId="5DC047F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40%</w:t>
            </w:r>
          </w:p>
        </w:tc>
        <w:tc>
          <w:tcPr>
            <w:tcW w:w="897" w:type="dxa"/>
          </w:tcPr>
          <w:p w14:paraId="3495ED81"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b/>
                <w:bCs/>
                <w:color w:val="000000"/>
                <w:sz w:val="20"/>
                <w:szCs w:val="20"/>
                <w:lang w:val="bg-BG"/>
              </w:rPr>
              <w:t>100 508</w:t>
            </w:r>
          </w:p>
        </w:tc>
        <w:tc>
          <w:tcPr>
            <w:tcW w:w="896" w:type="dxa"/>
          </w:tcPr>
          <w:p w14:paraId="76C543B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36%</w:t>
            </w:r>
          </w:p>
        </w:tc>
        <w:tc>
          <w:tcPr>
            <w:tcW w:w="897" w:type="dxa"/>
          </w:tcPr>
          <w:p w14:paraId="08C43CE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b/>
                <w:bCs/>
                <w:color w:val="000000"/>
                <w:sz w:val="20"/>
                <w:szCs w:val="20"/>
                <w:lang w:val="bg-BG"/>
              </w:rPr>
              <w:t>39 031</w:t>
            </w:r>
          </w:p>
        </w:tc>
        <w:tc>
          <w:tcPr>
            <w:tcW w:w="896" w:type="dxa"/>
          </w:tcPr>
          <w:p w14:paraId="6B61D11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21%</w:t>
            </w:r>
          </w:p>
        </w:tc>
        <w:tc>
          <w:tcPr>
            <w:tcW w:w="897" w:type="dxa"/>
            <w:noWrap/>
          </w:tcPr>
          <w:p w14:paraId="229E873E"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b/>
                <w:bCs/>
                <w:color w:val="000000"/>
                <w:sz w:val="20"/>
                <w:szCs w:val="20"/>
                <w:lang w:val="bg-BG"/>
              </w:rPr>
              <w:t>286 746</w:t>
            </w:r>
          </w:p>
        </w:tc>
        <w:tc>
          <w:tcPr>
            <w:tcW w:w="896" w:type="dxa"/>
            <w:noWrap/>
          </w:tcPr>
          <w:p w14:paraId="36B717F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23%</w:t>
            </w:r>
          </w:p>
        </w:tc>
        <w:tc>
          <w:tcPr>
            <w:tcW w:w="511" w:type="dxa"/>
            <w:noWrap/>
          </w:tcPr>
          <w:p w14:paraId="291FFCC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5797</w:t>
            </w:r>
          </w:p>
        </w:tc>
        <w:tc>
          <w:tcPr>
            <w:tcW w:w="567" w:type="dxa"/>
          </w:tcPr>
          <w:p w14:paraId="4B32580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91%</w:t>
            </w:r>
          </w:p>
        </w:tc>
      </w:tr>
    </w:tbl>
    <w:p w14:paraId="3E09E97F" w14:textId="77777777" w:rsidR="004B18B0" w:rsidRPr="006F3533" w:rsidRDefault="004B18B0" w:rsidP="004B18B0">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 xml:space="preserve">Източник: Изчисления на ИИИ при БАН с </w:t>
      </w:r>
      <w:proofErr w:type="spellStart"/>
      <w:r w:rsidRPr="006F3533">
        <w:rPr>
          <w:rFonts w:eastAsia="Calibri" w:cs="Times New Roman"/>
          <w:i/>
          <w:iCs/>
          <w:szCs w:val="24"/>
          <w:lang w:val="bg-BG" w:eastAsia="bg-BG"/>
        </w:rPr>
        <w:t>анонимизирани</w:t>
      </w:r>
      <w:proofErr w:type="spellEnd"/>
      <w:r w:rsidRPr="006F3533">
        <w:rPr>
          <w:rFonts w:eastAsia="Calibri" w:cs="Times New Roman"/>
          <w:i/>
          <w:iCs/>
          <w:szCs w:val="24"/>
          <w:lang w:val="bg-BG" w:eastAsia="bg-BG"/>
        </w:rPr>
        <w:t xml:space="preserve"> данни от НСИ от „Статистика на доходите и условията на живот (SILC)“ през 2023 г.</w:t>
      </w:r>
    </w:p>
    <w:p w14:paraId="1D4F8F4C" w14:textId="77777777" w:rsidR="004B18B0" w:rsidRPr="006F3533" w:rsidRDefault="004B18B0" w:rsidP="004B18B0">
      <w:pPr>
        <w:spacing w:before="120" w:after="120"/>
        <w:jc w:val="both"/>
        <w:rPr>
          <w:rFonts w:cs="Times New Roman"/>
          <w:szCs w:val="24"/>
          <w:lang w:val="bg-BG"/>
        </w:rPr>
      </w:pPr>
      <w:r w:rsidRPr="006F3533">
        <w:rPr>
          <w:rFonts w:cs="Times New Roman"/>
          <w:szCs w:val="24"/>
          <w:lang w:val="bg-BG"/>
        </w:rPr>
        <w:t xml:space="preserve">Близо 36% от енергийно бедните домакинства не са предприели нито една мярка за енергийна ефективност последните 5 години, и 24% са извършили само една мярка. Тези с две и три мерки са общо 31% от всички ЕБ домакинства. Близо половината от домакинствата отопляващи се на дърва без предприети мерки за енергийна ефективност последните 5 години в България са енергийно бедни. </w:t>
      </w:r>
    </w:p>
    <w:p w14:paraId="10390824" w14:textId="77777777" w:rsidR="004B18B0" w:rsidRPr="006F3533" w:rsidRDefault="004B18B0" w:rsidP="004B18B0">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29</w:t>
      </w:r>
      <w:r w:rsidRPr="006F3533">
        <w:rPr>
          <w:rFonts w:cs="Times New Roman"/>
          <w:i/>
          <w:iCs/>
          <w:color w:val="0070C0"/>
          <w:szCs w:val="24"/>
          <w:lang w:val="bg-BG"/>
        </w:rPr>
        <w:fldChar w:fldCharType="end"/>
      </w:r>
      <w:r w:rsidRPr="006F3533">
        <w:rPr>
          <w:rFonts w:cs="Times New Roman"/>
          <w:i/>
          <w:iCs/>
          <w:color w:val="0070C0"/>
          <w:szCs w:val="24"/>
          <w:lang w:val="bg-BG"/>
        </w:rPr>
        <w:t>: Брой и дял на енергийно бедни домакинства по вид мерки и енергиен ресурс</w:t>
      </w:r>
    </w:p>
    <w:tbl>
      <w:tblPr>
        <w:tblStyle w:val="GridTable4-Accent5"/>
        <w:tblW w:w="9629" w:type="dxa"/>
        <w:jc w:val="center"/>
        <w:tblLayout w:type="fixed"/>
        <w:tblLook w:val="04A0" w:firstRow="1" w:lastRow="0" w:firstColumn="1" w:lastColumn="0" w:noHBand="0" w:noVBand="1"/>
      </w:tblPr>
      <w:tblGrid>
        <w:gridCol w:w="1385"/>
        <w:gridCol w:w="823"/>
        <w:gridCol w:w="824"/>
        <w:gridCol w:w="825"/>
        <w:gridCol w:w="824"/>
        <w:gridCol w:w="825"/>
        <w:gridCol w:w="824"/>
        <w:gridCol w:w="825"/>
        <w:gridCol w:w="824"/>
        <w:gridCol w:w="825"/>
        <w:gridCol w:w="825"/>
      </w:tblGrid>
      <w:tr w:rsidR="004B18B0" w:rsidRPr="006F3533" w14:paraId="441062C8" w14:textId="77777777" w:rsidTr="00541E06">
        <w:trPr>
          <w:cnfStyle w:val="100000000000" w:firstRow="1" w:lastRow="0" w:firstColumn="0" w:lastColumn="0" w:oddVBand="0" w:evenVBand="0" w:oddHBand="0" w:evenHBand="0" w:firstRowFirstColumn="0" w:firstRowLastColumn="0" w:lastRowFirstColumn="0" w:lastRowLastColumn="0"/>
          <w:trHeight w:val="609"/>
          <w:jc w:val="center"/>
        </w:trPr>
        <w:tc>
          <w:tcPr>
            <w:cnfStyle w:val="001000000000" w:firstRow="0" w:lastRow="0" w:firstColumn="1" w:lastColumn="0" w:oddVBand="0" w:evenVBand="0" w:oddHBand="0" w:evenHBand="0" w:firstRowFirstColumn="0" w:firstRowLastColumn="0" w:lastRowFirstColumn="0" w:lastRowLastColumn="0"/>
            <w:tcW w:w="1385" w:type="dxa"/>
            <w:vMerge w:val="restart"/>
          </w:tcPr>
          <w:p w14:paraId="76FA0306" w14:textId="77777777" w:rsidR="004B18B0" w:rsidRPr="006F3533" w:rsidRDefault="004B18B0" w:rsidP="00541E06">
            <w:pPr>
              <w:rPr>
                <w:rFonts w:cs="Times New Roman"/>
                <w:sz w:val="20"/>
                <w:szCs w:val="20"/>
                <w:lang w:val="bg-BG"/>
              </w:rPr>
            </w:pPr>
            <w:r w:rsidRPr="006F3533">
              <w:rPr>
                <w:rFonts w:cs="Times New Roman"/>
                <w:sz w:val="20"/>
                <w:szCs w:val="20"/>
                <w:lang w:val="bg-BG"/>
              </w:rPr>
              <w:lastRenderedPageBreak/>
              <w:t>Основен енергиен ресурс</w:t>
            </w:r>
          </w:p>
        </w:tc>
        <w:tc>
          <w:tcPr>
            <w:tcW w:w="1647" w:type="dxa"/>
            <w:gridSpan w:val="2"/>
          </w:tcPr>
          <w:p w14:paraId="7052F4FD"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Да-три мерки</w:t>
            </w:r>
          </w:p>
        </w:tc>
        <w:tc>
          <w:tcPr>
            <w:tcW w:w="1649" w:type="dxa"/>
            <w:gridSpan w:val="2"/>
          </w:tcPr>
          <w:p w14:paraId="398D78D5"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Да-две мерки</w:t>
            </w:r>
          </w:p>
        </w:tc>
        <w:tc>
          <w:tcPr>
            <w:tcW w:w="1649" w:type="dxa"/>
            <w:gridSpan w:val="2"/>
          </w:tcPr>
          <w:p w14:paraId="03616504"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Да-една мярка</w:t>
            </w:r>
          </w:p>
        </w:tc>
        <w:tc>
          <w:tcPr>
            <w:tcW w:w="1649" w:type="dxa"/>
            <w:gridSpan w:val="2"/>
          </w:tcPr>
          <w:p w14:paraId="4A6CF191"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Не</w:t>
            </w:r>
          </w:p>
        </w:tc>
        <w:tc>
          <w:tcPr>
            <w:tcW w:w="1650" w:type="dxa"/>
            <w:gridSpan w:val="2"/>
            <w:noWrap/>
          </w:tcPr>
          <w:p w14:paraId="507C1A79"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Общо</w:t>
            </w:r>
          </w:p>
        </w:tc>
      </w:tr>
      <w:tr w:rsidR="004B18B0" w:rsidRPr="006F3533" w14:paraId="65E0A6F6" w14:textId="77777777" w:rsidTr="00541E06">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1385" w:type="dxa"/>
            <w:vMerge/>
          </w:tcPr>
          <w:p w14:paraId="43AA6FCB" w14:textId="77777777" w:rsidR="004B18B0" w:rsidRPr="006F3533" w:rsidRDefault="004B18B0" w:rsidP="00541E06">
            <w:pPr>
              <w:rPr>
                <w:rFonts w:cs="Times New Roman"/>
                <w:sz w:val="20"/>
                <w:szCs w:val="20"/>
                <w:lang w:val="bg-BG"/>
              </w:rPr>
            </w:pPr>
          </w:p>
        </w:tc>
        <w:tc>
          <w:tcPr>
            <w:tcW w:w="823" w:type="dxa"/>
          </w:tcPr>
          <w:p w14:paraId="7C8F901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Брой</w:t>
            </w:r>
          </w:p>
        </w:tc>
        <w:tc>
          <w:tcPr>
            <w:tcW w:w="824" w:type="dxa"/>
          </w:tcPr>
          <w:p w14:paraId="2A98B2C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 от всички</w:t>
            </w:r>
          </w:p>
        </w:tc>
        <w:tc>
          <w:tcPr>
            <w:tcW w:w="825" w:type="dxa"/>
          </w:tcPr>
          <w:p w14:paraId="3F0F5B14"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Брой</w:t>
            </w:r>
          </w:p>
        </w:tc>
        <w:tc>
          <w:tcPr>
            <w:tcW w:w="824" w:type="dxa"/>
          </w:tcPr>
          <w:p w14:paraId="4B25DF7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 от всички</w:t>
            </w:r>
          </w:p>
        </w:tc>
        <w:tc>
          <w:tcPr>
            <w:tcW w:w="825" w:type="dxa"/>
          </w:tcPr>
          <w:p w14:paraId="06FB945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Брой</w:t>
            </w:r>
          </w:p>
        </w:tc>
        <w:tc>
          <w:tcPr>
            <w:tcW w:w="824" w:type="dxa"/>
          </w:tcPr>
          <w:p w14:paraId="7C7727A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 от всички</w:t>
            </w:r>
          </w:p>
        </w:tc>
        <w:tc>
          <w:tcPr>
            <w:tcW w:w="825" w:type="dxa"/>
          </w:tcPr>
          <w:p w14:paraId="0238D4D0"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Брой</w:t>
            </w:r>
          </w:p>
        </w:tc>
        <w:tc>
          <w:tcPr>
            <w:tcW w:w="824" w:type="dxa"/>
            <w:noWrap/>
          </w:tcPr>
          <w:p w14:paraId="5948EA61"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 от всички</w:t>
            </w:r>
          </w:p>
        </w:tc>
        <w:tc>
          <w:tcPr>
            <w:tcW w:w="825" w:type="dxa"/>
            <w:noWrap/>
          </w:tcPr>
          <w:p w14:paraId="5D547BA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Брой</w:t>
            </w:r>
          </w:p>
        </w:tc>
        <w:tc>
          <w:tcPr>
            <w:tcW w:w="825" w:type="dxa"/>
          </w:tcPr>
          <w:p w14:paraId="0D17D204"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Дял от всички</w:t>
            </w:r>
          </w:p>
        </w:tc>
      </w:tr>
      <w:tr w:rsidR="004B18B0" w:rsidRPr="006F3533" w14:paraId="02ADB54D" w14:textId="77777777" w:rsidTr="00541E06">
        <w:trPr>
          <w:trHeight w:val="250"/>
          <w:jc w:val="center"/>
        </w:trPr>
        <w:tc>
          <w:tcPr>
            <w:cnfStyle w:val="001000000000" w:firstRow="0" w:lastRow="0" w:firstColumn="1" w:lastColumn="0" w:oddVBand="0" w:evenVBand="0" w:oddHBand="0" w:evenHBand="0" w:firstRowFirstColumn="0" w:firstRowLastColumn="0" w:lastRowFirstColumn="0" w:lastRowLastColumn="0"/>
            <w:tcW w:w="1385" w:type="dxa"/>
          </w:tcPr>
          <w:p w14:paraId="76721E74" w14:textId="77777777" w:rsidR="004B18B0" w:rsidRPr="006F3533" w:rsidRDefault="004B18B0" w:rsidP="00541E06">
            <w:pPr>
              <w:rPr>
                <w:rFonts w:cs="Times New Roman"/>
                <w:sz w:val="20"/>
                <w:szCs w:val="20"/>
                <w:lang w:val="bg-BG" w:eastAsia="zh-CN"/>
              </w:rPr>
            </w:pPr>
            <w:r w:rsidRPr="006F3533">
              <w:rPr>
                <w:rFonts w:cs="Times New Roman"/>
                <w:sz w:val="20"/>
                <w:szCs w:val="20"/>
                <w:lang w:val="bg-BG"/>
              </w:rPr>
              <w:t>Електричество</w:t>
            </w:r>
          </w:p>
        </w:tc>
        <w:tc>
          <w:tcPr>
            <w:tcW w:w="823" w:type="dxa"/>
          </w:tcPr>
          <w:p w14:paraId="1307485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6 039</w:t>
            </w:r>
          </w:p>
        </w:tc>
        <w:tc>
          <w:tcPr>
            <w:tcW w:w="824" w:type="dxa"/>
          </w:tcPr>
          <w:p w14:paraId="196F29B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13%</w:t>
            </w:r>
          </w:p>
        </w:tc>
        <w:tc>
          <w:tcPr>
            <w:tcW w:w="825" w:type="dxa"/>
          </w:tcPr>
          <w:p w14:paraId="58A031D6"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24 287</w:t>
            </w:r>
          </w:p>
        </w:tc>
        <w:tc>
          <w:tcPr>
            <w:tcW w:w="824" w:type="dxa"/>
          </w:tcPr>
          <w:p w14:paraId="14A4CF36"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21%</w:t>
            </w:r>
          </w:p>
        </w:tc>
        <w:tc>
          <w:tcPr>
            <w:tcW w:w="825" w:type="dxa"/>
          </w:tcPr>
          <w:p w14:paraId="11AE16B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41 864</w:t>
            </w:r>
          </w:p>
        </w:tc>
        <w:tc>
          <w:tcPr>
            <w:tcW w:w="824" w:type="dxa"/>
          </w:tcPr>
          <w:p w14:paraId="5EAB65D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22,9%</w:t>
            </w:r>
          </w:p>
        </w:tc>
        <w:tc>
          <w:tcPr>
            <w:tcW w:w="825" w:type="dxa"/>
          </w:tcPr>
          <w:p w14:paraId="706EDBBE"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236 044</w:t>
            </w:r>
          </w:p>
        </w:tc>
        <w:tc>
          <w:tcPr>
            <w:tcW w:w="824" w:type="dxa"/>
            <w:noWrap/>
          </w:tcPr>
          <w:p w14:paraId="67F104C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31%</w:t>
            </w:r>
          </w:p>
        </w:tc>
        <w:tc>
          <w:tcPr>
            <w:tcW w:w="825" w:type="dxa"/>
            <w:noWrap/>
          </w:tcPr>
          <w:p w14:paraId="245130C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308 234</w:t>
            </w:r>
          </w:p>
        </w:tc>
        <w:tc>
          <w:tcPr>
            <w:tcW w:w="825" w:type="dxa"/>
          </w:tcPr>
          <w:p w14:paraId="59C8AD5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27,7%</w:t>
            </w:r>
          </w:p>
        </w:tc>
      </w:tr>
      <w:tr w:rsidR="004B18B0" w:rsidRPr="006F3533" w14:paraId="51A8C326" w14:textId="77777777" w:rsidTr="00541E06">
        <w:trPr>
          <w:cnfStyle w:val="000000100000" w:firstRow="0" w:lastRow="0" w:firstColumn="0" w:lastColumn="0" w:oddVBand="0" w:evenVBand="0" w:oddHBand="1" w:evenHBand="0" w:firstRowFirstColumn="0" w:firstRowLastColumn="0" w:lastRowFirstColumn="0" w:lastRowLastColumn="0"/>
          <w:trHeight w:val="303"/>
          <w:jc w:val="center"/>
        </w:trPr>
        <w:tc>
          <w:tcPr>
            <w:cnfStyle w:val="001000000000" w:firstRow="0" w:lastRow="0" w:firstColumn="1" w:lastColumn="0" w:oddVBand="0" w:evenVBand="0" w:oddHBand="0" w:evenHBand="0" w:firstRowFirstColumn="0" w:firstRowLastColumn="0" w:lastRowFirstColumn="0" w:lastRowLastColumn="0"/>
            <w:tcW w:w="1385" w:type="dxa"/>
          </w:tcPr>
          <w:p w14:paraId="5D10F947" w14:textId="77777777" w:rsidR="004B18B0" w:rsidRPr="006F3533" w:rsidRDefault="004B18B0" w:rsidP="00541E06">
            <w:pPr>
              <w:rPr>
                <w:rFonts w:cs="Times New Roman"/>
                <w:sz w:val="20"/>
                <w:szCs w:val="20"/>
                <w:lang w:val="bg-BG"/>
              </w:rPr>
            </w:pPr>
            <w:r w:rsidRPr="006F3533">
              <w:rPr>
                <w:rFonts w:cs="Times New Roman"/>
                <w:sz w:val="20"/>
                <w:szCs w:val="20"/>
                <w:lang w:val="bg-BG"/>
              </w:rPr>
              <w:t>Газ - природен или пропан</w:t>
            </w:r>
          </w:p>
        </w:tc>
        <w:tc>
          <w:tcPr>
            <w:tcW w:w="823" w:type="dxa"/>
            <w:noWrap/>
          </w:tcPr>
          <w:p w14:paraId="6F37FC5F"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4" w:type="dxa"/>
            <w:noWrap/>
          </w:tcPr>
          <w:p w14:paraId="51D9C8B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5" w:type="dxa"/>
          </w:tcPr>
          <w:p w14:paraId="2AF5E63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5 147</w:t>
            </w:r>
          </w:p>
        </w:tc>
        <w:tc>
          <w:tcPr>
            <w:tcW w:w="824" w:type="dxa"/>
          </w:tcPr>
          <w:p w14:paraId="368E1F6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14%</w:t>
            </w:r>
          </w:p>
        </w:tc>
        <w:tc>
          <w:tcPr>
            <w:tcW w:w="825" w:type="dxa"/>
          </w:tcPr>
          <w:p w14:paraId="0558891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3 004</w:t>
            </w:r>
          </w:p>
        </w:tc>
        <w:tc>
          <w:tcPr>
            <w:tcW w:w="824" w:type="dxa"/>
          </w:tcPr>
          <w:p w14:paraId="308F1D4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7,9%</w:t>
            </w:r>
          </w:p>
        </w:tc>
        <w:tc>
          <w:tcPr>
            <w:tcW w:w="825" w:type="dxa"/>
            <w:noWrap/>
          </w:tcPr>
          <w:p w14:paraId="7D6401CA"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30 702</w:t>
            </w:r>
          </w:p>
        </w:tc>
        <w:tc>
          <w:tcPr>
            <w:tcW w:w="824" w:type="dxa"/>
            <w:noWrap/>
          </w:tcPr>
          <w:p w14:paraId="00A5950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17%</w:t>
            </w:r>
          </w:p>
        </w:tc>
        <w:tc>
          <w:tcPr>
            <w:tcW w:w="825" w:type="dxa"/>
            <w:noWrap/>
          </w:tcPr>
          <w:p w14:paraId="6B52DDB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38 853</w:t>
            </w:r>
          </w:p>
        </w:tc>
        <w:tc>
          <w:tcPr>
            <w:tcW w:w="825" w:type="dxa"/>
          </w:tcPr>
          <w:p w14:paraId="6510D42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14,4%</w:t>
            </w:r>
          </w:p>
        </w:tc>
      </w:tr>
      <w:tr w:rsidR="004B18B0" w:rsidRPr="006F3533" w14:paraId="52DED639"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385" w:type="dxa"/>
          </w:tcPr>
          <w:p w14:paraId="52536BDC" w14:textId="77777777" w:rsidR="004B18B0" w:rsidRPr="006F3533" w:rsidRDefault="004B18B0" w:rsidP="00541E06">
            <w:pPr>
              <w:rPr>
                <w:rFonts w:cs="Times New Roman"/>
                <w:sz w:val="20"/>
                <w:szCs w:val="20"/>
                <w:lang w:val="bg-BG"/>
              </w:rPr>
            </w:pPr>
            <w:r w:rsidRPr="006F3533">
              <w:rPr>
                <w:rFonts w:cs="Times New Roman"/>
                <w:sz w:val="20"/>
                <w:szCs w:val="20"/>
                <w:lang w:val="bg-BG"/>
              </w:rPr>
              <w:t xml:space="preserve">Нафта, маслени радиатори и др. </w:t>
            </w:r>
          </w:p>
        </w:tc>
        <w:tc>
          <w:tcPr>
            <w:tcW w:w="823" w:type="dxa"/>
            <w:noWrap/>
          </w:tcPr>
          <w:p w14:paraId="655DB5B4"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4" w:type="dxa"/>
            <w:noWrap/>
          </w:tcPr>
          <w:p w14:paraId="5710B1F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5" w:type="dxa"/>
          </w:tcPr>
          <w:p w14:paraId="368899C4"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4" w:type="dxa"/>
          </w:tcPr>
          <w:p w14:paraId="317FB4C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0%</w:t>
            </w:r>
          </w:p>
        </w:tc>
        <w:tc>
          <w:tcPr>
            <w:tcW w:w="825" w:type="dxa"/>
          </w:tcPr>
          <w:p w14:paraId="0B479941"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4" w:type="dxa"/>
          </w:tcPr>
          <w:p w14:paraId="54CF0D5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0,0%</w:t>
            </w:r>
          </w:p>
        </w:tc>
        <w:tc>
          <w:tcPr>
            <w:tcW w:w="825" w:type="dxa"/>
            <w:noWrap/>
          </w:tcPr>
          <w:p w14:paraId="2640457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683</w:t>
            </w:r>
          </w:p>
        </w:tc>
        <w:tc>
          <w:tcPr>
            <w:tcW w:w="824" w:type="dxa"/>
            <w:noWrap/>
          </w:tcPr>
          <w:p w14:paraId="0AB66F5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21%</w:t>
            </w:r>
          </w:p>
        </w:tc>
        <w:tc>
          <w:tcPr>
            <w:tcW w:w="825" w:type="dxa"/>
            <w:noWrap/>
          </w:tcPr>
          <w:p w14:paraId="13D9B5B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683</w:t>
            </w:r>
          </w:p>
        </w:tc>
        <w:tc>
          <w:tcPr>
            <w:tcW w:w="825" w:type="dxa"/>
          </w:tcPr>
          <w:p w14:paraId="221D234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11,4%</w:t>
            </w:r>
          </w:p>
        </w:tc>
      </w:tr>
      <w:tr w:rsidR="004B18B0" w:rsidRPr="006F3533" w14:paraId="7F670F72" w14:textId="77777777" w:rsidTr="00541E06">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1385" w:type="dxa"/>
          </w:tcPr>
          <w:p w14:paraId="49CD1F79" w14:textId="77777777" w:rsidR="004B18B0" w:rsidRPr="006F3533" w:rsidRDefault="004B18B0" w:rsidP="00541E06">
            <w:pPr>
              <w:rPr>
                <w:rFonts w:cs="Times New Roman"/>
                <w:sz w:val="20"/>
                <w:szCs w:val="20"/>
                <w:lang w:val="bg-BG"/>
              </w:rPr>
            </w:pPr>
            <w:r w:rsidRPr="006F3533">
              <w:rPr>
                <w:rFonts w:cs="Times New Roman"/>
                <w:sz w:val="20"/>
                <w:szCs w:val="20"/>
                <w:lang w:val="bg-BG"/>
              </w:rPr>
              <w:t xml:space="preserve">Биомаса </w:t>
            </w:r>
          </w:p>
        </w:tc>
        <w:tc>
          <w:tcPr>
            <w:tcW w:w="823" w:type="dxa"/>
            <w:noWrap/>
          </w:tcPr>
          <w:p w14:paraId="5D3D4BD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601</w:t>
            </w:r>
          </w:p>
        </w:tc>
        <w:tc>
          <w:tcPr>
            <w:tcW w:w="824" w:type="dxa"/>
            <w:noWrap/>
          </w:tcPr>
          <w:p w14:paraId="1393134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w:t>
            </w:r>
          </w:p>
        </w:tc>
        <w:tc>
          <w:tcPr>
            <w:tcW w:w="825" w:type="dxa"/>
          </w:tcPr>
          <w:p w14:paraId="0C577006"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1734</w:t>
            </w:r>
          </w:p>
        </w:tc>
        <w:tc>
          <w:tcPr>
            <w:tcW w:w="824" w:type="dxa"/>
          </w:tcPr>
          <w:p w14:paraId="117158D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9%</w:t>
            </w:r>
          </w:p>
        </w:tc>
        <w:tc>
          <w:tcPr>
            <w:tcW w:w="825" w:type="dxa"/>
          </w:tcPr>
          <w:p w14:paraId="446B097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3 610</w:t>
            </w:r>
          </w:p>
        </w:tc>
        <w:tc>
          <w:tcPr>
            <w:tcW w:w="824" w:type="dxa"/>
          </w:tcPr>
          <w:p w14:paraId="5956619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13,1%</w:t>
            </w:r>
          </w:p>
        </w:tc>
        <w:tc>
          <w:tcPr>
            <w:tcW w:w="825" w:type="dxa"/>
            <w:noWrap/>
          </w:tcPr>
          <w:p w14:paraId="61EA850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7 216</w:t>
            </w:r>
          </w:p>
        </w:tc>
        <w:tc>
          <w:tcPr>
            <w:tcW w:w="824" w:type="dxa"/>
            <w:noWrap/>
          </w:tcPr>
          <w:p w14:paraId="7CFED0C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12%</w:t>
            </w:r>
          </w:p>
        </w:tc>
        <w:tc>
          <w:tcPr>
            <w:tcW w:w="825" w:type="dxa"/>
            <w:noWrap/>
          </w:tcPr>
          <w:p w14:paraId="569B938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13 160</w:t>
            </w:r>
          </w:p>
        </w:tc>
        <w:tc>
          <w:tcPr>
            <w:tcW w:w="825" w:type="dxa"/>
          </w:tcPr>
          <w:p w14:paraId="2978191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11,5%</w:t>
            </w:r>
          </w:p>
        </w:tc>
      </w:tr>
      <w:tr w:rsidR="004B18B0" w:rsidRPr="006F3533" w14:paraId="122FE740"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385" w:type="dxa"/>
          </w:tcPr>
          <w:p w14:paraId="2FC879EF" w14:textId="77777777" w:rsidR="004B18B0" w:rsidRPr="006F3533" w:rsidRDefault="004B18B0" w:rsidP="00541E06">
            <w:pPr>
              <w:rPr>
                <w:rFonts w:cs="Times New Roman"/>
                <w:sz w:val="20"/>
                <w:szCs w:val="20"/>
                <w:lang w:val="bg-BG"/>
              </w:rPr>
            </w:pPr>
            <w:r w:rsidRPr="006F3533">
              <w:rPr>
                <w:rFonts w:cs="Times New Roman"/>
                <w:sz w:val="20"/>
                <w:szCs w:val="20"/>
                <w:lang w:val="bg-BG"/>
              </w:rPr>
              <w:t>Дърва</w:t>
            </w:r>
          </w:p>
        </w:tc>
        <w:tc>
          <w:tcPr>
            <w:tcW w:w="823" w:type="dxa"/>
            <w:noWrap/>
          </w:tcPr>
          <w:p w14:paraId="38FA807E"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5 942</w:t>
            </w:r>
          </w:p>
        </w:tc>
        <w:tc>
          <w:tcPr>
            <w:tcW w:w="824" w:type="dxa"/>
            <w:noWrap/>
          </w:tcPr>
          <w:p w14:paraId="7D20443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36%</w:t>
            </w:r>
          </w:p>
        </w:tc>
        <w:tc>
          <w:tcPr>
            <w:tcW w:w="825" w:type="dxa"/>
          </w:tcPr>
          <w:p w14:paraId="59E658D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16 851</w:t>
            </w:r>
          </w:p>
        </w:tc>
        <w:tc>
          <w:tcPr>
            <w:tcW w:w="824" w:type="dxa"/>
          </w:tcPr>
          <w:p w14:paraId="74EAD5A4"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26%</w:t>
            </w:r>
          </w:p>
        </w:tc>
        <w:tc>
          <w:tcPr>
            <w:tcW w:w="825" w:type="dxa"/>
          </w:tcPr>
          <w:p w14:paraId="7012F4D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52 870</w:t>
            </w:r>
          </w:p>
        </w:tc>
        <w:tc>
          <w:tcPr>
            <w:tcW w:w="824" w:type="dxa"/>
          </w:tcPr>
          <w:p w14:paraId="22484E33"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33,8%</w:t>
            </w:r>
          </w:p>
        </w:tc>
        <w:tc>
          <w:tcPr>
            <w:tcW w:w="825" w:type="dxa"/>
            <w:noWrap/>
          </w:tcPr>
          <w:p w14:paraId="4AECCFD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404 664</w:t>
            </w:r>
          </w:p>
        </w:tc>
        <w:tc>
          <w:tcPr>
            <w:tcW w:w="824" w:type="dxa"/>
            <w:noWrap/>
          </w:tcPr>
          <w:p w14:paraId="79EF7394"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49%</w:t>
            </w:r>
          </w:p>
        </w:tc>
        <w:tc>
          <w:tcPr>
            <w:tcW w:w="825" w:type="dxa"/>
            <w:noWrap/>
          </w:tcPr>
          <w:p w14:paraId="7231DF3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color w:val="000000"/>
                <w:sz w:val="20"/>
                <w:szCs w:val="20"/>
                <w:lang w:val="bg-BG"/>
              </w:rPr>
            </w:pPr>
            <w:r w:rsidRPr="006F3533">
              <w:rPr>
                <w:rFonts w:cs="Times New Roman"/>
                <w:b/>
                <w:bCs/>
                <w:color w:val="000000"/>
                <w:sz w:val="20"/>
                <w:szCs w:val="20"/>
                <w:lang w:val="bg-BG"/>
              </w:rPr>
              <w:t>480 327</w:t>
            </w:r>
          </w:p>
        </w:tc>
        <w:tc>
          <w:tcPr>
            <w:tcW w:w="825" w:type="dxa"/>
          </w:tcPr>
          <w:p w14:paraId="7E4E055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color w:val="000000"/>
                <w:sz w:val="20"/>
                <w:szCs w:val="20"/>
                <w:lang w:val="bg-BG"/>
              </w:rPr>
            </w:pPr>
            <w:r w:rsidRPr="006F3533">
              <w:rPr>
                <w:rFonts w:cs="Times New Roman"/>
                <w:b/>
                <w:bCs/>
                <w:color w:val="000000"/>
                <w:sz w:val="20"/>
                <w:szCs w:val="20"/>
                <w:lang w:val="bg-BG"/>
              </w:rPr>
              <w:t>45,1%</w:t>
            </w:r>
          </w:p>
        </w:tc>
      </w:tr>
      <w:tr w:rsidR="004B18B0" w:rsidRPr="006F3533" w14:paraId="4F8D077A" w14:textId="77777777" w:rsidTr="00541E06">
        <w:trPr>
          <w:cnfStyle w:val="000000100000" w:firstRow="0" w:lastRow="0" w:firstColumn="0" w:lastColumn="0" w:oddVBand="0" w:evenVBand="0" w:oddHBand="1" w:evenHBand="0" w:firstRowFirstColumn="0" w:firstRowLastColumn="0" w:lastRowFirstColumn="0" w:lastRowLastColumn="0"/>
          <w:trHeight w:val="303"/>
          <w:jc w:val="center"/>
        </w:trPr>
        <w:tc>
          <w:tcPr>
            <w:cnfStyle w:val="001000000000" w:firstRow="0" w:lastRow="0" w:firstColumn="1" w:lastColumn="0" w:oddVBand="0" w:evenVBand="0" w:oddHBand="0" w:evenHBand="0" w:firstRowFirstColumn="0" w:firstRowLastColumn="0" w:lastRowFirstColumn="0" w:lastRowLastColumn="0"/>
            <w:tcW w:w="1385" w:type="dxa"/>
          </w:tcPr>
          <w:p w14:paraId="52C7337A" w14:textId="77777777" w:rsidR="004B18B0" w:rsidRPr="006F3533" w:rsidRDefault="004B18B0" w:rsidP="00541E06">
            <w:pPr>
              <w:rPr>
                <w:rFonts w:cs="Times New Roman"/>
                <w:sz w:val="20"/>
                <w:szCs w:val="20"/>
                <w:lang w:val="bg-BG"/>
              </w:rPr>
            </w:pPr>
            <w:r w:rsidRPr="006F3533">
              <w:rPr>
                <w:rFonts w:cs="Times New Roman"/>
                <w:sz w:val="20"/>
                <w:szCs w:val="20"/>
                <w:lang w:val="bg-BG"/>
              </w:rPr>
              <w:t>Въглища</w:t>
            </w:r>
          </w:p>
        </w:tc>
        <w:tc>
          <w:tcPr>
            <w:tcW w:w="823" w:type="dxa"/>
            <w:noWrap/>
          </w:tcPr>
          <w:p w14:paraId="3F0EB61F"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4" w:type="dxa"/>
            <w:noWrap/>
          </w:tcPr>
          <w:p w14:paraId="326DA53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5" w:type="dxa"/>
          </w:tcPr>
          <w:p w14:paraId="3367322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1 181</w:t>
            </w:r>
          </w:p>
        </w:tc>
        <w:tc>
          <w:tcPr>
            <w:tcW w:w="824" w:type="dxa"/>
          </w:tcPr>
          <w:p w14:paraId="18FBC47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18%</w:t>
            </w:r>
          </w:p>
        </w:tc>
        <w:tc>
          <w:tcPr>
            <w:tcW w:w="825" w:type="dxa"/>
          </w:tcPr>
          <w:p w14:paraId="0DAD730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1 332</w:t>
            </w:r>
          </w:p>
        </w:tc>
        <w:tc>
          <w:tcPr>
            <w:tcW w:w="824" w:type="dxa"/>
          </w:tcPr>
          <w:p w14:paraId="5221E2C6"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21,2%</w:t>
            </w:r>
          </w:p>
        </w:tc>
        <w:tc>
          <w:tcPr>
            <w:tcW w:w="825" w:type="dxa"/>
            <w:noWrap/>
          </w:tcPr>
          <w:p w14:paraId="7905B7F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12 881</w:t>
            </w:r>
          </w:p>
        </w:tc>
        <w:tc>
          <w:tcPr>
            <w:tcW w:w="824" w:type="dxa"/>
            <w:noWrap/>
          </w:tcPr>
          <w:p w14:paraId="6B6F907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32%</w:t>
            </w:r>
          </w:p>
        </w:tc>
        <w:tc>
          <w:tcPr>
            <w:tcW w:w="825" w:type="dxa"/>
            <w:noWrap/>
          </w:tcPr>
          <w:p w14:paraId="32060A4F"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15 395</w:t>
            </w:r>
          </w:p>
        </w:tc>
        <w:tc>
          <w:tcPr>
            <w:tcW w:w="825" w:type="dxa"/>
          </w:tcPr>
          <w:p w14:paraId="2CC653E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28,1%</w:t>
            </w:r>
          </w:p>
        </w:tc>
      </w:tr>
      <w:tr w:rsidR="004B18B0" w:rsidRPr="006F3533" w14:paraId="2EA42CF5"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385" w:type="dxa"/>
          </w:tcPr>
          <w:p w14:paraId="7064AF41" w14:textId="77777777" w:rsidR="004B18B0" w:rsidRPr="006F3533" w:rsidRDefault="004B18B0" w:rsidP="00541E06">
            <w:pPr>
              <w:rPr>
                <w:rFonts w:cs="Times New Roman"/>
                <w:sz w:val="20"/>
                <w:szCs w:val="20"/>
                <w:lang w:val="bg-BG"/>
              </w:rPr>
            </w:pPr>
            <w:r w:rsidRPr="006F3533">
              <w:rPr>
                <w:rFonts w:cs="Times New Roman"/>
                <w:sz w:val="20"/>
                <w:szCs w:val="20"/>
                <w:lang w:val="bg-BG"/>
              </w:rPr>
              <w:t>ВЕИ</w:t>
            </w:r>
          </w:p>
        </w:tc>
        <w:tc>
          <w:tcPr>
            <w:tcW w:w="823" w:type="dxa"/>
            <w:noWrap/>
          </w:tcPr>
          <w:p w14:paraId="61A44BF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4" w:type="dxa"/>
            <w:noWrap/>
          </w:tcPr>
          <w:p w14:paraId="77025C2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5" w:type="dxa"/>
          </w:tcPr>
          <w:p w14:paraId="30962AD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4" w:type="dxa"/>
          </w:tcPr>
          <w:p w14:paraId="0BF58E7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5" w:type="dxa"/>
          </w:tcPr>
          <w:p w14:paraId="6666117D"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509</w:t>
            </w:r>
          </w:p>
        </w:tc>
        <w:tc>
          <w:tcPr>
            <w:tcW w:w="824" w:type="dxa"/>
          </w:tcPr>
          <w:p w14:paraId="74B9C81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100,0%</w:t>
            </w:r>
          </w:p>
        </w:tc>
        <w:tc>
          <w:tcPr>
            <w:tcW w:w="825" w:type="dxa"/>
            <w:noWrap/>
          </w:tcPr>
          <w:p w14:paraId="163E18D6"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4" w:type="dxa"/>
            <w:noWrap/>
          </w:tcPr>
          <w:p w14:paraId="674B949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5" w:type="dxa"/>
            <w:noWrap/>
          </w:tcPr>
          <w:p w14:paraId="599076A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509</w:t>
            </w:r>
          </w:p>
        </w:tc>
        <w:tc>
          <w:tcPr>
            <w:tcW w:w="825" w:type="dxa"/>
          </w:tcPr>
          <w:p w14:paraId="162543B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53,3%</w:t>
            </w:r>
          </w:p>
        </w:tc>
      </w:tr>
      <w:tr w:rsidR="004B18B0" w:rsidRPr="006F3533" w14:paraId="3E219CFF" w14:textId="77777777" w:rsidTr="00541E06">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1385" w:type="dxa"/>
          </w:tcPr>
          <w:p w14:paraId="6B5D8C8A" w14:textId="77777777" w:rsidR="004B18B0" w:rsidRPr="006F3533" w:rsidRDefault="004B18B0" w:rsidP="00541E06">
            <w:pPr>
              <w:rPr>
                <w:rFonts w:cs="Times New Roman"/>
                <w:sz w:val="20"/>
                <w:szCs w:val="20"/>
                <w:lang w:val="bg-BG"/>
              </w:rPr>
            </w:pPr>
            <w:r w:rsidRPr="006F3533">
              <w:rPr>
                <w:rFonts w:cs="Times New Roman"/>
                <w:sz w:val="20"/>
                <w:szCs w:val="20"/>
                <w:lang w:val="bg-BG"/>
              </w:rPr>
              <w:t>Друго</w:t>
            </w:r>
          </w:p>
        </w:tc>
        <w:tc>
          <w:tcPr>
            <w:tcW w:w="823" w:type="dxa"/>
            <w:noWrap/>
          </w:tcPr>
          <w:p w14:paraId="7EE58CA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624</w:t>
            </w:r>
          </w:p>
        </w:tc>
        <w:tc>
          <w:tcPr>
            <w:tcW w:w="824" w:type="dxa"/>
            <w:noWrap/>
          </w:tcPr>
          <w:p w14:paraId="4751F30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69%</w:t>
            </w:r>
          </w:p>
        </w:tc>
        <w:tc>
          <w:tcPr>
            <w:tcW w:w="825" w:type="dxa"/>
          </w:tcPr>
          <w:p w14:paraId="2DE63AD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819</w:t>
            </w:r>
          </w:p>
        </w:tc>
        <w:tc>
          <w:tcPr>
            <w:tcW w:w="824" w:type="dxa"/>
          </w:tcPr>
          <w:p w14:paraId="746B893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w:t>
            </w:r>
          </w:p>
        </w:tc>
        <w:tc>
          <w:tcPr>
            <w:tcW w:w="825" w:type="dxa"/>
          </w:tcPr>
          <w:p w14:paraId="5C7BF7A4"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5 936</w:t>
            </w:r>
          </w:p>
        </w:tc>
        <w:tc>
          <w:tcPr>
            <w:tcW w:w="824" w:type="dxa"/>
          </w:tcPr>
          <w:p w14:paraId="1AD847B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20,8%</w:t>
            </w:r>
          </w:p>
        </w:tc>
        <w:tc>
          <w:tcPr>
            <w:tcW w:w="825" w:type="dxa"/>
            <w:noWrap/>
          </w:tcPr>
          <w:p w14:paraId="7644EC7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16 845</w:t>
            </w:r>
          </w:p>
        </w:tc>
        <w:tc>
          <w:tcPr>
            <w:tcW w:w="824" w:type="dxa"/>
            <w:noWrap/>
          </w:tcPr>
          <w:p w14:paraId="4D312E2F"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22%</w:t>
            </w:r>
          </w:p>
        </w:tc>
        <w:tc>
          <w:tcPr>
            <w:tcW w:w="825" w:type="dxa"/>
            <w:noWrap/>
          </w:tcPr>
          <w:p w14:paraId="72C5928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24 224</w:t>
            </w:r>
          </w:p>
        </w:tc>
        <w:tc>
          <w:tcPr>
            <w:tcW w:w="825" w:type="dxa"/>
          </w:tcPr>
          <w:p w14:paraId="2092E32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20,0%</w:t>
            </w:r>
          </w:p>
        </w:tc>
      </w:tr>
      <w:tr w:rsidR="004B18B0" w:rsidRPr="006F3533" w14:paraId="56B8E6FA"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385" w:type="dxa"/>
          </w:tcPr>
          <w:p w14:paraId="2A90BB34" w14:textId="77777777" w:rsidR="004B18B0" w:rsidRPr="006F3533" w:rsidRDefault="004B18B0" w:rsidP="00541E06">
            <w:pPr>
              <w:rPr>
                <w:rFonts w:cs="Times New Roman"/>
                <w:sz w:val="20"/>
                <w:szCs w:val="20"/>
                <w:lang w:val="bg-BG"/>
              </w:rPr>
            </w:pPr>
            <w:r w:rsidRPr="006F3533">
              <w:rPr>
                <w:rFonts w:cs="Times New Roman"/>
                <w:sz w:val="20"/>
                <w:szCs w:val="20"/>
                <w:lang w:val="bg-BG"/>
              </w:rPr>
              <w:t>Неприложимо</w:t>
            </w:r>
          </w:p>
        </w:tc>
        <w:tc>
          <w:tcPr>
            <w:tcW w:w="823" w:type="dxa"/>
            <w:noWrap/>
          </w:tcPr>
          <w:p w14:paraId="0D6A883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4" w:type="dxa"/>
            <w:noWrap/>
          </w:tcPr>
          <w:p w14:paraId="4AF7928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p>
        </w:tc>
        <w:tc>
          <w:tcPr>
            <w:tcW w:w="825" w:type="dxa"/>
          </w:tcPr>
          <w:p w14:paraId="16BCE68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311</w:t>
            </w:r>
          </w:p>
        </w:tc>
        <w:tc>
          <w:tcPr>
            <w:tcW w:w="824" w:type="dxa"/>
          </w:tcPr>
          <w:p w14:paraId="67E4F706"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w:t>
            </w:r>
          </w:p>
        </w:tc>
        <w:tc>
          <w:tcPr>
            <w:tcW w:w="825" w:type="dxa"/>
          </w:tcPr>
          <w:p w14:paraId="55E5988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761</w:t>
            </w:r>
          </w:p>
        </w:tc>
        <w:tc>
          <w:tcPr>
            <w:tcW w:w="824" w:type="dxa"/>
          </w:tcPr>
          <w:p w14:paraId="6419CD8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7,9%</w:t>
            </w:r>
          </w:p>
        </w:tc>
        <w:tc>
          <w:tcPr>
            <w:tcW w:w="825" w:type="dxa"/>
            <w:noWrap/>
          </w:tcPr>
          <w:p w14:paraId="4CEECDB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14 470</w:t>
            </w:r>
          </w:p>
        </w:tc>
        <w:tc>
          <w:tcPr>
            <w:tcW w:w="824" w:type="dxa"/>
            <w:noWrap/>
          </w:tcPr>
          <w:p w14:paraId="0056FA9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15%</w:t>
            </w:r>
          </w:p>
        </w:tc>
        <w:tc>
          <w:tcPr>
            <w:tcW w:w="825" w:type="dxa"/>
            <w:noWrap/>
          </w:tcPr>
          <w:p w14:paraId="23D8382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15 541</w:t>
            </w:r>
          </w:p>
        </w:tc>
        <w:tc>
          <w:tcPr>
            <w:tcW w:w="825" w:type="dxa"/>
          </w:tcPr>
          <w:p w14:paraId="38EF7DC6"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13,2%</w:t>
            </w:r>
          </w:p>
        </w:tc>
      </w:tr>
      <w:tr w:rsidR="004B18B0" w:rsidRPr="006F3533" w14:paraId="7D1480EC" w14:textId="77777777" w:rsidTr="00541E06">
        <w:trPr>
          <w:cnfStyle w:val="000000100000" w:firstRow="0" w:lastRow="0" w:firstColumn="0" w:lastColumn="0" w:oddVBand="0" w:evenVBand="0" w:oddHBand="1" w:evenHBand="0" w:firstRowFirstColumn="0" w:firstRowLastColumn="0" w:lastRowFirstColumn="0" w:lastRowLastColumn="0"/>
          <w:trHeight w:val="303"/>
          <w:jc w:val="center"/>
        </w:trPr>
        <w:tc>
          <w:tcPr>
            <w:cnfStyle w:val="001000000000" w:firstRow="0" w:lastRow="0" w:firstColumn="1" w:lastColumn="0" w:oddVBand="0" w:evenVBand="0" w:oddHBand="0" w:evenHBand="0" w:firstRowFirstColumn="0" w:firstRowLastColumn="0" w:lastRowFirstColumn="0" w:lastRowLastColumn="0"/>
            <w:tcW w:w="1385" w:type="dxa"/>
          </w:tcPr>
          <w:p w14:paraId="0E81DAB1" w14:textId="77777777" w:rsidR="004B18B0" w:rsidRPr="006F3533" w:rsidRDefault="004B18B0" w:rsidP="00541E06">
            <w:pPr>
              <w:rPr>
                <w:rFonts w:cs="Times New Roman"/>
                <w:sz w:val="20"/>
                <w:szCs w:val="20"/>
                <w:lang w:val="bg-BG"/>
              </w:rPr>
            </w:pPr>
            <w:r w:rsidRPr="006F3533">
              <w:rPr>
                <w:rFonts w:cs="Times New Roman"/>
                <w:sz w:val="20"/>
                <w:szCs w:val="20"/>
                <w:lang w:val="bg-BG"/>
              </w:rPr>
              <w:t>Не знае</w:t>
            </w:r>
          </w:p>
        </w:tc>
        <w:tc>
          <w:tcPr>
            <w:tcW w:w="823" w:type="dxa"/>
            <w:noWrap/>
          </w:tcPr>
          <w:p w14:paraId="26AF71E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4" w:type="dxa"/>
            <w:noWrap/>
          </w:tcPr>
          <w:p w14:paraId="33B2385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5" w:type="dxa"/>
          </w:tcPr>
          <w:p w14:paraId="5729022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4" w:type="dxa"/>
          </w:tcPr>
          <w:p w14:paraId="5B447F1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5" w:type="dxa"/>
          </w:tcPr>
          <w:p w14:paraId="6DCD596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4" w:type="dxa"/>
          </w:tcPr>
          <w:p w14:paraId="79EC4E8F"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p>
        </w:tc>
        <w:tc>
          <w:tcPr>
            <w:tcW w:w="825" w:type="dxa"/>
            <w:noWrap/>
          </w:tcPr>
          <w:p w14:paraId="798ECB5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1 771</w:t>
            </w:r>
          </w:p>
        </w:tc>
        <w:tc>
          <w:tcPr>
            <w:tcW w:w="824" w:type="dxa"/>
            <w:noWrap/>
          </w:tcPr>
          <w:p w14:paraId="761BD17F"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100%</w:t>
            </w:r>
          </w:p>
        </w:tc>
        <w:tc>
          <w:tcPr>
            <w:tcW w:w="825" w:type="dxa"/>
            <w:noWrap/>
          </w:tcPr>
          <w:p w14:paraId="2440EFF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1 771</w:t>
            </w:r>
          </w:p>
        </w:tc>
        <w:tc>
          <w:tcPr>
            <w:tcW w:w="825" w:type="dxa"/>
          </w:tcPr>
          <w:p w14:paraId="6A41E5A9"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79,6%</w:t>
            </w:r>
          </w:p>
        </w:tc>
      </w:tr>
      <w:tr w:rsidR="004B18B0" w:rsidRPr="006F3533" w14:paraId="3FDAF343" w14:textId="77777777" w:rsidTr="00541E06">
        <w:trPr>
          <w:trHeight w:val="303"/>
          <w:jc w:val="center"/>
        </w:trPr>
        <w:tc>
          <w:tcPr>
            <w:cnfStyle w:val="001000000000" w:firstRow="0" w:lastRow="0" w:firstColumn="1" w:lastColumn="0" w:oddVBand="0" w:evenVBand="0" w:oddHBand="0" w:evenHBand="0" w:firstRowFirstColumn="0" w:firstRowLastColumn="0" w:lastRowFirstColumn="0" w:lastRowLastColumn="0"/>
            <w:tcW w:w="1385" w:type="dxa"/>
          </w:tcPr>
          <w:p w14:paraId="16A2D998" w14:textId="77777777" w:rsidR="004B18B0" w:rsidRPr="006F3533" w:rsidRDefault="004B18B0" w:rsidP="00541E06">
            <w:pPr>
              <w:rPr>
                <w:rFonts w:cs="Times New Roman"/>
                <w:sz w:val="20"/>
                <w:szCs w:val="20"/>
                <w:lang w:val="bg-BG"/>
              </w:rPr>
            </w:pPr>
            <w:r w:rsidRPr="006F3533">
              <w:rPr>
                <w:rFonts w:cs="Times New Roman"/>
                <w:sz w:val="20"/>
                <w:szCs w:val="20"/>
                <w:lang w:val="bg-BG"/>
              </w:rPr>
              <w:t>Всички ЕБ домакинства</w:t>
            </w:r>
          </w:p>
        </w:tc>
        <w:tc>
          <w:tcPr>
            <w:tcW w:w="823" w:type="dxa"/>
            <w:noWrap/>
          </w:tcPr>
          <w:p w14:paraId="0082597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13 206</w:t>
            </w:r>
          </w:p>
        </w:tc>
        <w:tc>
          <w:tcPr>
            <w:tcW w:w="824" w:type="dxa"/>
            <w:noWrap/>
          </w:tcPr>
          <w:p w14:paraId="23ADE08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13%</w:t>
            </w:r>
          </w:p>
        </w:tc>
        <w:tc>
          <w:tcPr>
            <w:tcW w:w="825" w:type="dxa"/>
          </w:tcPr>
          <w:p w14:paraId="608B4F6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50 330</w:t>
            </w:r>
          </w:p>
        </w:tc>
        <w:tc>
          <w:tcPr>
            <w:tcW w:w="824" w:type="dxa"/>
          </w:tcPr>
          <w:p w14:paraId="5B729FF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18%</w:t>
            </w:r>
          </w:p>
        </w:tc>
        <w:tc>
          <w:tcPr>
            <w:tcW w:w="825" w:type="dxa"/>
          </w:tcPr>
          <w:p w14:paraId="576E9719"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109 885</w:t>
            </w:r>
          </w:p>
        </w:tc>
        <w:tc>
          <w:tcPr>
            <w:tcW w:w="824" w:type="dxa"/>
          </w:tcPr>
          <w:p w14:paraId="48A77CE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24,3%</w:t>
            </w:r>
          </w:p>
        </w:tc>
        <w:tc>
          <w:tcPr>
            <w:tcW w:w="825" w:type="dxa"/>
            <w:noWrap/>
          </w:tcPr>
          <w:p w14:paraId="5C6FE6E3"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725 276</w:t>
            </w:r>
          </w:p>
        </w:tc>
        <w:tc>
          <w:tcPr>
            <w:tcW w:w="824" w:type="dxa"/>
            <w:noWrap/>
          </w:tcPr>
          <w:p w14:paraId="4BF9700D"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bg-BG"/>
              </w:rPr>
            </w:pPr>
            <w:r w:rsidRPr="006F3533">
              <w:rPr>
                <w:rFonts w:cs="Times New Roman"/>
                <w:b/>
                <w:bCs/>
                <w:color w:val="000000"/>
                <w:sz w:val="20"/>
                <w:szCs w:val="20"/>
                <w:lang w:val="bg-BG"/>
              </w:rPr>
              <w:t>36%</w:t>
            </w:r>
          </w:p>
        </w:tc>
        <w:tc>
          <w:tcPr>
            <w:tcW w:w="825" w:type="dxa"/>
            <w:noWrap/>
          </w:tcPr>
          <w:p w14:paraId="3B4C778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color w:val="000000"/>
                <w:sz w:val="20"/>
                <w:szCs w:val="20"/>
                <w:lang w:val="bg-BG"/>
              </w:rPr>
            </w:pPr>
            <w:r w:rsidRPr="006F3533">
              <w:rPr>
                <w:rFonts w:cs="Times New Roman"/>
                <w:b/>
                <w:bCs/>
                <w:color w:val="000000"/>
                <w:sz w:val="20"/>
                <w:szCs w:val="20"/>
                <w:lang w:val="bg-BG"/>
              </w:rPr>
              <w:t>898 698</w:t>
            </w:r>
          </w:p>
        </w:tc>
        <w:tc>
          <w:tcPr>
            <w:tcW w:w="825" w:type="dxa"/>
          </w:tcPr>
          <w:p w14:paraId="7F92DAA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b/>
                <w:bCs/>
                <w:color w:val="000000"/>
                <w:sz w:val="20"/>
                <w:szCs w:val="20"/>
                <w:lang w:val="bg-BG"/>
              </w:rPr>
            </w:pPr>
            <w:r w:rsidRPr="006F3533">
              <w:rPr>
                <w:rFonts w:cs="Times New Roman"/>
                <w:b/>
                <w:bCs/>
                <w:color w:val="000000"/>
                <w:sz w:val="20"/>
                <w:szCs w:val="20"/>
                <w:lang w:val="bg-BG"/>
              </w:rPr>
              <w:t>31,4%</w:t>
            </w:r>
          </w:p>
        </w:tc>
      </w:tr>
    </w:tbl>
    <w:p w14:paraId="4DB32CFA" w14:textId="77777777" w:rsidR="004B18B0" w:rsidRPr="006F3533" w:rsidRDefault="004B18B0" w:rsidP="004B18B0">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t xml:space="preserve">Източник: Изчисления на ИИИ при БАН с </w:t>
      </w:r>
      <w:proofErr w:type="spellStart"/>
      <w:r w:rsidRPr="006F3533">
        <w:rPr>
          <w:rFonts w:eastAsia="Calibri" w:cs="Times New Roman"/>
          <w:i/>
          <w:iCs/>
          <w:szCs w:val="24"/>
          <w:lang w:val="bg-BG" w:eastAsia="bg-BG"/>
        </w:rPr>
        <w:t>анонимизирани</w:t>
      </w:r>
      <w:proofErr w:type="spellEnd"/>
      <w:r w:rsidRPr="006F3533">
        <w:rPr>
          <w:rFonts w:eastAsia="Calibri" w:cs="Times New Roman"/>
          <w:i/>
          <w:iCs/>
          <w:szCs w:val="24"/>
          <w:lang w:val="bg-BG" w:eastAsia="bg-BG"/>
        </w:rPr>
        <w:t xml:space="preserve"> данни от НСИ от „Статистика на доходите и условията на живот (SILC)“ през 2023 г.</w:t>
      </w:r>
    </w:p>
    <w:p w14:paraId="6DD15247" w14:textId="77777777" w:rsidR="004B18B0" w:rsidRPr="006F3533" w:rsidRDefault="004B18B0" w:rsidP="004B18B0">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30</w:t>
      </w:r>
      <w:r w:rsidRPr="006F3533">
        <w:rPr>
          <w:rFonts w:cs="Times New Roman"/>
          <w:i/>
          <w:iCs/>
          <w:color w:val="0070C0"/>
          <w:szCs w:val="24"/>
          <w:lang w:val="bg-BG"/>
        </w:rPr>
        <w:fldChar w:fldCharType="end"/>
      </w:r>
      <w:r w:rsidRPr="006F3533">
        <w:rPr>
          <w:rFonts w:cs="Times New Roman"/>
          <w:i/>
          <w:iCs/>
          <w:color w:val="0070C0"/>
          <w:szCs w:val="24"/>
          <w:lang w:val="bg-BG"/>
        </w:rPr>
        <w:t>: Брой и дял на енергийно бедни домакинства по година на построяване на сградата и вид отоплителна система</w:t>
      </w:r>
    </w:p>
    <w:tbl>
      <w:tblPr>
        <w:tblStyle w:val="GridTable4-Accent5"/>
        <w:tblW w:w="9605" w:type="dxa"/>
        <w:jc w:val="center"/>
        <w:tblLayout w:type="fixed"/>
        <w:tblLook w:val="04A0" w:firstRow="1" w:lastRow="0" w:firstColumn="1" w:lastColumn="0" w:noHBand="0" w:noVBand="1"/>
      </w:tblPr>
      <w:tblGrid>
        <w:gridCol w:w="2102"/>
        <w:gridCol w:w="1250"/>
        <w:gridCol w:w="1250"/>
        <w:gridCol w:w="1250"/>
        <w:gridCol w:w="1251"/>
        <w:gridCol w:w="1250"/>
        <w:gridCol w:w="1252"/>
      </w:tblGrid>
      <w:tr w:rsidR="004B18B0" w:rsidRPr="006F3533" w14:paraId="536A8592" w14:textId="77777777" w:rsidTr="00541E06">
        <w:trPr>
          <w:cnfStyle w:val="100000000000" w:firstRow="1" w:lastRow="0" w:firstColumn="0" w:lastColumn="0" w:oddVBand="0" w:evenVBand="0" w:oddHBand="0" w:evenHBand="0" w:firstRowFirstColumn="0" w:firstRowLastColumn="0" w:lastRowFirstColumn="0" w:lastRowLastColumn="0"/>
          <w:trHeight w:val="1062"/>
          <w:jc w:val="center"/>
        </w:trPr>
        <w:tc>
          <w:tcPr>
            <w:cnfStyle w:val="001000000000" w:firstRow="0" w:lastRow="0" w:firstColumn="1" w:lastColumn="0" w:oddVBand="0" w:evenVBand="0" w:oddHBand="0" w:evenHBand="0" w:firstRowFirstColumn="0" w:firstRowLastColumn="0" w:lastRowFirstColumn="0" w:lastRowLastColumn="0"/>
            <w:tcW w:w="2102" w:type="dxa"/>
          </w:tcPr>
          <w:p w14:paraId="124E575F" w14:textId="77777777" w:rsidR="004B18B0" w:rsidRPr="006F3533" w:rsidRDefault="004B18B0" w:rsidP="00541E06">
            <w:pPr>
              <w:rPr>
                <w:rFonts w:cs="Times New Roman"/>
                <w:sz w:val="20"/>
                <w:szCs w:val="20"/>
                <w:lang w:val="bg-BG"/>
              </w:rPr>
            </w:pPr>
          </w:p>
        </w:tc>
        <w:tc>
          <w:tcPr>
            <w:tcW w:w="1250" w:type="dxa"/>
          </w:tcPr>
          <w:p w14:paraId="627A8870"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sz w:val="20"/>
                <w:szCs w:val="20"/>
                <w:lang w:val="bg-BG"/>
              </w:rPr>
              <w:t>От централен източник - топлофикационна мрежа</w:t>
            </w:r>
          </w:p>
        </w:tc>
        <w:tc>
          <w:tcPr>
            <w:tcW w:w="1250" w:type="dxa"/>
          </w:tcPr>
          <w:p w14:paraId="11D121FB"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sz w:val="20"/>
                <w:szCs w:val="20"/>
                <w:lang w:val="bg-BG"/>
              </w:rPr>
              <w:t>Локална отоплителна система</w:t>
            </w:r>
          </w:p>
        </w:tc>
        <w:tc>
          <w:tcPr>
            <w:tcW w:w="1250" w:type="dxa"/>
          </w:tcPr>
          <w:p w14:paraId="1F11663D"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sz w:val="20"/>
                <w:szCs w:val="20"/>
                <w:lang w:val="bg-BG"/>
              </w:rPr>
              <w:t>Камина, печки, климатици и други</w:t>
            </w:r>
          </w:p>
        </w:tc>
        <w:tc>
          <w:tcPr>
            <w:tcW w:w="1251" w:type="dxa"/>
          </w:tcPr>
          <w:p w14:paraId="798BF3A5"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sz w:val="20"/>
                <w:szCs w:val="20"/>
                <w:lang w:val="bg-BG"/>
              </w:rPr>
              <w:t>Преносими средства: радиатори, електрически печки и други</w:t>
            </w:r>
          </w:p>
        </w:tc>
        <w:tc>
          <w:tcPr>
            <w:tcW w:w="1250" w:type="dxa"/>
          </w:tcPr>
          <w:p w14:paraId="090EF7B5"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sz w:val="20"/>
                <w:szCs w:val="20"/>
                <w:lang w:val="bg-BG"/>
              </w:rPr>
              <w:t>Жилището не се отоплява</w:t>
            </w:r>
          </w:p>
        </w:tc>
        <w:tc>
          <w:tcPr>
            <w:tcW w:w="1252" w:type="dxa"/>
          </w:tcPr>
          <w:p w14:paraId="1E418A7C" w14:textId="77777777" w:rsidR="004B18B0" w:rsidRPr="006F3533" w:rsidRDefault="004B18B0" w:rsidP="00541E06">
            <w:pPr>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Всички</w:t>
            </w:r>
          </w:p>
        </w:tc>
      </w:tr>
      <w:tr w:rsidR="004B18B0" w:rsidRPr="006F3533" w14:paraId="7E4C709C" w14:textId="77777777" w:rsidTr="00541E06">
        <w:trPr>
          <w:cnfStyle w:val="000000100000" w:firstRow="0" w:lastRow="0" w:firstColumn="0" w:lastColumn="0" w:oddVBand="0" w:evenVBand="0" w:oddHBand="1" w:evenHBand="0" w:firstRowFirstColumn="0" w:firstRowLastColumn="0" w:lastRowFirstColumn="0" w:lastRowLastColumn="0"/>
          <w:trHeight w:val="204"/>
          <w:jc w:val="center"/>
        </w:trPr>
        <w:tc>
          <w:tcPr>
            <w:cnfStyle w:val="001000000000" w:firstRow="0" w:lastRow="0" w:firstColumn="1" w:lastColumn="0" w:oddVBand="0" w:evenVBand="0" w:oddHBand="0" w:evenHBand="0" w:firstRowFirstColumn="0" w:firstRowLastColumn="0" w:lastRowFirstColumn="0" w:lastRowLastColumn="0"/>
            <w:tcW w:w="9605" w:type="dxa"/>
            <w:gridSpan w:val="7"/>
          </w:tcPr>
          <w:p w14:paraId="389319AA" w14:textId="77777777" w:rsidR="004B18B0" w:rsidRPr="006F3533" w:rsidRDefault="004B18B0" w:rsidP="00541E06">
            <w:pPr>
              <w:jc w:val="center"/>
              <w:rPr>
                <w:rFonts w:cs="Times New Roman"/>
                <w:color w:val="000000"/>
                <w:sz w:val="20"/>
                <w:szCs w:val="20"/>
                <w:lang w:val="bg-BG"/>
              </w:rPr>
            </w:pPr>
            <w:r w:rsidRPr="006F3533">
              <w:rPr>
                <w:rFonts w:cs="Times New Roman"/>
                <w:color w:val="000000"/>
                <w:sz w:val="20"/>
                <w:szCs w:val="20"/>
                <w:lang w:val="bg-BG"/>
              </w:rPr>
              <w:t>Брой енергийно бедни домакинства</w:t>
            </w:r>
          </w:p>
        </w:tc>
      </w:tr>
      <w:tr w:rsidR="004B18B0" w:rsidRPr="006F3533" w14:paraId="6273712B" w14:textId="77777777" w:rsidTr="00541E06">
        <w:trPr>
          <w:trHeight w:val="204"/>
          <w:jc w:val="center"/>
        </w:trPr>
        <w:tc>
          <w:tcPr>
            <w:cnfStyle w:val="001000000000" w:firstRow="0" w:lastRow="0" w:firstColumn="1" w:lastColumn="0" w:oddVBand="0" w:evenVBand="0" w:oddHBand="0" w:evenHBand="0" w:firstRowFirstColumn="0" w:firstRowLastColumn="0" w:lastRowFirstColumn="0" w:lastRowLastColumn="0"/>
            <w:tcW w:w="2102" w:type="dxa"/>
          </w:tcPr>
          <w:p w14:paraId="5589196A" w14:textId="77777777" w:rsidR="004B18B0" w:rsidRPr="006F3533" w:rsidRDefault="004B18B0" w:rsidP="00541E06">
            <w:pPr>
              <w:rPr>
                <w:rFonts w:cs="Times New Roman"/>
                <w:sz w:val="20"/>
                <w:szCs w:val="20"/>
                <w:lang w:val="bg-BG" w:eastAsia="zh-CN"/>
              </w:rPr>
            </w:pPr>
            <w:r w:rsidRPr="006F3533">
              <w:rPr>
                <w:rFonts w:cs="Times New Roman"/>
                <w:sz w:val="20"/>
                <w:szCs w:val="20"/>
                <w:lang w:val="bg-BG"/>
              </w:rPr>
              <w:t>1945-1960</w:t>
            </w:r>
          </w:p>
        </w:tc>
        <w:tc>
          <w:tcPr>
            <w:tcW w:w="1250" w:type="dxa"/>
          </w:tcPr>
          <w:p w14:paraId="07A0E46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180</w:t>
            </w:r>
          </w:p>
        </w:tc>
        <w:tc>
          <w:tcPr>
            <w:tcW w:w="1250" w:type="dxa"/>
          </w:tcPr>
          <w:p w14:paraId="4266342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2556</w:t>
            </w:r>
          </w:p>
        </w:tc>
        <w:tc>
          <w:tcPr>
            <w:tcW w:w="1250" w:type="dxa"/>
          </w:tcPr>
          <w:p w14:paraId="65EBB0F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1143</w:t>
            </w:r>
          </w:p>
        </w:tc>
        <w:tc>
          <w:tcPr>
            <w:tcW w:w="1251" w:type="dxa"/>
          </w:tcPr>
          <w:p w14:paraId="1DF16DD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1250" w:type="dxa"/>
          </w:tcPr>
          <w:p w14:paraId="520FB71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1252" w:type="dxa"/>
          </w:tcPr>
          <w:p w14:paraId="3FEF82A3"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3879</w:t>
            </w:r>
          </w:p>
        </w:tc>
      </w:tr>
      <w:tr w:rsidR="004B18B0" w:rsidRPr="006F3533" w14:paraId="11AB2144" w14:textId="77777777" w:rsidTr="00541E06">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01C9632E" w14:textId="77777777" w:rsidR="004B18B0" w:rsidRPr="006F3533" w:rsidRDefault="004B18B0" w:rsidP="00541E06">
            <w:pPr>
              <w:rPr>
                <w:rFonts w:cs="Times New Roman"/>
                <w:sz w:val="20"/>
                <w:szCs w:val="20"/>
                <w:lang w:val="bg-BG"/>
              </w:rPr>
            </w:pPr>
            <w:r w:rsidRPr="006F3533">
              <w:rPr>
                <w:rFonts w:cs="Times New Roman"/>
                <w:sz w:val="20"/>
                <w:szCs w:val="20"/>
                <w:lang w:val="bg-BG"/>
              </w:rPr>
              <w:t>1961-1980</w:t>
            </w:r>
          </w:p>
        </w:tc>
        <w:tc>
          <w:tcPr>
            <w:tcW w:w="1250" w:type="dxa"/>
            <w:noWrap/>
          </w:tcPr>
          <w:p w14:paraId="25EE860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2065</w:t>
            </w:r>
          </w:p>
        </w:tc>
        <w:tc>
          <w:tcPr>
            <w:tcW w:w="1250" w:type="dxa"/>
            <w:noWrap/>
          </w:tcPr>
          <w:p w14:paraId="4A9945E4"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13704</w:t>
            </w:r>
          </w:p>
        </w:tc>
        <w:tc>
          <w:tcPr>
            <w:tcW w:w="1250" w:type="dxa"/>
          </w:tcPr>
          <w:p w14:paraId="751B09E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31890</w:t>
            </w:r>
          </w:p>
        </w:tc>
        <w:tc>
          <w:tcPr>
            <w:tcW w:w="1251" w:type="dxa"/>
          </w:tcPr>
          <w:p w14:paraId="2957C719"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1120</w:t>
            </w:r>
          </w:p>
        </w:tc>
        <w:tc>
          <w:tcPr>
            <w:tcW w:w="1250" w:type="dxa"/>
          </w:tcPr>
          <w:p w14:paraId="277DDE61"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1252" w:type="dxa"/>
          </w:tcPr>
          <w:p w14:paraId="22C8EFFA"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48778</w:t>
            </w:r>
          </w:p>
        </w:tc>
      </w:tr>
      <w:tr w:rsidR="004B18B0" w:rsidRPr="006F3533" w14:paraId="0A5312D5" w14:textId="77777777" w:rsidTr="00541E06">
        <w:trPr>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6D27E034" w14:textId="77777777" w:rsidR="004B18B0" w:rsidRPr="006F3533" w:rsidRDefault="004B18B0" w:rsidP="00541E06">
            <w:pPr>
              <w:rPr>
                <w:rFonts w:cs="Times New Roman"/>
                <w:sz w:val="20"/>
                <w:szCs w:val="20"/>
                <w:lang w:val="bg-BG"/>
              </w:rPr>
            </w:pPr>
            <w:r w:rsidRPr="006F3533">
              <w:rPr>
                <w:rFonts w:cs="Times New Roman"/>
                <w:sz w:val="20"/>
                <w:szCs w:val="20"/>
                <w:lang w:val="bg-BG"/>
              </w:rPr>
              <w:t>1981-2000</w:t>
            </w:r>
          </w:p>
        </w:tc>
        <w:tc>
          <w:tcPr>
            <w:tcW w:w="1250" w:type="dxa"/>
            <w:noWrap/>
          </w:tcPr>
          <w:p w14:paraId="2DD11511"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16316</w:t>
            </w:r>
          </w:p>
        </w:tc>
        <w:tc>
          <w:tcPr>
            <w:tcW w:w="1250" w:type="dxa"/>
            <w:noWrap/>
          </w:tcPr>
          <w:p w14:paraId="4921EF7D"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75626</w:t>
            </w:r>
          </w:p>
        </w:tc>
        <w:tc>
          <w:tcPr>
            <w:tcW w:w="1250" w:type="dxa"/>
          </w:tcPr>
          <w:p w14:paraId="35ED5EB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142566</w:t>
            </w:r>
          </w:p>
        </w:tc>
        <w:tc>
          <w:tcPr>
            <w:tcW w:w="1251" w:type="dxa"/>
          </w:tcPr>
          <w:p w14:paraId="6E58215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7909</w:t>
            </w:r>
          </w:p>
        </w:tc>
        <w:tc>
          <w:tcPr>
            <w:tcW w:w="1250" w:type="dxa"/>
          </w:tcPr>
          <w:p w14:paraId="46041F0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326</w:t>
            </w:r>
          </w:p>
        </w:tc>
        <w:tc>
          <w:tcPr>
            <w:tcW w:w="1252" w:type="dxa"/>
          </w:tcPr>
          <w:p w14:paraId="27267B4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242743</w:t>
            </w:r>
          </w:p>
        </w:tc>
      </w:tr>
      <w:tr w:rsidR="004B18B0" w:rsidRPr="006F3533" w14:paraId="2ECA500B" w14:textId="77777777" w:rsidTr="00541E06">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2102" w:type="dxa"/>
          </w:tcPr>
          <w:p w14:paraId="30061AEB" w14:textId="77777777" w:rsidR="004B18B0" w:rsidRPr="006F3533" w:rsidRDefault="004B18B0" w:rsidP="00541E06">
            <w:pPr>
              <w:rPr>
                <w:rFonts w:cs="Times New Roman"/>
                <w:sz w:val="20"/>
                <w:szCs w:val="20"/>
                <w:lang w:val="bg-BG"/>
              </w:rPr>
            </w:pPr>
            <w:r w:rsidRPr="006F3533">
              <w:rPr>
                <w:rFonts w:cs="Times New Roman"/>
                <w:sz w:val="20"/>
                <w:szCs w:val="20"/>
                <w:lang w:val="bg-BG"/>
              </w:rPr>
              <w:t>2001-2020</w:t>
            </w:r>
          </w:p>
        </w:tc>
        <w:tc>
          <w:tcPr>
            <w:tcW w:w="1250" w:type="dxa"/>
            <w:noWrap/>
          </w:tcPr>
          <w:p w14:paraId="7543834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39759</w:t>
            </w:r>
          </w:p>
        </w:tc>
        <w:tc>
          <w:tcPr>
            <w:tcW w:w="1250" w:type="dxa"/>
            <w:noWrap/>
          </w:tcPr>
          <w:p w14:paraId="3A106029"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115582</w:t>
            </w:r>
          </w:p>
        </w:tc>
        <w:tc>
          <w:tcPr>
            <w:tcW w:w="1250" w:type="dxa"/>
          </w:tcPr>
          <w:p w14:paraId="2145DA3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175504</w:t>
            </w:r>
          </w:p>
        </w:tc>
        <w:tc>
          <w:tcPr>
            <w:tcW w:w="1251" w:type="dxa"/>
          </w:tcPr>
          <w:p w14:paraId="0FD22BB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9556</w:t>
            </w:r>
          </w:p>
        </w:tc>
        <w:tc>
          <w:tcPr>
            <w:tcW w:w="1250" w:type="dxa"/>
          </w:tcPr>
          <w:p w14:paraId="0CE4690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282</w:t>
            </w:r>
          </w:p>
        </w:tc>
        <w:tc>
          <w:tcPr>
            <w:tcW w:w="1252" w:type="dxa"/>
          </w:tcPr>
          <w:p w14:paraId="319EA91B"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340683</w:t>
            </w:r>
          </w:p>
        </w:tc>
      </w:tr>
      <w:tr w:rsidR="004B18B0" w:rsidRPr="006F3533" w14:paraId="72194822" w14:textId="77777777" w:rsidTr="00541E06">
        <w:trPr>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226D8AAB" w14:textId="77777777" w:rsidR="004B18B0" w:rsidRPr="006F3533" w:rsidRDefault="004B18B0" w:rsidP="00541E06">
            <w:pPr>
              <w:rPr>
                <w:rFonts w:cs="Times New Roman"/>
                <w:sz w:val="20"/>
                <w:szCs w:val="20"/>
                <w:lang w:val="bg-BG"/>
              </w:rPr>
            </w:pPr>
            <w:r w:rsidRPr="006F3533">
              <w:rPr>
                <w:rFonts w:cs="Times New Roman"/>
                <w:sz w:val="20"/>
                <w:szCs w:val="20"/>
                <w:lang w:val="bg-BG"/>
              </w:rPr>
              <w:t>2021 или след това</w:t>
            </w:r>
          </w:p>
        </w:tc>
        <w:tc>
          <w:tcPr>
            <w:tcW w:w="1250" w:type="dxa"/>
            <w:noWrap/>
          </w:tcPr>
          <w:p w14:paraId="5F6D7F56"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22082</w:t>
            </w:r>
          </w:p>
        </w:tc>
        <w:tc>
          <w:tcPr>
            <w:tcW w:w="1250" w:type="dxa"/>
            <w:noWrap/>
          </w:tcPr>
          <w:p w14:paraId="06BAEF7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66063</w:t>
            </w:r>
          </w:p>
        </w:tc>
        <w:tc>
          <w:tcPr>
            <w:tcW w:w="1250" w:type="dxa"/>
          </w:tcPr>
          <w:p w14:paraId="4C809CC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147457</w:t>
            </w:r>
          </w:p>
        </w:tc>
        <w:tc>
          <w:tcPr>
            <w:tcW w:w="1251" w:type="dxa"/>
          </w:tcPr>
          <w:p w14:paraId="7D0BC9F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5108</w:t>
            </w:r>
          </w:p>
        </w:tc>
        <w:tc>
          <w:tcPr>
            <w:tcW w:w="1250" w:type="dxa"/>
          </w:tcPr>
          <w:p w14:paraId="484F3D94"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1163</w:t>
            </w:r>
          </w:p>
        </w:tc>
        <w:tc>
          <w:tcPr>
            <w:tcW w:w="1252" w:type="dxa"/>
          </w:tcPr>
          <w:p w14:paraId="22FA299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241873</w:t>
            </w:r>
          </w:p>
        </w:tc>
      </w:tr>
      <w:tr w:rsidR="004B18B0" w:rsidRPr="006F3533" w14:paraId="2D6FA3B3" w14:textId="77777777" w:rsidTr="00541E06">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4EF143DA" w14:textId="77777777" w:rsidR="004B18B0" w:rsidRPr="006F3533" w:rsidRDefault="004B18B0" w:rsidP="00541E06">
            <w:pPr>
              <w:rPr>
                <w:rFonts w:cs="Times New Roman"/>
                <w:sz w:val="20"/>
                <w:szCs w:val="20"/>
                <w:lang w:val="bg-BG"/>
              </w:rPr>
            </w:pPr>
            <w:r w:rsidRPr="006F3533">
              <w:rPr>
                <w:rFonts w:cs="Times New Roman"/>
                <w:color w:val="000000"/>
                <w:sz w:val="20"/>
                <w:szCs w:val="20"/>
                <w:lang w:val="bg-BG"/>
              </w:rPr>
              <w:t>Не знам</w:t>
            </w:r>
          </w:p>
        </w:tc>
        <w:tc>
          <w:tcPr>
            <w:tcW w:w="1250" w:type="dxa"/>
            <w:noWrap/>
          </w:tcPr>
          <w:p w14:paraId="18C4D3A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3653</w:t>
            </w:r>
          </w:p>
        </w:tc>
        <w:tc>
          <w:tcPr>
            <w:tcW w:w="1250" w:type="dxa"/>
            <w:noWrap/>
          </w:tcPr>
          <w:p w14:paraId="51F8256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4946</w:t>
            </w:r>
          </w:p>
        </w:tc>
        <w:tc>
          <w:tcPr>
            <w:tcW w:w="1250" w:type="dxa"/>
          </w:tcPr>
          <w:p w14:paraId="37C0A130"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12141</w:t>
            </w:r>
          </w:p>
        </w:tc>
        <w:tc>
          <w:tcPr>
            <w:tcW w:w="1251" w:type="dxa"/>
          </w:tcPr>
          <w:p w14:paraId="73F47910"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1250" w:type="dxa"/>
          </w:tcPr>
          <w:p w14:paraId="04D557B9"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sz w:val="20"/>
                <w:szCs w:val="20"/>
                <w:lang w:val="bg-BG"/>
              </w:rPr>
              <w:t>-</w:t>
            </w:r>
          </w:p>
        </w:tc>
        <w:tc>
          <w:tcPr>
            <w:tcW w:w="1252" w:type="dxa"/>
          </w:tcPr>
          <w:p w14:paraId="0792FFE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20741</w:t>
            </w:r>
          </w:p>
        </w:tc>
      </w:tr>
      <w:tr w:rsidR="004B18B0" w:rsidRPr="006F3533" w14:paraId="318B8C17" w14:textId="77777777" w:rsidTr="00541E06">
        <w:trPr>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2EE7C3A6" w14:textId="77777777" w:rsidR="004B18B0" w:rsidRPr="006F3533" w:rsidRDefault="004B18B0" w:rsidP="00541E06">
            <w:pPr>
              <w:rPr>
                <w:rFonts w:cs="Times New Roman"/>
                <w:sz w:val="20"/>
                <w:szCs w:val="20"/>
                <w:lang w:val="bg-BG"/>
              </w:rPr>
            </w:pPr>
            <w:r w:rsidRPr="006F3533">
              <w:rPr>
                <w:rFonts w:cs="Times New Roman"/>
                <w:color w:val="000000"/>
                <w:sz w:val="20"/>
                <w:szCs w:val="20"/>
                <w:lang w:val="bg-BG"/>
              </w:rPr>
              <w:t>Всички</w:t>
            </w:r>
          </w:p>
        </w:tc>
        <w:tc>
          <w:tcPr>
            <w:tcW w:w="1250" w:type="dxa"/>
            <w:noWrap/>
          </w:tcPr>
          <w:p w14:paraId="0C4984E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84055</w:t>
            </w:r>
          </w:p>
        </w:tc>
        <w:tc>
          <w:tcPr>
            <w:tcW w:w="1250" w:type="dxa"/>
            <w:noWrap/>
          </w:tcPr>
          <w:p w14:paraId="7B7D7F31"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278478</w:t>
            </w:r>
          </w:p>
        </w:tc>
        <w:tc>
          <w:tcPr>
            <w:tcW w:w="1250" w:type="dxa"/>
          </w:tcPr>
          <w:p w14:paraId="188567C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510701</w:t>
            </w:r>
          </w:p>
        </w:tc>
        <w:tc>
          <w:tcPr>
            <w:tcW w:w="1251" w:type="dxa"/>
          </w:tcPr>
          <w:p w14:paraId="50E9E86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23693</w:t>
            </w:r>
          </w:p>
        </w:tc>
        <w:tc>
          <w:tcPr>
            <w:tcW w:w="1250" w:type="dxa"/>
          </w:tcPr>
          <w:p w14:paraId="38864F80"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1771</w:t>
            </w:r>
          </w:p>
        </w:tc>
        <w:tc>
          <w:tcPr>
            <w:tcW w:w="1252" w:type="dxa"/>
          </w:tcPr>
          <w:p w14:paraId="13A4BA4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bg-BG"/>
              </w:rPr>
            </w:pPr>
            <w:r w:rsidRPr="006F3533">
              <w:rPr>
                <w:rFonts w:cs="Times New Roman"/>
                <w:color w:val="000000"/>
                <w:sz w:val="20"/>
                <w:szCs w:val="20"/>
                <w:lang w:val="bg-BG"/>
              </w:rPr>
              <w:t>898698</w:t>
            </w:r>
          </w:p>
        </w:tc>
      </w:tr>
      <w:tr w:rsidR="004B18B0" w:rsidRPr="006F3533" w14:paraId="39497976" w14:textId="77777777" w:rsidTr="00541E06">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9605" w:type="dxa"/>
            <w:gridSpan w:val="7"/>
          </w:tcPr>
          <w:p w14:paraId="518A14B6" w14:textId="77777777" w:rsidR="004B18B0" w:rsidRPr="006F3533" w:rsidRDefault="004B18B0" w:rsidP="00541E06">
            <w:pPr>
              <w:jc w:val="center"/>
              <w:rPr>
                <w:rFonts w:cs="Times New Roman"/>
                <w:color w:val="000000"/>
                <w:sz w:val="20"/>
                <w:szCs w:val="20"/>
                <w:lang w:val="bg-BG"/>
              </w:rPr>
            </w:pPr>
            <w:r w:rsidRPr="006F3533">
              <w:rPr>
                <w:rFonts w:cs="Times New Roman"/>
                <w:color w:val="000000"/>
                <w:sz w:val="20"/>
                <w:szCs w:val="20"/>
                <w:lang w:val="bg-BG"/>
              </w:rPr>
              <w:t>Брой домакинства общо</w:t>
            </w:r>
          </w:p>
        </w:tc>
      </w:tr>
      <w:tr w:rsidR="004B18B0" w:rsidRPr="006F3533" w14:paraId="237CD0DB" w14:textId="77777777" w:rsidTr="00541E06">
        <w:trPr>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52C57A8F" w14:textId="77777777" w:rsidR="004B18B0" w:rsidRPr="006F3533" w:rsidRDefault="004B18B0" w:rsidP="00541E06">
            <w:pPr>
              <w:rPr>
                <w:rFonts w:cs="Times New Roman"/>
                <w:color w:val="000000"/>
                <w:sz w:val="20"/>
                <w:szCs w:val="20"/>
                <w:lang w:val="bg-BG"/>
              </w:rPr>
            </w:pPr>
            <w:r w:rsidRPr="006F3533">
              <w:rPr>
                <w:rFonts w:cs="Times New Roman"/>
                <w:sz w:val="20"/>
                <w:szCs w:val="20"/>
                <w:lang w:val="bg-BG"/>
              </w:rPr>
              <w:t>1945-1960</w:t>
            </w:r>
          </w:p>
        </w:tc>
        <w:tc>
          <w:tcPr>
            <w:tcW w:w="1250" w:type="dxa"/>
            <w:noWrap/>
          </w:tcPr>
          <w:p w14:paraId="7CFB9FD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485</w:t>
            </w:r>
          </w:p>
        </w:tc>
        <w:tc>
          <w:tcPr>
            <w:tcW w:w="1250" w:type="dxa"/>
            <w:noWrap/>
          </w:tcPr>
          <w:p w14:paraId="5C308194"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5500</w:t>
            </w:r>
          </w:p>
        </w:tc>
        <w:tc>
          <w:tcPr>
            <w:tcW w:w="1250" w:type="dxa"/>
          </w:tcPr>
          <w:p w14:paraId="4BE7EFB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3457</w:t>
            </w:r>
          </w:p>
        </w:tc>
        <w:tc>
          <w:tcPr>
            <w:tcW w:w="1251" w:type="dxa"/>
          </w:tcPr>
          <w:p w14:paraId="1BE34CD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p>
        </w:tc>
        <w:tc>
          <w:tcPr>
            <w:tcW w:w="1250" w:type="dxa"/>
          </w:tcPr>
          <w:p w14:paraId="7A07B163"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p>
        </w:tc>
        <w:tc>
          <w:tcPr>
            <w:tcW w:w="1252" w:type="dxa"/>
          </w:tcPr>
          <w:p w14:paraId="142D28A4"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9442</w:t>
            </w:r>
          </w:p>
        </w:tc>
      </w:tr>
      <w:tr w:rsidR="004B18B0" w:rsidRPr="006F3533" w14:paraId="04D33740" w14:textId="77777777" w:rsidTr="00541E06">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06651AA8" w14:textId="77777777" w:rsidR="004B18B0" w:rsidRPr="006F3533" w:rsidRDefault="004B18B0" w:rsidP="00541E06">
            <w:pPr>
              <w:rPr>
                <w:rFonts w:cs="Times New Roman"/>
                <w:color w:val="000000"/>
                <w:sz w:val="20"/>
                <w:szCs w:val="20"/>
                <w:lang w:val="bg-BG"/>
              </w:rPr>
            </w:pPr>
            <w:r w:rsidRPr="006F3533">
              <w:rPr>
                <w:rFonts w:cs="Times New Roman"/>
                <w:sz w:val="20"/>
                <w:szCs w:val="20"/>
                <w:lang w:val="bg-BG"/>
              </w:rPr>
              <w:t>1961-1980</w:t>
            </w:r>
          </w:p>
        </w:tc>
        <w:tc>
          <w:tcPr>
            <w:tcW w:w="1250" w:type="dxa"/>
            <w:noWrap/>
          </w:tcPr>
          <w:p w14:paraId="6FBC623D"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4812</w:t>
            </w:r>
          </w:p>
        </w:tc>
        <w:tc>
          <w:tcPr>
            <w:tcW w:w="1250" w:type="dxa"/>
            <w:noWrap/>
          </w:tcPr>
          <w:p w14:paraId="2911BBBE"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37249</w:t>
            </w:r>
          </w:p>
        </w:tc>
        <w:tc>
          <w:tcPr>
            <w:tcW w:w="1250" w:type="dxa"/>
          </w:tcPr>
          <w:p w14:paraId="285C2BF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61097</w:t>
            </w:r>
          </w:p>
        </w:tc>
        <w:tc>
          <w:tcPr>
            <w:tcW w:w="1251" w:type="dxa"/>
          </w:tcPr>
          <w:p w14:paraId="731032B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2107</w:t>
            </w:r>
          </w:p>
        </w:tc>
        <w:tc>
          <w:tcPr>
            <w:tcW w:w="1250" w:type="dxa"/>
          </w:tcPr>
          <w:p w14:paraId="4F76A45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p>
        </w:tc>
        <w:tc>
          <w:tcPr>
            <w:tcW w:w="1252" w:type="dxa"/>
          </w:tcPr>
          <w:p w14:paraId="158AB1C9"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105264</w:t>
            </w:r>
          </w:p>
        </w:tc>
      </w:tr>
      <w:tr w:rsidR="004B18B0" w:rsidRPr="006F3533" w14:paraId="18944936" w14:textId="77777777" w:rsidTr="00541E06">
        <w:trPr>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35FB53D0" w14:textId="77777777" w:rsidR="004B18B0" w:rsidRPr="006F3533" w:rsidRDefault="004B18B0" w:rsidP="00541E06">
            <w:pPr>
              <w:rPr>
                <w:rFonts w:cs="Times New Roman"/>
                <w:color w:val="000000"/>
                <w:sz w:val="20"/>
                <w:szCs w:val="20"/>
                <w:lang w:val="bg-BG"/>
              </w:rPr>
            </w:pPr>
            <w:r w:rsidRPr="006F3533">
              <w:rPr>
                <w:rFonts w:cs="Times New Roman"/>
                <w:sz w:val="20"/>
                <w:szCs w:val="20"/>
                <w:lang w:val="bg-BG"/>
              </w:rPr>
              <w:t>1981-2000</w:t>
            </w:r>
          </w:p>
        </w:tc>
        <w:tc>
          <w:tcPr>
            <w:tcW w:w="1250" w:type="dxa"/>
            <w:noWrap/>
          </w:tcPr>
          <w:p w14:paraId="05CB29EF"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80526</w:t>
            </w:r>
          </w:p>
        </w:tc>
        <w:tc>
          <w:tcPr>
            <w:tcW w:w="1250" w:type="dxa"/>
            <w:noWrap/>
          </w:tcPr>
          <w:p w14:paraId="5E14615B"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218759</w:t>
            </w:r>
          </w:p>
        </w:tc>
        <w:tc>
          <w:tcPr>
            <w:tcW w:w="1250" w:type="dxa"/>
          </w:tcPr>
          <w:p w14:paraId="4EE7CE5A"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332079</w:t>
            </w:r>
          </w:p>
        </w:tc>
        <w:tc>
          <w:tcPr>
            <w:tcW w:w="1251" w:type="dxa"/>
          </w:tcPr>
          <w:p w14:paraId="2DE43AE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16652</w:t>
            </w:r>
          </w:p>
        </w:tc>
        <w:tc>
          <w:tcPr>
            <w:tcW w:w="1250" w:type="dxa"/>
          </w:tcPr>
          <w:p w14:paraId="27B53C9D"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326</w:t>
            </w:r>
          </w:p>
        </w:tc>
        <w:tc>
          <w:tcPr>
            <w:tcW w:w="1252" w:type="dxa"/>
          </w:tcPr>
          <w:p w14:paraId="6EE3147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648342</w:t>
            </w:r>
          </w:p>
        </w:tc>
      </w:tr>
      <w:tr w:rsidR="004B18B0" w:rsidRPr="006F3533" w14:paraId="0169DB12" w14:textId="77777777" w:rsidTr="00541E06">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0BC95065" w14:textId="77777777" w:rsidR="004B18B0" w:rsidRPr="006F3533" w:rsidRDefault="004B18B0" w:rsidP="00541E06">
            <w:pPr>
              <w:rPr>
                <w:rFonts w:cs="Times New Roman"/>
                <w:color w:val="000000"/>
                <w:sz w:val="20"/>
                <w:szCs w:val="20"/>
                <w:lang w:val="bg-BG"/>
              </w:rPr>
            </w:pPr>
            <w:r w:rsidRPr="006F3533">
              <w:rPr>
                <w:rFonts w:cs="Times New Roman"/>
                <w:sz w:val="20"/>
                <w:szCs w:val="20"/>
                <w:lang w:val="bg-BG"/>
              </w:rPr>
              <w:t>2001-2020</w:t>
            </w:r>
          </w:p>
        </w:tc>
        <w:tc>
          <w:tcPr>
            <w:tcW w:w="1250" w:type="dxa"/>
            <w:noWrap/>
          </w:tcPr>
          <w:p w14:paraId="451DF9E0"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245672</w:t>
            </w:r>
          </w:p>
        </w:tc>
        <w:tc>
          <w:tcPr>
            <w:tcW w:w="1250" w:type="dxa"/>
            <w:noWrap/>
          </w:tcPr>
          <w:p w14:paraId="2A07CF48"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356605</w:t>
            </w:r>
          </w:p>
        </w:tc>
        <w:tc>
          <w:tcPr>
            <w:tcW w:w="1250" w:type="dxa"/>
          </w:tcPr>
          <w:p w14:paraId="08A7CCE2"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529788</w:t>
            </w:r>
          </w:p>
        </w:tc>
        <w:tc>
          <w:tcPr>
            <w:tcW w:w="1251" w:type="dxa"/>
          </w:tcPr>
          <w:p w14:paraId="286BB7C5"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28694</w:t>
            </w:r>
          </w:p>
        </w:tc>
        <w:tc>
          <w:tcPr>
            <w:tcW w:w="1250" w:type="dxa"/>
          </w:tcPr>
          <w:p w14:paraId="4775C6D9"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736</w:t>
            </w:r>
          </w:p>
        </w:tc>
        <w:tc>
          <w:tcPr>
            <w:tcW w:w="1252" w:type="dxa"/>
          </w:tcPr>
          <w:p w14:paraId="0C5A5B36"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1161494</w:t>
            </w:r>
          </w:p>
        </w:tc>
      </w:tr>
      <w:tr w:rsidR="004B18B0" w:rsidRPr="006F3533" w14:paraId="5DCED5B9" w14:textId="77777777" w:rsidTr="00541E06">
        <w:trPr>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5505FAB5" w14:textId="77777777" w:rsidR="004B18B0" w:rsidRPr="006F3533" w:rsidRDefault="004B18B0" w:rsidP="00541E06">
            <w:pPr>
              <w:rPr>
                <w:rFonts w:cs="Times New Roman"/>
                <w:color w:val="000000"/>
                <w:sz w:val="20"/>
                <w:szCs w:val="20"/>
                <w:lang w:val="bg-BG"/>
              </w:rPr>
            </w:pPr>
            <w:r w:rsidRPr="006F3533">
              <w:rPr>
                <w:rFonts w:cs="Times New Roman"/>
                <w:sz w:val="20"/>
                <w:szCs w:val="20"/>
                <w:lang w:val="bg-BG"/>
              </w:rPr>
              <w:t>2021 или след това</w:t>
            </w:r>
          </w:p>
        </w:tc>
        <w:tc>
          <w:tcPr>
            <w:tcW w:w="1250" w:type="dxa"/>
            <w:noWrap/>
          </w:tcPr>
          <w:p w14:paraId="616FE24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201012</w:t>
            </w:r>
          </w:p>
        </w:tc>
        <w:tc>
          <w:tcPr>
            <w:tcW w:w="1250" w:type="dxa"/>
            <w:noWrap/>
          </w:tcPr>
          <w:p w14:paraId="1C495C2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217428</w:t>
            </w:r>
          </w:p>
        </w:tc>
        <w:tc>
          <w:tcPr>
            <w:tcW w:w="1250" w:type="dxa"/>
          </w:tcPr>
          <w:p w14:paraId="4561C04D"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438762</w:t>
            </w:r>
          </w:p>
        </w:tc>
        <w:tc>
          <w:tcPr>
            <w:tcW w:w="1251" w:type="dxa"/>
          </w:tcPr>
          <w:p w14:paraId="521B2C47"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17089</w:t>
            </w:r>
          </w:p>
        </w:tc>
        <w:tc>
          <w:tcPr>
            <w:tcW w:w="1250" w:type="dxa"/>
          </w:tcPr>
          <w:p w14:paraId="777E859E"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1163</w:t>
            </w:r>
          </w:p>
        </w:tc>
        <w:tc>
          <w:tcPr>
            <w:tcW w:w="1252" w:type="dxa"/>
          </w:tcPr>
          <w:p w14:paraId="4BD8F8D5"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875453</w:t>
            </w:r>
          </w:p>
        </w:tc>
      </w:tr>
      <w:tr w:rsidR="004B18B0" w:rsidRPr="006F3533" w14:paraId="274B70CE" w14:textId="77777777" w:rsidTr="00541E06">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62EA0BF2" w14:textId="77777777" w:rsidR="004B18B0" w:rsidRPr="006F3533" w:rsidRDefault="004B18B0" w:rsidP="00541E06">
            <w:pPr>
              <w:rPr>
                <w:rFonts w:cs="Times New Roman"/>
                <w:color w:val="000000"/>
                <w:sz w:val="20"/>
                <w:szCs w:val="20"/>
                <w:lang w:val="bg-BG"/>
              </w:rPr>
            </w:pPr>
            <w:r w:rsidRPr="006F3533">
              <w:rPr>
                <w:rFonts w:cs="Times New Roman"/>
                <w:color w:val="000000"/>
                <w:sz w:val="20"/>
                <w:szCs w:val="20"/>
                <w:lang w:val="bg-BG"/>
              </w:rPr>
              <w:t>Не знам</w:t>
            </w:r>
          </w:p>
        </w:tc>
        <w:tc>
          <w:tcPr>
            <w:tcW w:w="1250" w:type="dxa"/>
            <w:noWrap/>
          </w:tcPr>
          <w:p w14:paraId="47D938C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14767</w:t>
            </w:r>
          </w:p>
        </w:tc>
        <w:tc>
          <w:tcPr>
            <w:tcW w:w="1250" w:type="dxa"/>
            <w:noWrap/>
          </w:tcPr>
          <w:p w14:paraId="7363F96A"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13389</w:t>
            </w:r>
          </w:p>
        </w:tc>
        <w:tc>
          <w:tcPr>
            <w:tcW w:w="1250" w:type="dxa"/>
          </w:tcPr>
          <w:p w14:paraId="5D645084"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35682</w:t>
            </w:r>
          </w:p>
        </w:tc>
        <w:tc>
          <w:tcPr>
            <w:tcW w:w="1251" w:type="dxa"/>
          </w:tcPr>
          <w:p w14:paraId="6C71BF47"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1874</w:t>
            </w:r>
          </w:p>
        </w:tc>
        <w:tc>
          <w:tcPr>
            <w:tcW w:w="1250" w:type="dxa"/>
          </w:tcPr>
          <w:p w14:paraId="62C3F323"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p>
        </w:tc>
        <w:tc>
          <w:tcPr>
            <w:tcW w:w="1252" w:type="dxa"/>
          </w:tcPr>
          <w:p w14:paraId="125378BC" w14:textId="77777777" w:rsidR="004B18B0" w:rsidRPr="006F3533" w:rsidRDefault="004B18B0" w:rsidP="00541E06">
            <w:pPr>
              <w:jc w:val="center"/>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65713</w:t>
            </w:r>
          </w:p>
        </w:tc>
      </w:tr>
      <w:tr w:rsidR="004B18B0" w:rsidRPr="006F3533" w14:paraId="15A6ACC1" w14:textId="77777777" w:rsidTr="00541E06">
        <w:trPr>
          <w:trHeight w:val="248"/>
          <w:jc w:val="center"/>
        </w:trPr>
        <w:tc>
          <w:tcPr>
            <w:cnfStyle w:val="001000000000" w:firstRow="0" w:lastRow="0" w:firstColumn="1" w:lastColumn="0" w:oddVBand="0" w:evenVBand="0" w:oddHBand="0" w:evenHBand="0" w:firstRowFirstColumn="0" w:firstRowLastColumn="0" w:lastRowFirstColumn="0" w:lastRowLastColumn="0"/>
            <w:tcW w:w="2102" w:type="dxa"/>
          </w:tcPr>
          <w:p w14:paraId="143364A2" w14:textId="77777777" w:rsidR="004B18B0" w:rsidRPr="006F3533" w:rsidRDefault="004B18B0" w:rsidP="00541E06">
            <w:pPr>
              <w:rPr>
                <w:rFonts w:cs="Times New Roman"/>
                <w:color w:val="000000"/>
                <w:sz w:val="20"/>
                <w:szCs w:val="20"/>
                <w:lang w:val="bg-BG"/>
              </w:rPr>
            </w:pPr>
            <w:r w:rsidRPr="006F3533">
              <w:rPr>
                <w:rFonts w:cs="Times New Roman"/>
                <w:color w:val="000000"/>
                <w:sz w:val="20"/>
                <w:szCs w:val="20"/>
                <w:lang w:val="bg-BG"/>
              </w:rPr>
              <w:t>Всички</w:t>
            </w:r>
          </w:p>
        </w:tc>
        <w:tc>
          <w:tcPr>
            <w:tcW w:w="1250" w:type="dxa"/>
            <w:noWrap/>
          </w:tcPr>
          <w:p w14:paraId="12A84D82"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547274</w:t>
            </w:r>
          </w:p>
        </w:tc>
        <w:tc>
          <w:tcPr>
            <w:tcW w:w="1250" w:type="dxa"/>
            <w:noWrap/>
          </w:tcPr>
          <w:p w14:paraId="5DB21F9C"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848929</w:t>
            </w:r>
          </w:p>
        </w:tc>
        <w:tc>
          <w:tcPr>
            <w:tcW w:w="1250" w:type="dxa"/>
          </w:tcPr>
          <w:p w14:paraId="1573840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1400865</w:t>
            </w:r>
          </w:p>
        </w:tc>
        <w:tc>
          <w:tcPr>
            <w:tcW w:w="1251" w:type="dxa"/>
          </w:tcPr>
          <w:p w14:paraId="0B9CF104"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66415</w:t>
            </w:r>
          </w:p>
        </w:tc>
        <w:tc>
          <w:tcPr>
            <w:tcW w:w="1250" w:type="dxa"/>
          </w:tcPr>
          <w:p w14:paraId="1ED6CC38"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2225</w:t>
            </w:r>
          </w:p>
        </w:tc>
        <w:tc>
          <w:tcPr>
            <w:tcW w:w="1252" w:type="dxa"/>
          </w:tcPr>
          <w:p w14:paraId="316548CD" w14:textId="77777777" w:rsidR="004B18B0" w:rsidRPr="006F3533" w:rsidRDefault="004B18B0" w:rsidP="00541E06">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lang w:val="bg-BG"/>
              </w:rPr>
            </w:pPr>
            <w:r w:rsidRPr="006F3533">
              <w:rPr>
                <w:rFonts w:cs="Times New Roman"/>
                <w:color w:val="000000"/>
                <w:sz w:val="20"/>
                <w:szCs w:val="20"/>
                <w:lang w:val="bg-BG"/>
              </w:rPr>
              <w:t>2865708</w:t>
            </w:r>
          </w:p>
        </w:tc>
      </w:tr>
    </w:tbl>
    <w:p w14:paraId="363E1825" w14:textId="77777777" w:rsidR="004B18B0" w:rsidRPr="006F3533" w:rsidRDefault="004B18B0" w:rsidP="004B18B0">
      <w:pPr>
        <w:spacing w:after="100" w:afterAutospacing="1" w:line="240" w:lineRule="auto"/>
        <w:jc w:val="right"/>
        <w:rPr>
          <w:rFonts w:eastAsia="Calibri" w:cs="Times New Roman"/>
          <w:i/>
          <w:iCs/>
          <w:szCs w:val="24"/>
          <w:lang w:val="bg-BG" w:eastAsia="bg-BG"/>
        </w:rPr>
      </w:pPr>
      <w:r w:rsidRPr="006F3533">
        <w:rPr>
          <w:rFonts w:eastAsia="Calibri" w:cs="Times New Roman"/>
          <w:i/>
          <w:iCs/>
          <w:szCs w:val="24"/>
          <w:lang w:val="bg-BG" w:eastAsia="bg-BG"/>
        </w:rPr>
        <w:lastRenderedPageBreak/>
        <w:t xml:space="preserve">Източник: Изчисления на ИИИ при БАН с </w:t>
      </w:r>
      <w:proofErr w:type="spellStart"/>
      <w:r w:rsidRPr="006F3533">
        <w:rPr>
          <w:rFonts w:eastAsia="Calibri" w:cs="Times New Roman"/>
          <w:i/>
          <w:iCs/>
          <w:szCs w:val="24"/>
          <w:lang w:val="bg-BG" w:eastAsia="bg-BG"/>
        </w:rPr>
        <w:t>анонимизирани</w:t>
      </w:r>
      <w:proofErr w:type="spellEnd"/>
      <w:r w:rsidRPr="006F3533">
        <w:rPr>
          <w:rFonts w:eastAsia="Calibri" w:cs="Times New Roman"/>
          <w:i/>
          <w:iCs/>
          <w:szCs w:val="24"/>
          <w:lang w:val="bg-BG" w:eastAsia="bg-BG"/>
        </w:rPr>
        <w:t xml:space="preserve"> данни от НСИ от „Статистика на доходите и условията на живот (SILC)“ през 2023 г.</w:t>
      </w:r>
    </w:p>
    <w:p w14:paraId="0731077B" w14:textId="1CAD53F3" w:rsidR="004B18B0" w:rsidRPr="006F3533" w:rsidRDefault="004B18B0" w:rsidP="004B18B0">
      <w:pPr>
        <w:pStyle w:val="Heading2"/>
        <w:jc w:val="both"/>
        <w:rPr>
          <w:lang w:val="bg-BG"/>
        </w:rPr>
      </w:pPr>
      <w:bookmarkStart w:id="162" w:name="_Toc217837149"/>
      <w:bookmarkStart w:id="163" w:name="_Toc217888802"/>
      <w:r w:rsidRPr="006F3533">
        <w:rPr>
          <w:lang w:val="bg-BG"/>
        </w:rPr>
        <w:t>Определяне на индикатори</w:t>
      </w:r>
      <w:r w:rsidR="00925FB6">
        <w:rPr>
          <w:lang w:val="bg-BG"/>
        </w:rPr>
        <w:t>те</w:t>
      </w:r>
      <w:r w:rsidRPr="006F3533">
        <w:rPr>
          <w:lang w:val="bg-BG"/>
        </w:rPr>
        <w:t xml:space="preserve"> по Показател 25 „Енергийна бедност“</w:t>
      </w:r>
      <w:bookmarkEnd w:id="162"/>
      <w:bookmarkEnd w:id="163"/>
      <w:r w:rsidRPr="006F3533">
        <w:rPr>
          <w:lang w:val="bg-BG"/>
        </w:rPr>
        <w:t xml:space="preserve"> </w:t>
      </w:r>
    </w:p>
    <w:p w14:paraId="7EF8AA75" w14:textId="511DFEEA" w:rsidR="004B18B0" w:rsidRPr="006F3533" w:rsidRDefault="004B18B0" w:rsidP="00AB1EDD">
      <w:pPr>
        <w:spacing w:after="120"/>
        <w:rPr>
          <w:b/>
          <w:bCs/>
          <w:lang w:val="bg-BG"/>
        </w:rPr>
      </w:pPr>
      <w:r w:rsidRPr="006F3533">
        <w:rPr>
          <w:b/>
          <w:bCs/>
          <w:lang w:val="bg-BG"/>
        </w:rPr>
        <w:t>Индикатор: Дял от хората, засегнати от енергийна бедност</w:t>
      </w:r>
    </w:p>
    <w:p w14:paraId="24B05439" w14:textId="06C9424F" w:rsidR="004B18B0" w:rsidRPr="006F3533" w:rsidRDefault="004B18B0" w:rsidP="00AB1EDD">
      <w:pPr>
        <w:spacing w:after="100" w:afterAutospacing="1" w:line="240" w:lineRule="auto"/>
        <w:jc w:val="both"/>
        <w:rPr>
          <w:b/>
          <w:bCs/>
          <w:szCs w:val="24"/>
          <w:lang w:val="bg-BG"/>
        </w:rPr>
      </w:pPr>
      <w:r w:rsidRPr="006F3533">
        <w:rPr>
          <w:b/>
          <w:bCs/>
          <w:szCs w:val="24"/>
          <w:lang w:val="bg-BG"/>
        </w:rPr>
        <w:t>Стойност на индикатора (2024 г.): 28,47%</w:t>
      </w:r>
    </w:p>
    <w:p w14:paraId="1B9BE327" w14:textId="77777777" w:rsidR="004B18B0" w:rsidRPr="006F3533" w:rsidRDefault="004B18B0" w:rsidP="004B18B0">
      <w:pPr>
        <w:spacing w:before="100" w:beforeAutospacing="1" w:after="100" w:afterAutospacing="1" w:line="240" w:lineRule="auto"/>
        <w:jc w:val="both"/>
        <w:rPr>
          <w:szCs w:val="24"/>
          <w:lang w:val="bg-BG"/>
        </w:rPr>
      </w:pPr>
      <w:r w:rsidRPr="006F3533">
        <w:rPr>
          <w:szCs w:val="24"/>
          <w:lang w:val="bg-BG"/>
        </w:rPr>
        <w:t>Стойността на индикатора е изчислена въз основа на данните, представени в Таблица VII.1 „Оценка на очаквания брой домакинства в положение на енергийна бедност“, съдържаща се в „Анализ на състоянието на енергийната ефективност в страната и на годишния напредък по изпълнението на политиката и мерките за повишаване на енергийната ефективност през 2024 г. в България“, изготвен от Агенцията за устойчиво енергийно развитие (АУЕР), март 2025 г. Таблицата съдържа входните параметри за определяне на броя на лицата под линията на бедност с отразен разход за енергия, включително среден брой лица в домакинство, типова площ на жилище, годишни и месечни разходи за енергия и актуалната линия на бедност.</w:t>
      </w:r>
    </w:p>
    <w:p w14:paraId="46661DD8" w14:textId="77777777" w:rsidR="004B18B0" w:rsidRPr="006F3533" w:rsidRDefault="004B18B0" w:rsidP="004B18B0">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31</w:t>
      </w:r>
      <w:r w:rsidRPr="006F3533">
        <w:rPr>
          <w:rFonts w:cs="Times New Roman"/>
          <w:i/>
          <w:iCs/>
          <w:color w:val="0070C0"/>
          <w:szCs w:val="24"/>
          <w:lang w:val="bg-BG"/>
        </w:rPr>
        <w:fldChar w:fldCharType="end"/>
      </w:r>
      <w:r w:rsidRPr="006F3533">
        <w:rPr>
          <w:rFonts w:cs="Times New Roman"/>
          <w:i/>
          <w:iCs/>
          <w:color w:val="0070C0"/>
          <w:szCs w:val="24"/>
          <w:lang w:val="bg-BG"/>
        </w:rPr>
        <w:t xml:space="preserve">: Оценка на очаквания брой домакинства в положение на енергийна бедност </w:t>
      </w:r>
    </w:p>
    <w:tbl>
      <w:tblPr>
        <w:tblStyle w:val="GridTable4-Accent5"/>
        <w:tblW w:w="0" w:type="auto"/>
        <w:tblLook w:val="04A0" w:firstRow="1" w:lastRow="0" w:firstColumn="1" w:lastColumn="0" w:noHBand="0" w:noVBand="1"/>
      </w:tblPr>
      <w:tblGrid>
        <w:gridCol w:w="6749"/>
        <w:gridCol w:w="1304"/>
        <w:gridCol w:w="1009"/>
      </w:tblGrid>
      <w:tr w:rsidR="004B18B0" w:rsidRPr="006F3533" w14:paraId="29DE3D6D"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693B6AB" w14:textId="77777777" w:rsidR="004B18B0" w:rsidRPr="006F3533" w:rsidRDefault="004B18B0" w:rsidP="00541E06">
            <w:pPr>
              <w:spacing w:line="276" w:lineRule="auto"/>
              <w:jc w:val="center"/>
              <w:rPr>
                <w:rFonts w:eastAsia="Times New Roman" w:cs="Times New Roman"/>
                <w:sz w:val="20"/>
                <w:szCs w:val="20"/>
                <w:lang w:val="bg-BG" w:eastAsia="bg-BG"/>
              </w:rPr>
            </w:pPr>
            <w:r w:rsidRPr="006F3533">
              <w:rPr>
                <w:rFonts w:eastAsia="Times New Roman" w:cs="Times New Roman"/>
                <w:sz w:val="20"/>
                <w:szCs w:val="20"/>
                <w:lang w:val="bg-BG" w:eastAsia="bg-BG"/>
              </w:rPr>
              <w:t>Показател</w:t>
            </w:r>
          </w:p>
        </w:tc>
        <w:tc>
          <w:tcPr>
            <w:tcW w:w="0" w:type="auto"/>
            <w:hideMark/>
          </w:tcPr>
          <w:p w14:paraId="7BD397BB" w14:textId="77777777" w:rsidR="004B18B0" w:rsidRPr="006F3533" w:rsidRDefault="004B18B0" w:rsidP="00541E06">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Мерна единица</w:t>
            </w:r>
          </w:p>
        </w:tc>
        <w:tc>
          <w:tcPr>
            <w:tcW w:w="0" w:type="auto"/>
            <w:hideMark/>
          </w:tcPr>
          <w:p w14:paraId="7F70EA6C" w14:textId="77777777" w:rsidR="004B18B0" w:rsidRPr="006F3533" w:rsidRDefault="004B18B0" w:rsidP="00541E06">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Стойност</w:t>
            </w:r>
          </w:p>
        </w:tc>
      </w:tr>
      <w:tr w:rsidR="004B18B0" w:rsidRPr="006F3533" w14:paraId="4271A661"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DE752BE"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Среден брой лица в домакинство*</w:t>
            </w:r>
          </w:p>
        </w:tc>
        <w:tc>
          <w:tcPr>
            <w:tcW w:w="0" w:type="auto"/>
            <w:hideMark/>
          </w:tcPr>
          <w:p w14:paraId="3E5E1C30"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бр.</w:t>
            </w:r>
          </w:p>
        </w:tc>
        <w:tc>
          <w:tcPr>
            <w:tcW w:w="0" w:type="auto"/>
            <w:hideMark/>
          </w:tcPr>
          <w:p w14:paraId="3B6C3D1F"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2,25</w:t>
            </w:r>
          </w:p>
        </w:tc>
      </w:tr>
      <w:tr w:rsidR="004B18B0" w:rsidRPr="006F3533" w14:paraId="018DA884"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1D08A218"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Типова площ на домакинство</w:t>
            </w:r>
          </w:p>
        </w:tc>
        <w:tc>
          <w:tcPr>
            <w:tcW w:w="0" w:type="auto"/>
            <w:hideMark/>
          </w:tcPr>
          <w:p w14:paraId="6F3F37CD"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кв. м</w:t>
            </w:r>
          </w:p>
        </w:tc>
        <w:tc>
          <w:tcPr>
            <w:tcW w:w="0" w:type="auto"/>
            <w:hideMark/>
          </w:tcPr>
          <w:p w14:paraId="674C9F71"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52,51</w:t>
            </w:r>
          </w:p>
        </w:tc>
      </w:tr>
      <w:tr w:rsidR="004B18B0" w:rsidRPr="006F3533" w14:paraId="0C66DAFC"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2868A19"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Годишен разход за енергия на домакинство</w:t>
            </w:r>
          </w:p>
        </w:tc>
        <w:tc>
          <w:tcPr>
            <w:tcW w:w="0" w:type="auto"/>
            <w:hideMark/>
          </w:tcPr>
          <w:p w14:paraId="6E6CB91F"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лв./год.</w:t>
            </w:r>
          </w:p>
        </w:tc>
        <w:tc>
          <w:tcPr>
            <w:tcW w:w="0" w:type="auto"/>
            <w:hideMark/>
          </w:tcPr>
          <w:p w14:paraId="5C06D003"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2 640,56</w:t>
            </w:r>
          </w:p>
        </w:tc>
      </w:tr>
      <w:tr w:rsidR="004B18B0" w:rsidRPr="006F3533" w14:paraId="5B9C8F68"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60EBAB7E"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Средномесечен разход за енергия на домакинство</w:t>
            </w:r>
          </w:p>
        </w:tc>
        <w:tc>
          <w:tcPr>
            <w:tcW w:w="0" w:type="auto"/>
            <w:hideMark/>
          </w:tcPr>
          <w:p w14:paraId="4C1EF895"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лв./мес.</w:t>
            </w:r>
          </w:p>
        </w:tc>
        <w:tc>
          <w:tcPr>
            <w:tcW w:w="0" w:type="auto"/>
            <w:hideMark/>
          </w:tcPr>
          <w:p w14:paraId="5B3356FA"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220,05</w:t>
            </w:r>
          </w:p>
        </w:tc>
      </w:tr>
      <w:tr w:rsidR="004B18B0" w:rsidRPr="006F3533" w14:paraId="2C732F5D"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03679C6"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Годишен размер на линията на бедност на едно лице през 2024 г.* (референтен период за дохода 2023 г.)</w:t>
            </w:r>
          </w:p>
        </w:tc>
        <w:tc>
          <w:tcPr>
            <w:tcW w:w="0" w:type="auto"/>
            <w:hideMark/>
          </w:tcPr>
          <w:p w14:paraId="64EA7778"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лв.</w:t>
            </w:r>
          </w:p>
        </w:tc>
        <w:tc>
          <w:tcPr>
            <w:tcW w:w="0" w:type="auto"/>
            <w:hideMark/>
          </w:tcPr>
          <w:p w14:paraId="11F62EEF"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9 165,7</w:t>
            </w:r>
          </w:p>
        </w:tc>
      </w:tr>
      <w:tr w:rsidR="004B18B0" w:rsidRPr="006F3533" w14:paraId="27410EB1"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59ECC086"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Линия на бедност – средномесечно на лице от домакинство, общо за страната през 2024 г.</w:t>
            </w:r>
          </w:p>
        </w:tc>
        <w:tc>
          <w:tcPr>
            <w:tcW w:w="0" w:type="auto"/>
            <w:hideMark/>
          </w:tcPr>
          <w:p w14:paraId="6AA2C84B"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лв.</w:t>
            </w:r>
          </w:p>
        </w:tc>
        <w:tc>
          <w:tcPr>
            <w:tcW w:w="0" w:type="auto"/>
            <w:hideMark/>
          </w:tcPr>
          <w:p w14:paraId="01EAC981"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763,81</w:t>
            </w:r>
          </w:p>
        </w:tc>
      </w:tr>
      <w:tr w:rsidR="004B18B0" w:rsidRPr="006F3533" w14:paraId="0CEE54CE"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5DD51F5"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Линия на бедност с отразен разход за енергия</w:t>
            </w:r>
          </w:p>
        </w:tc>
        <w:tc>
          <w:tcPr>
            <w:tcW w:w="0" w:type="auto"/>
            <w:hideMark/>
          </w:tcPr>
          <w:p w14:paraId="169DCA38"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лв.</w:t>
            </w:r>
          </w:p>
        </w:tc>
        <w:tc>
          <w:tcPr>
            <w:tcW w:w="0" w:type="auto"/>
            <w:hideMark/>
          </w:tcPr>
          <w:p w14:paraId="3E63923F"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10 338,91</w:t>
            </w:r>
          </w:p>
        </w:tc>
      </w:tr>
      <w:tr w:rsidR="004B18B0" w:rsidRPr="006F3533" w14:paraId="7DDF27EA"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2E38151D"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Линия на бедност с отразен разход за енергия – средномесечно</w:t>
            </w:r>
          </w:p>
        </w:tc>
        <w:tc>
          <w:tcPr>
            <w:tcW w:w="0" w:type="auto"/>
            <w:hideMark/>
          </w:tcPr>
          <w:p w14:paraId="388ECECE"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лв.</w:t>
            </w:r>
          </w:p>
        </w:tc>
        <w:tc>
          <w:tcPr>
            <w:tcW w:w="0" w:type="auto"/>
            <w:hideMark/>
          </w:tcPr>
          <w:p w14:paraId="59A0836F"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861,58</w:t>
            </w:r>
          </w:p>
        </w:tc>
      </w:tr>
      <w:tr w:rsidR="004B18B0" w:rsidRPr="006F3533" w14:paraId="28BB2CF6"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50B401A"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Очакван брой лица под линия на бедност с отразен разход за енергия*</w:t>
            </w:r>
          </w:p>
        </w:tc>
        <w:tc>
          <w:tcPr>
            <w:tcW w:w="0" w:type="auto"/>
            <w:hideMark/>
          </w:tcPr>
          <w:p w14:paraId="4BA72EA3"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бр.</w:t>
            </w:r>
          </w:p>
        </w:tc>
        <w:tc>
          <w:tcPr>
            <w:tcW w:w="0" w:type="auto"/>
            <w:hideMark/>
          </w:tcPr>
          <w:p w14:paraId="67B51388" w14:textId="77777777" w:rsidR="004B18B0" w:rsidRPr="006F3533" w:rsidRDefault="004B18B0" w:rsidP="00541E06">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1 832 881</w:t>
            </w:r>
          </w:p>
        </w:tc>
      </w:tr>
      <w:tr w:rsidR="004B18B0" w:rsidRPr="006F3533" w14:paraId="2F1AEAE6"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2FB8AA11"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Относителен дял на очаквания брой лица под линия на бедност с отразен разход за енергия от общото население към 31.12.2022 г.*</w:t>
            </w:r>
          </w:p>
        </w:tc>
        <w:tc>
          <w:tcPr>
            <w:tcW w:w="0" w:type="auto"/>
            <w:hideMark/>
          </w:tcPr>
          <w:p w14:paraId="5A6119B4"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w:t>
            </w:r>
          </w:p>
        </w:tc>
        <w:tc>
          <w:tcPr>
            <w:tcW w:w="0" w:type="auto"/>
            <w:hideMark/>
          </w:tcPr>
          <w:p w14:paraId="5A23EBD3" w14:textId="77777777" w:rsidR="004B18B0" w:rsidRPr="006F3533" w:rsidRDefault="004B18B0" w:rsidP="00541E06">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28,47</w:t>
            </w:r>
          </w:p>
        </w:tc>
      </w:tr>
    </w:tbl>
    <w:p w14:paraId="36B24CF3" w14:textId="77777777" w:rsidR="004B18B0" w:rsidRPr="006F3533" w:rsidRDefault="004B18B0" w:rsidP="004B18B0">
      <w:pPr>
        <w:spacing w:after="0" w:line="240" w:lineRule="auto"/>
        <w:jc w:val="both"/>
        <w:rPr>
          <w:i/>
          <w:iCs/>
          <w:sz w:val="20"/>
          <w:szCs w:val="20"/>
          <w:lang w:val="bg-BG"/>
        </w:rPr>
      </w:pPr>
      <w:r w:rsidRPr="006F3533">
        <w:rPr>
          <w:i/>
          <w:iCs/>
          <w:sz w:val="20"/>
          <w:szCs w:val="20"/>
          <w:lang w:val="bg-BG"/>
        </w:rPr>
        <w:t>* По данни от изследването „Статистика на доходите и условията на живот (SILC) 2024. Данните от изследването SILC, проведено през 2024 г. са с референтен период за дохода 2023 г. Данните са валидирани от Евростат, но ще бъдат публикувани на сайта на НСИ на 25 април 2025 г., съгласно Календара за разпространение на резултатите от статистическите изследвания.</w:t>
      </w:r>
    </w:p>
    <w:p w14:paraId="713EE67C" w14:textId="77777777" w:rsidR="004B18B0" w:rsidRPr="006F3533" w:rsidRDefault="004B18B0" w:rsidP="004B18B0">
      <w:pPr>
        <w:spacing w:after="100" w:afterAutospacing="1" w:line="240" w:lineRule="auto"/>
        <w:jc w:val="right"/>
        <w:rPr>
          <w:i/>
          <w:iCs/>
          <w:szCs w:val="24"/>
          <w:lang w:val="bg-BG"/>
        </w:rPr>
      </w:pPr>
      <w:r w:rsidRPr="006F3533">
        <w:rPr>
          <w:i/>
          <w:iCs/>
          <w:szCs w:val="24"/>
          <w:lang w:val="bg-BG"/>
        </w:rPr>
        <w:t>Източник АУЕР, 2025 г.</w:t>
      </w:r>
    </w:p>
    <w:p w14:paraId="151D0595" w14:textId="77777777" w:rsidR="004B18B0" w:rsidRPr="006F3533" w:rsidRDefault="004B18B0" w:rsidP="004B18B0">
      <w:pPr>
        <w:spacing w:before="100" w:beforeAutospacing="1" w:after="100" w:afterAutospacing="1" w:line="240" w:lineRule="auto"/>
        <w:jc w:val="both"/>
        <w:rPr>
          <w:b/>
          <w:bCs/>
          <w:szCs w:val="24"/>
          <w:lang w:val="bg-BG"/>
        </w:rPr>
      </w:pPr>
      <w:r w:rsidRPr="006F3533">
        <w:rPr>
          <w:szCs w:val="24"/>
          <w:lang w:val="bg-BG"/>
        </w:rPr>
        <w:t xml:space="preserve">На база на тази оценка прогнозният брой лица под линията на бедност с отразен разход за енергия възлиза на </w:t>
      </w:r>
      <w:r w:rsidRPr="006F3533">
        <w:rPr>
          <w:b/>
          <w:bCs/>
          <w:szCs w:val="24"/>
          <w:lang w:val="bg-BG"/>
        </w:rPr>
        <w:t>1 832 881 лица.</w:t>
      </w:r>
    </w:p>
    <w:p w14:paraId="156BD336" w14:textId="77777777" w:rsidR="004B18B0" w:rsidRPr="006F3533" w:rsidRDefault="004B18B0" w:rsidP="004B18B0">
      <w:pPr>
        <w:spacing w:before="100" w:beforeAutospacing="1" w:after="100" w:afterAutospacing="1" w:line="240" w:lineRule="auto"/>
        <w:jc w:val="both"/>
        <w:rPr>
          <w:szCs w:val="24"/>
          <w:lang w:val="bg-BG"/>
        </w:rPr>
      </w:pPr>
      <w:r w:rsidRPr="006F3533">
        <w:rPr>
          <w:szCs w:val="24"/>
          <w:lang w:val="bg-BG"/>
        </w:rPr>
        <w:t xml:space="preserve">Съгласно данните от текущата демографска статистика, населението на Република България към края на 2024 г. </w:t>
      </w:r>
      <w:r w:rsidRPr="006F3533">
        <w:rPr>
          <w:b/>
          <w:bCs/>
          <w:szCs w:val="24"/>
          <w:lang w:val="bg-BG"/>
        </w:rPr>
        <w:t>е 6 437 360 души.</w:t>
      </w:r>
      <w:r w:rsidRPr="006F3533">
        <w:rPr>
          <w:szCs w:val="24"/>
          <w:lang w:val="bg-BG"/>
        </w:rPr>
        <w:t xml:space="preserve"> Относителният дял на хората, засегнати </w:t>
      </w:r>
      <w:r w:rsidRPr="006F3533">
        <w:rPr>
          <w:szCs w:val="24"/>
          <w:lang w:val="bg-BG"/>
        </w:rPr>
        <w:lastRenderedPageBreak/>
        <w:t>от енергийна бедност, е изчислен като процентно съотношение между прогнозния брой на засегнатите лица и общия брой на населението за съответната година – 2024.</w:t>
      </w:r>
    </w:p>
    <w:p w14:paraId="64928D4A" w14:textId="77777777" w:rsidR="004B18B0" w:rsidRPr="006F3533" w:rsidRDefault="004B18B0" w:rsidP="004B18B0">
      <w:pPr>
        <w:jc w:val="both"/>
        <w:rPr>
          <w:szCs w:val="24"/>
          <w:lang w:val="bg-BG"/>
        </w:rPr>
      </w:pPr>
      <w:r w:rsidRPr="006F3533">
        <w:rPr>
          <w:szCs w:val="24"/>
          <w:lang w:val="bg-BG"/>
        </w:rPr>
        <w:t>Оценката на броя на лицата в положение на енергийна бедност е изготвена в съответствие с чл. 3, параграф 3, буква „г“ от Регламент (ЕС) 2018/1999 на Европейския парламент и на Съвета от 11 декември 2018 г., както и при спазване на разпоредбите на Наредбата за критериите, условията и реда за определяне на статут на домакинство в положение на енергийна бедност и на статут на уязвим клиент за снабдяване с електрическа енергия (приета с ПМС № 267 от 7.12.2023 г., обн. ДВ, бр. 103 от 12.12.2023 г., в сила от 12.12.2023 г.).</w:t>
      </w:r>
    </w:p>
    <w:p w14:paraId="65434571" w14:textId="77777777" w:rsidR="004B18B0" w:rsidRPr="006F3533" w:rsidRDefault="004B18B0" w:rsidP="004B18B0">
      <w:pPr>
        <w:jc w:val="both"/>
        <w:rPr>
          <w:szCs w:val="24"/>
          <w:lang w:val="bg-BG"/>
        </w:rPr>
      </w:pPr>
      <w:r w:rsidRPr="006F3533">
        <w:rPr>
          <w:szCs w:val="24"/>
          <w:lang w:val="bg-BG"/>
        </w:rPr>
        <w:t>Прогнозният брой на енергийно бедните лица е определен въз основа на:</w:t>
      </w:r>
    </w:p>
    <w:p w14:paraId="60CC0007" w14:textId="77777777" w:rsidR="004B18B0" w:rsidRPr="006F3533" w:rsidRDefault="004B18B0" w:rsidP="00551FED">
      <w:pPr>
        <w:pStyle w:val="ListParagraph"/>
        <w:numPr>
          <w:ilvl w:val="0"/>
          <w:numId w:val="122"/>
        </w:numPr>
        <w:jc w:val="both"/>
        <w:rPr>
          <w:szCs w:val="24"/>
          <w:lang w:val="bg-BG"/>
        </w:rPr>
      </w:pPr>
      <w:r w:rsidRPr="006F3533">
        <w:rPr>
          <w:szCs w:val="24"/>
          <w:lang w:val="bg-BG"/>
        </w:rPr>
        <w:t>статистически данни за средния брой лица в домакинство общо за страната, предоставени от Националния статистически институт (НСИ) по изследването „Статистика на доходите и условията на живот“ (SILC);</w:t>
      </w:r>
    </w:p>
    <w:p w14:paraId="0D29EFAD" w14:textId="77777777" w:rsidR="004B18B0" w:rsidRPr="006F3533" w:rsidRDefault="004B18B0" w:rsidP="00551FED">
      <w:pPr>
        <w:pStyle w:val="ListParagraph"/>
        <w:numPr>
          <w:ilvl w:val="0"/>
          <w:numId w:val="122"/>
        </w:numPr>
        <w:jc w:val="both"/>
        <w:rPr>
          <w:szCs w:val="24"/>
          <w:lang w:val="bg-BG"/>
        </w:rPr>
      </w:pPr>
      <w:r w:rsidRPr="006F3533">
        <w:rPr>
          <w:szCs w:val="24"/>
          <w:lang w:val="bg-BG"/>
        </w:rPr>
        <w:t>типовата площ на домакинството, определена пропорционално според броя на лицата, съгласно чл. 6, ал. 4 от Наредбата;</w:t>
      </w:r>
    </w:p>
    <w:p w14:paraId="1CDC7F3D" w14:textId="77777777" w:rsidR="004B18B0" w:rsidRPr="006F3533" w:rsidRDefault="004B18B0" w:rsidP="00551FED">
      <w:pPr>
        <w:pStyle w:val="ListParagraph"/>
        <w:numPr>
          <w:ilvl w:val="0"/>
          <w:numId w:val="122"/>
        </w:numPr>
        <w:jc w:val="both"/>
        <w:rPr>
          <w:szCs w:val="24"/>
          <w:lang w:val="bg-BG"/>
        </w:rPr>
      </w:pPr>
      <w:r w:rsidRPr="006F3533">
        <w:rPr>
          <w:szCs w:val="24"/>
          <w:lang w:val="bg-BG"/>
        </w:rPr>
        <w:t>годишния разход на крайна енергия за жилищни сгради с най-лоши енергийни характеристики, определен съгласно чл. 6, ал. 1 от Наредбата.</w:t>
      </w:r>
    </w:p>
    <w:p w14:paraId="520A1443" w14:textId="77777777" w:rsidR="004B18B0" w:rsidRPr="006F3533" w:rsidRDefault="004B18B0" w:rsidP="004B18B0">
      <w:pPr>
        <w:jc w:val="both"/>
        <w:rPr>
          <w:szCs w:val="24"/>
          <w:lang w:val="bg-BG"/>
        </w:rPr>
      </w:pPr>
      <w:r w:rsidRPr="006F3533">
        <w:rPr>
          <w:szCs w:val="24"/>
          <w:lang w:val="bg-BG"/>
        </w:rPr>
        <w:t xml:space="preserve">Доходният критерий за определяне на енергийна бедност се формира чрез добавяне на </w:t>
      </w:r>
      <w:proofErr w:type="spellStart"/>
      <w:r w:rsidRPr="006F3533">
        <w:rPr>
          <w:szCs w:val="24"/>
          <w:lang w:val="bg-BG"/>
        </w:rPr>
        <w:t>остойностения</w:t>
      </w:r>
      <w:proofErr w:type="spellEnd"/>
      <w:r w:rsidRPr="006F3533">
        <w:rPr>
          <w:szCs w:val="24"/>
          <w:lang w:val="bg-BG"/>
        </w:rPr>
        <w:t xml:space="preserve"> разход за енергия към актуалната линия на бедност, публикувана от НСИ въз основа на ежегодното изследване SILC, в съответствие с Регламент (ЕС) № 1700/2019 на Европейския парламент и на Съвета.</w:t>
      </w:r>
    </w:p>
    <w:p w14:paraId="67B824A8" w14:textId="77777777" w:rsidR="004B18B0" w:rsidRDefault="004B18B0" w:rsidP="004B18B0">
      <w:pPr>
        <w:jc w:val="both"/>
        <w:rPr>
          <w:szCs w:val="24"/>
          <w:lang w:val="bg-BG"/>
        </w:rPr>
      </w:pPr>
      <w:r w:rsidRPr="006F3533">
        <w:rPr>
          <w:szCs w:val="24"/>
          <w:lang w:val="bg-BG"/>
        </w:rPr>
        <w:t>Остойностяването на разходите за енергия се извършва по типови цени за крайни битови клиенти на електрическа енергия, присъединени към електроразпределителната мрежа на ниво ниско напрежение, съгласно Методиката, съдържаща се в приложение № 2 към Наредбата.</w:t>
      </w:r>
    </w:p>
    <w:p w14:paraId="2F449F6C" w14:textId="77777777" w:rsidR="00925FB6" w:rsidRPr="006F3533" w:rsidRDefault="00925FB6" w:rsidP="004B18B0">
      <w:pPr>
        <w:jc w:val="both"/>
        <w:rPr>
          <w:szCs w:val="24"/>
          <w:lang w:val="bg-BG"/>
        </w:rPr>
      </w:pPr>
    </w:p>
    <w:p w14:paraId="5C7A9E21" w14:textId="77777777" w:rsidR="004B18B0" w:rsidRPr="006F3533" w:rsidRDefault="004B18B0" w:rsidP="004B18B0">
      <w:pPr>
        <w:rPr>
          <w:b/>
          <w:bCs/>
          <w:lang w:val="bg-BG"/>
        </w:rPr>
      </w:pPr>
      <w:r w:rsidRPr="006F3533">
        <w:rPr>
          <w:b/>
          <w:bCs/>
          <w:lang w:val="bg-BG"/>
        </w:rPr>
        <w:t>Дял на разполагаемия доход на домакинствата, изразходван за енергия</w:t>
      </w:r>
    </w:p>
    <w:p w14:paraId="67113AF7" w14:textId="77777777" w:rsidR="004B18B0" w:rsidRPr="006F3533" w:rsidRDefault="004B18B0" w:rsidP="004B18B0">
      <w:pPr>
        <w:jc w:val="both"/>
        <w:rPr>
          <w:b/>
          <w:bCs/>
          <w:szCs w:val="24"/>
          <w:lang w:val="bg-BG"/>
        </w:rPr>
      </w:pPr>
      <w:r w:rsidRPr="006F3533">
        <w:rPr>
          <w:b/>
          <w:bCs/>
          <w:szCs w:val="24"/>
          <w:lang w:val="bg-BG"/>
        </w:rPr>
        <w:t>Стойност на индикатора (2024 г.): 10,8% (индикаторът не се изчислява пряко, използва се приближен показател)</w:t>
      </w:r>
    </w:p>
    <w:p w14:paraId="1B1013EA" w14:textId="77777777" w:rsidR="004B18B0" w:rsidRPr="006F3533" w:rsidRDefault="004B18B0" w:rsidP="004B18B0">
      <w:pPr>
        <w:jc w:val="both"/>
        <w:rPr>
          <w:szCs w:val="24"/>
          <w:lang w:val="bg-BG"/>
        </w:rPr>
      </w:pPr>
      <w:r w:rsidRPr="006F3533">
        <w:rPr>
          <w:szCs w:val="24"/>
          <w:lang w:val="bg-BG"/>
        </w:rPr>
        <w:t>Към момента не се поддържа директен официален статистически индикатор, който да измерва дела на разполагаемия доход на домакинствата, изразходван конкретно за енергия. Поради това, за целите на НПСС се използва приближен показател, базиран на официалните данни на НСИ за разходите на домакинствата.</w:t>
      </w:r>
    </w:p>
    <w:p w14:paraId="52D8A6FD" w14:textId="77777777" w:rsidR="004B18B0" w:rsidRPr="006F3533" w:rsidRDefault="004B18B0" w:rsidP="004B18B0">
      <w:pPr>
        <w:jc w:val="both"/>
        <w:rPr>
          <w:szCs w:val="24"/>
          <w:lang w:val="bg-BG"/>
        </w:rPr>
      </w:pPr>
      <w:r w:rsidRPr="006F3533">
        <w:rPr>
          <w:szCs w:val="24"/>
          <w:lang w:val="bg-BG"/>
        </w:rPr>
        <w:t xml:space="preserve">В рамките на статистиката „Доходи, разходи и потребление на домакинствата“, НСИ публикува детайлна разбивка на потребителските разходи, включително групата разходи „Жилища, вода, електроенергия и горива за битови нужди“, която най-точно отразява енергийния компонент в разходната структура на домакинствата. Тази група </w:t>
      </w:r>
      <w:r w:rsidRPr="006F3533">
        <w:rPr>
          <w:szCs w:val="24"/>
          <w:lang w:val="bg-BG"/>
        </w:rPr>
        <w:lastRenderedPageBreak/>
        <w:t>включва разходи за електроенергия, горива за отопление, вода и други текущи разходи, свързани с ползването на жилището.</w:t>
      </w:r>
    </w:p>
    <w:p w14:paraId="5C8B0D7A" w14:textId="77777777" w:rsidR="004B18B0" w:rsidRPr="006F3533" w:rsidRDefault="004B18B0" w:rsidP="004B18B0">
      <w:pPr>
        <w:jc w:val="both"/>
        <w:rPr>
          <w:b/>
          <w:bCs/>
          <w:szCs w:val="24"/>
          <w:lang w:val="bg-BG"/>
        </w:rPr>
      </w:pPr>
      <w:r w:rsidRPr="006F3533">
        <w:rPr>
          <w:szCs w:val="24"/>
          <w:lang w:val="bg-BG"/>
        </w:rPr>
        <w:t xml:space="preserve">През 2024 г. общият разход средно на лице от домакинство възлиза на 11 712 лв., </w:t>
      </w:r>
      <w:r w:rsidRPr="006F3533">
        <w:rPr>
          <w:b/>
          <w:bCs/>
          <w:szCs w:val="24"/>
          <w:lang w:val="bg-BG"/>
        </w:rPr>
        <w:t>като разходите за „Жилища, вода, електроенергия и горива за битови нужди“ са 1 260 лв. на лице, което представлява 10,8% от общия разход.</w:t>
      </w:r>
      <w:r w:rsidRPr="006F3533">
        <w:rPr>
          <w:szCs w:val="24"/>
          <w:lang w:val="bg-BG"/>
        </w:rPr>
        <w:t xml:space="preserve"> Когато към тях се добавят разходите за „Жилищно обзавеждане и поддържане на дома“, общият разход, свързан с жилището, достига 1 830 лв. на лице, или </w:t>
      </w:r>
      <w:r w:rsidRPr="006F3533">
        <w:rPr>
          <w:b/>
          <w:bCs/>
          <w:szCs w:val="24"/>
          <w:lang w:val="bg-BG"/>
        </w:rPr>
        <w:t>15,7% от общия разход.</w:t>
      </w:r>
    </w:p>
    <w:p w14:paraId="5D90EBCB" w14:textId="77777777" w:rsidR="004B18B0" w:rsidRPr="006F3533" w:rsidRDefault="004B18B0" w:rsidP="004B18B0">
      <w:pPr>
        <w:jc w:val="both"/>
        <w:rPr>
          <w:szCs w:val="24"/>
          <w:lang w:val="bg-BG"/>
        </w:rPr>
      </w:pPr>
      <w:r w:rsidRPr="006F3533">
        <w:rPr>
          <w:szCs w:val="24"/>
          <w:lang w:val="bg-BG"/>
        </w:rPr>
        <w:t xml:space="preserve">Този дял може да се използва като </w:t>
      </w:r>
      <w:proofErr w:type="spellStart"/>
      <w:r w:rsidRPr="006F3533">
        <w:rPr>
          <w:szCs w:val="24"/>
          <w:lang w:val="bg-BG"/>
        </w:rPr>
        <w:t>прокси</w:t>
      </w:r>
      <w:proofErr w:type="spellEnd"/>
      <w:r w:rsidRPr="006F3533">
        <w:rPr>
          <w:szCs w:val="24"/>
          <w:lang w:val="bg-BG"/>
        </w:rPr>
        <w:t>-индикатор за натиска на енергийните разходи върху бюджета на домакинствата, при отчитане на факта, че:</w:t>
      </w:r>
    </w:p>
    <w:p w14:paraId="1BB2A8DC" w14:textId="77777777" w:rsidR="004B18B0" w:rsidRPr="006F3533" w:rsidRDefault="004B18B0" w:rsidP="00551FED">
      <w:pPr>
        <w:pStyle w:val="ListParagraph"/>
        <w:numPr>
          <w:ilvl w:val="0"/>
          <w:numId w:val="123"/>
        </w:numPr>
        <w:jc w:val="both"/>
        <w:rPr>
          <w:szCs w:val="24"/>
          <w:lang w:val="bg-BG"/>
        </w:rPr>
      </w:pPr>
      <w:r w:rsidRPr="006F3533">
        <w:rPr>
          <w:szCs w:val="24"/>
          <w:lang w:val="bg-BG"/>
        </w:rPr>
        <w:t>официалните данни не позволяват пълно отделяне на чисто енергийните разходи от другите жилищни разходи;</w:t>
      </w:r>
    </w:p>
    <w:p w14:paraId="3004B8CB" w14:textId="77777777" w:rsidR="004B18B0" w:rsidRPr="006F3533" w:rsidRDefault="004B18B0" w:rsidP="00551FED">
      <w:pPr>
        <w:pStyle w:val="ListParagraph"/>
        <w:numPr>
          <w:ilvl w:val="0"/>
          <w:numId w:val="123"/>
        </w:numPr>
        <w:jc w:val="both"/>
        <w:rPr>
          <w:szCs w:val="24"/>
          <w:lang w:val="bg-BG"/>
        </w:rPr>
      </w:pPr>
      <w:r w:rsidRPr="006F3533">
        <w:rPr>
          <w:szCs w:val="24"/>
          <w:lang w:val="bg-BG"/>
        </w:rPr>
        <w:t>структурата на разходите варира значително между домакинствата, особено при уязвими групи и домакинства в енергийна бедност.</w:t>
      </w:r>
    </w:p>
    <w:p w14:paraId="4032186A" w14:textId="77777777" w:rsidR="004B18B0" w:rsidRPr="006F3533" w:rsidRDefault="004B18B0" w:rsidP="004B18B0">
      <w:pPr>
        <w:jc w:val="both"/>
        <w:rPr>
          <w:szCs w:val="24"/>
          <w:lang w:val="bg-BG"/>
        </w:rPr>
      </w:pPr>
      <w:r w:rsidRPr="006F3533">
        <w:rPr>
          <w:szCs w:val="24"/>
          <w:lang w:val="bg-BG"/>
        </w:rPr>
        <w:t>Данните на НСИ показват дългосрочна тенденция на нарастване на абсолютния размер на разходите, като за периода 2015–2024 г. общите разходи на домакинствата се увеличават 2,5 пъти, докато относителният дял на разходите за жилището намалява, което отразява както ръста на доходите, така и промени в потребителската структура. Въпреки това, за домакинствата с ниски доходи този дял остава значително по-висок от средния за страната, което обуславя риска от енергийна бедност.</w:t>
      </w:r>
    </w:p>
    <w:p w14:paraId="5CDF7E16" w14:textId="77777777" w:rsidR="004B18B0" w:rsidRPr="006F3533" w:rsidRDefault="004B18B0" w:rsidP="004B18B0">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32</w:t>
      </w:r>
      <w:r w:rsidRPr="006F3533">
        <w:rPr>
          <w:rFonts w:cs="Times New Roman"/>
          <w:i/>
          <w:iCs/>
          <w:color w:val="0070C0"/>
          <w:szCs w:val="24"/>
          <w:lang w:val="bg-BG"/>
        </w:rPr>
        <w:fldChar w:fldCharType="end"/>
      </w:r>
      <w:r w:rsidRPr="006F3533">
        <w:rPr>
          <w:rFonts w:cs="Times New Roman"/>
          <w:i/>
          <w:iCs/>
          <w:color w:val="0070C0"/>
          <w:szCs w:val="24"/>
          <w:lang w:val="bg-BG"/>
        </w:rPr>
        <w:t>: Общ разход средно на лице от домакинство за 2015, 2023 и 2024 г.</w:t>
      </w:r>
    </w:p>
    <w:tbl>
      <w:tblPr>
        <w:tblStyle w:val="GridTable4-Accent5"/>
        <w:tblW w:w="0" w:type="auto"/>
        <w:tblLook w:val="04A0" w:firstRow="1" w:lastRow="0" w:firstColumn="1" w:lastColumn="0" w:noHBand="0" w:noVBand="1"/>
      </w:tblPr>
      <w:tblGrid>
        <w:gridCol w:w="4451"/>
        <w:gridCol w:w="865"/>
        <w:gridCol w:w="672"/>
        <w:gridCol w:w="865"/>
        <w:gridCol w:w="672"/>
        <w:gridCol w:w="865"/>
        <w:gridCol w:w="672"/>
      </w:tblGrid>
      <w:tr w:rsidR="004B18B0" w:rsidRPr="006F3533" w14:paraId="7D280A50"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4F4FB32" w14:textId="77777777" w:rsidR="004B18B0" w:rsidRPr="006F3533" w:rsidRDefault="004B18B0" w:rsidP="00541E06">
            <w:pPr>
              <w:spacing w:line="276" w:lineRule="auto"/>
              <w:jc w:val="center"/>
              <w:rPr>
                <w:rFonts w:eastAsia="Times New Roman" w:cs="Times New Roman"/>
                <w:sz w:val="20"/>
                <w:szCs w:val="20"/>
                <w:lang w:val="bg-BG" w:eastAsia="bg-BG"/>
              </w:rPr>
            </w:pPr>
            <w:r w:rsidRPr="006F3533">
              <w:rPr>
                <w:rFonts w:eastAsia="Times New Roman" w:cs="Times New Roman"/>
                <w:sz w:val="20"/>
                <w:szCs w:val="20"/>
                <w:lang w:val="bg-BG" w:eastAsia="bg-BG"/>
              </w:rPr>
              <w:t>Групи разходи</w:t>
            </w:r>
          </w:p>
        </w:tc>
        <w:tc>
          <w:tcPr>
            <w:tcW w:w="0" w:type="auto"/>
            <w:hideMark/>
          </w:tcPr>
          <w:p w14:paraId="4555618A" w14:textId="77777777" w:rsidR="004B18B0" w:rsidRPr="006F3533" w:rsidRDefault="004B18B0" w:rsidP="00541E06">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2015 лв.</w:t>
            </w:r>
          </w:p>
        </w:tc>
        <w:tc>
          <w:tcPr>
            <w:tcW w:w="0" w:type="auto"/>
            <w:hideMark/>
          </w:tcPr>
          <w:p w14:paraId="778BC3B2" w14:textId="77777777" w:rsidR="004B18B0" w:rsidRPr="006F3533" w:rsidRDefault="004B18B0" w:rsidP="00541E06">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w:t>
            </w:r>
          </w:p>
        </w:tc>
        <w:tc>
          <w:tcPr>
            <w:tcW w:w="0" w:type="auto"/>
            <w:hideMark/>
          </w:tcPr>
          <w:p w14:paraId="47DF7854" w14:textId="77777777" w:rsidR="004B18B0" w:rsidRPr="006F3533" w:rsidRDefault="004B18B0" w:rsidP="00541E06">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2023 лв.</w:t>
            </w:r>
          </w:p>
        </w:tc>
        <w:tc>
          <w:tcPr>
            <w:tcW w:w="0" w:type="auto"/>
            <w:hideMark/>
          </w:tcPr>
          <w:p w14:paraId="6318014F" w14:textId="77777777" w:rsidR="004B18B0" w:rsidRPr="006F3533" w:rsidRDefault="004B18B0" w:rsidP="00541E06">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w:t>
            </w:r>
          </w:p>
        </w:tc>
        <w:tc>
          <w:tcPr>
            <w:tcW w:w="0" w:type="auto"/>
            <w:hideMark/>
          </w:tcPr>
          <w:p w14:paraId="2AF728E4" w14:textId="77777777" w:rsidR="004B18B0" w:rsidRPr="006F3533" w:rsidRDefault="004B18B0" w:rsidP="00541E06">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2024 лв.</w:t>
            </w:r>
          </w:p>
        </w:tc>
        <w:tc>
          <w:tcPr>
            <w:tcW w:w="0" w:type="auto"/>
            <w:hideMark/>
          </w:tcPr>
          <w:p w14:paraId="66E86999" w14:textId="77777777" w:rsidR="004B18B0" w:rsidRPr="006F3533" w:rsidRDefault="004B18B0" w:rsidP="00541E06">
            <w:pPr>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w:t>
            </w:r>
          </w:p>
        </w:tc>
      </w:tr>
      <w:tr w:rsidR="004B18B0" w:rsidRPr="006F3533" w14:paraId="0D0C7DD6"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420A94F"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Общ разход</w:t>
            </w:r>
          </w:p>
        </w:tc>
        <w:tc>
          <w:tcPr>
            <w:tcW w:w="0" w:type="auto"/>
            <w:hideMark/>
          </w:tcPr>
          <w:p w14:paraId="740BF41E"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4 666</w:t>
            </w:r>
          </w:p>
        </w:tc>
        <w:tc>
          <w:tcPr>
            <w:tcW w:w="0" w:type="auto"/>
            <w:hideMark/>
          </w:tcPr>
          <w:p w14:paraId="09A11A7D"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100.0</w:t>
            </w:r>
          </w:p>
        </w:tc>
        <w:tc>
          <w:tcPr>
            <w:tcW w:w="0" w:type="auto"/>
            <w:hideMark/>
          </w:tcPr>
          <w:p w14:paraId="0481DCFE"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10 044</w:t>
            </w:r>
          </w:p>
        </w:tc>
        <w:tc>
          <w:tcPr>
            <w:tcW w:w="0" w:type="auto"/>
            <w:hideMark/>
          </w:tcPr>
          <w:p w14:paraId="0507BCDE"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100.0</w:t>
            </w:r>
          </w:p>
        </w:tc>
        <w:tc>
          <w:tcPr>
            <w:tcW w:w="0" w:type="auto"/>
            <w:hideMark/>
          </w:tcPr>
          <w:p w14:paraId="14E533CB"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11 712</w:t>
            </w:r>
          </w:p>
        </w:tc>
        <w:tc>
          <w:tcPr>
            <w:tcW w:w="0" w:type="auto"/>
            <w:hideMark/>
          </w:tcPr>
          <w:p w14:paraId="3800AD7E"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100.0</w:t>
            </w:r>
          </w:p>
        </w:tc>
      </w:tr>
      <w:tr w:rsidR="004B18B0" w:rsidRPr="006F3533" w14:paraId="7F9CD09E"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33444406"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Потребителски общ разход</w:t>
            </w:r>
          </w:p>
        </w:tc>
        <w:tc>
          <w:tcPr>
            <w:tcW w:w="0" w:type="auto"/>
            <w:hideMark/>
          </w:tcPr>
          <w:p w14:paraId="5CF26661"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3 888</w:t>
            </w:r>
          </w:p>
        </w:tc>
        <w:tc>
          <w:tcPr>
            <w:tcW w:w="0" w:type="auto"/>
            <w:hideMark/>
          </w:tcPr>
          <w:p w14:paraId="5A4E8D06"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83.3</w:t>
            </w:r>
          </w:p>
        </w:tc>
        <w:tc>
          <w:tcPr>
            <w:tcW w:w="0" w:type="auto"/>
            <w:hideMark/>
          </w:tcPr>
          <w:p w14:paraId="12850DB4"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8 216</w:t>
            </w:r>
          </w:p>
        </w:tc>
        <w:tc>
          <w:tcPr>
            <w:tcW w:w="0" w:type="auto"/>
            <w:hideMark/>
          </w:tcPr>
          <w:p w14:paraId="156B62CC"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81.8</w:t>
            </w:r>
          </w:p>
        </w:tc>
        <w:tc>
          <w:tcPr>
            <w:tcW w:w="0" w:type="auto"/>
            <w:hideMark/>
          </w:tcPr>
          <w:p w14:paraId="53B9EC9F"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9 466</w:t>
            </w:r>
          </w:p>
        </w:tc>
        <w:tc>
          <w:tcPr>
            <w:tcW w:w="0" w:type="auto"/>
            <w:hideMark/>
          </w:tcPr>
          <w:p w14:paraId="1EB778AA"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80.8</w:t>
            </w:r>
          </w:p>
        </w:tc>
      </w:tr>
      <w:tr w:rsidR="004B18B0" w:rsidRPr="006F3533" w14:paraId="393E40AF"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DFC4CD0"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Храна и безалкохолни напитки</w:t>
            </w:r>
          </w:p>
        </w:tc>
        <w:tc>
          <w:tcPr>
            <w:tcW w:w="0" w:type="auto"/>
            <w:hideMark/>
          </w:tcPr>
          <w:p w14:paraId="131B9484"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1 463</w:t>
            </w:r>
          </w:p>
        </w:tc>
        <w:tc>
          <w:tcPr>
            <w:tcW w:w="0" w:type="auto"/>
            <w:hideMark/>
          </w:tcPr>
          <w:p w14:paraId="241D5456"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31.4</w:t>
            </w:r>
          </w:p>
        </w:tc>
        <w:tc>
          <w:tcPr>
            <w:tcW w:w="0" w:type="auto"/>
            <w:hideMark/>
          </w:tcPr>
          <w:p w14:paraId="14392C8E"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2 987</w:t>
            </w:r>
          </w:p>
        </w:tc>
        <w:tc>
          <w:tcPr>
            <w:tcW w:w="0" w:type="auto"/>
            <w:hideMark/>
          </w:tcPr>
          <w:p w14:paraId="706EF7BC"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29.7</w:t>
            </w:r>
          </w:p>
        </w:tc>
        <w:tc>
          <w:tcPr>
            <w:tcW w:w="0" w:type="auto"/>
            <w:hideMark/>
          </w:tcPr>
          <w:p w14:paraId="6C22D151"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3 357</w:t>
            </w:r>
          </w:p>
        </w:tc>
        <w:tc>
          <w:tcPr>
            <w:tcW w:w="0" w:type="auto"/>
            <w:hideMark/>
          </w:tcPr>
          <w:p w14:paraId="0EC51188"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28.7</w:t>
            </w:r>
          </w:p>
        </w:tc>
      </w:tr>
      <w:tr w:rsidR="004B18B0" w:rsidRPr="006F3533" w14:paraId="358C86CB"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24444ED8"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Алкохолни напитки и тютюневи изделия</w:t>
            </w:r>
          </w:p>
        </w:tc>
        <w:tc>
          <w:tcPr>
            <w:tcW w:w="0" w:type="auto"/>
            <w:hideMark/>
          </w:tcPr>
          <w:p w14:paraId="6B918311"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204</w:t>
            </w:r>
          </w:p>
        </w:tc>
        <w:tc>
          <w:tcPr>
            <w:tcW w:w="0" w:type="auto"/>
            <w:hideMark/>
          </w:tcPr>
          <w:p w14:paraId="485E11C5"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4.4</w:t>
            </w:r>
          </w:p>
        </w:tc>
        <w:tc>
          <w:tcPr>
            <w:tcW w:w="0" w:type="auto"/>
            <w:hideMark/>
          </w:tcPr>
          <w:p w14:paraId="5BDC904D"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390</w:t>
            </w:r>
          </w:p>
        </w:tc>
        <w:tc>
          <w:tcPr>
            <w:tcW w:w="0" w:type="auto"/>
            <w:hideMark/>
          </w:tcPr>
          <w:p w14:paraId="3798BCBB"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3.9</w:t>
            </w:r>
          </w:p>
        </w:tc>
        <w:tc>
          <w:tcPr>
            <w:tcW w:w="0" w:type="auto"/>
            <w:hideMark/>
          </w:tcPr>
          <w:p w14:paraId="798D14D7"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452</w:t>
            </w:r>
          </w:p>
        </w:tc>
        <w:tc>
          <w:tcPr>
            <w:tcW w:w="0" w:type="auto"/>
            <w:hideMark/>
          </w:tcPr>
          <w:p w14:paraId="3465842D"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3.9</w:t>
            </w:r>
          </w:p>
        </w:tc>
      </w:tr>
      <w:tr w:rsidR="004B18B0" w:rsidRPr="006F3533" w14:paraId="2CAD1013"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1BE86B"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Облекло и обувки</w:t>
            </w:r>
          </w:p>
        </w:tc>
        <w:tc>
          <w:tcPr>
            <w:tcW w:w="0" w:type="auto"/>
            <w:hideMark/>
          </w:tcPr>
          <w:p w14:paraId="28B0466F"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165</w:t>
            </w:r>
          </w:p>
        </w:tc>
        <w:tc>
          <w:tcPr>
            <w:tcW w:w="0" w:type="auto"/>
            <w:hideMark/>
          </w:tcPr>
          <w:p w14:paraId="0D8AEA04"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3.5</w:t>
            </w:r>
          </w:p>
        </w:tc>
        <w:tc>
          <w:tcPr>
            <w:tcW w:w="0" w:type="auto"/>
            <w:hideMark/>
          </w:tcPr>
          <w:p w14:paraId="25405F31"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348</w:t>
            </w:r>
          </w:p>
        </w:tc>
        <w:tc>
          <w:tcPr>
            <w:tcW w:w="0" w:type="auto"/>
            <w:hideMark/>
          </w:tcPr>
          <w:p w14:paraId="31909612"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3.5</w:t>
            </w:r>
          </w:p>
        </w:tc>
        <w:tc>
          <w:tcPr>
            <w:tcW w:w="0" w:type="auto"/>
            <w:hideMark/>
          </w:tcPr>
          <w:p w14:paraId="12D9FE05"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435</w:t>
            </w:r>
          </w:p>
        </w:tc>
        <w:tc>
          <w:tcPr>
            <w:tcW w:w="0" w:type="auto"/>
            <w:hideMark/>
          </w:tcPr>
          <w:p w14:paraId="4FF2B240"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3.7</w:t>
            </w:r>
          </w:p>
        </w:tc>
      </w:tr>
      <w:tr w:rsidR="004B18B0" w:rsidRPr="006F3533" w14:paraId="4C6B419C"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064E860B"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Жилища, вода, електроенергия и горива за битови нужди</w:t>
            </w:r>
          </w:p>
        </w:tc>
        <w:tc>
          <w:tcPr>
            <w:tcW w:w="0" w:type="auto"/>
            <w:hideMark/>
          </w:tcPr>
          <w:p w14:paraId="0D78FF02"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b/>
                <w:bCs/>
                <w:sz w:val="20"/>
                <w:szCs w:val="20"/>
                <w:lang w:val="bg-BG" w:eastAsia="bg-BG"/>
              </w:rPr>
              <w:t>666</w:t>
            </w:r>
          </w:p>
        </w:tc>
        <w:tc>
          <w:tcPr>
            <w:tcW w:w="0" w:type="auto"/>
            <w:hideMark/>
          </w:tcPr>
          <w:p w14:paraId="75DBAD3D"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b/>
                <w:bCs/>
                <w:sz w:val="20"/>
                <w:szCs w:val="20"/>
                <w:lang w:val="bg-BG" w:eastAsia="bg-BG"/>
              </w:rPr>
              <w:t>14.3</w:t>
            </w:r>
          </w:p>
        </w:tc>
        <w:tc>
          <w:tcPr>
            <w:tcW w:w="0" w:type="auto"/>
            <w:hideMark/>
          </w:tcPr>
          <w:p w14:paraId="0792023D"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b/>
                <w:bCs/>
                <w:sz w:val="20"/>
                <w:szCs w:val="20"/>
                <w:lang w:val="bg-BG" w:eastAsia="bg-BG"/>
              </w:rPr>
              <w:t>1 211</w:t>
            </w:r>
          </w:p>
        </w:tc>
        <w:tc>
          <w:tcPr>
            <w:tcW w:w="0" w:type="auto"/>
            <w:hideMark/>
          </w:tcPr>
          <w:p w14:paraId="076C820E"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b/>
                <w:bCs/>
                <w:sz w:val="20"/>
                <w:szCs w:val="20"/>
                <w:lang w:val="bg-BG" w:eastAsia="bg-BG"/>
              </w:rPr>
              <w:t>12.1</w:t>
            </w:r>
          </w:p>
        </w:tc>
        <w:tc>
          <w:tcPr>
            <w:tcW w:w="0" w:type="auto"/>
            <w:hideMark/>
          </w:tcPr>
          <w:p w14:paraId="68C606C9"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b/>
                <w:bCs/>
                <w:sz w:val="20"/>
                <w:szCs w:val="20"/>
                <w:lang w:val="bg-BG" w:eastAsia="bg-BG"/>
              </w:rPr>
              <w:t>1 260</w:t>
            </w:r>
          </w:p>
        </w:tc>
        <w:tc>
          <w:tcPr>
            <w:tcW w:w="0" w:type="auto"/>
            <w:hideMark/>
          </w:tcPr>
          <w:p w14:paraId="0FFF339A"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b/>
                <w:bCs/>
                <w:sz w:val="20"/>
                <w:szCs w:val="20"/>
                <w:lang w:val="bg-BG" w:eastAsia="bg-BG"/>
              </w:rPr>
              <w:t>10.8</w:t>
            </w:r>
          </w:p>
        </w:tc>
      </w:tr>
      <w:tr w:rsidR="004B18B0" w:rsidRPr="006F3533" w14:paraId="1930B6EC"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C0CD05"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Жилищно обзавеждане и поддържане на дома</w:t>
            </w:r>
          </w:p>
        </w:tc>
        <w:tc>
          <w:tcPr>
            <w:tcW w:w="0" w:type="auto"/>
            <w:hideMark/>
          </w:tcPr>
          <w:p w14:paraId="0486205F"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173</w:t>
            </w:r>
          </w:p>
        </w:tc>
        <w:tc>
          <w:tcPr>
            <w:tcW w:w="0" w:type="auto"/>
            <w:hideMark/>
          </w:tcPr>
          <w:p w14:paraId="2894910A"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3.7</w:t>
            </w:r>
          </w:p>
        </w:tc>
        <w:tc>
          <w:tcPr>
            <w:tcW w:w="0" w:type="auto"/>
            <w:hideMark/>
          </w:tcPr>
          <w:p w14:paraId="668CECC5"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474</w:t>
            </w:r>
          </w:p>
        </w:tc>
        <w:tc>
          <w:tcPr>
            <w:tcW w:w="0" w:type="auto"/>
            <w:hideMark/>
          </w:tcPr>
          <w:p w14:paraId="47642DFD"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4.7</w:t>
            </w:r>
          </w:p>
        </w:tc>
        <w:tc>
          <w:tcPr>
            <w:tcW w:w="0" w:type="auto"/>
            <w:hideMark/>
          </w:tcPr>
          <w:p w14:paraId="69451661"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570</w:t>
            </w:r>
          </w:p>
        </w:tc>
        <w:tc>
          <w:tcPr>
            <w:tcW w:w="0" w:type="auto"/>
            <w:hideMark/>
          </w:tcPr>
          <w:p w14:paraId="1A786E6B"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4.9</w:t>
            </w:r>
          </w:p>
        </w:tc>
      </w:tr>
      <w:tr w:rsidR="004B18B0" w:rsidRPr="006F3533" w14:paraId="03064DE2"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7CE62A1D"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Здравеопазване</w:t>
            </w:r>
          </w:p>
        </w:tc>
        <w:tc>
          <w:tcPr>
            <w:tcW w:w="0" w:type="auto"/>
            <w:hideMark/>
          </w:tcPr>
          <w:p w14:paraId="24EA8516"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248</w:t>
            </w:r>
          </w:p>
        </w:tc>
        <w:tc>
          <w:tcPr>
            <w:tcW w:w="0" w:type="auto"/>
            <w:hideMark/>
          </w:tcPr>
          <w:p w14:paraId="54005BDB"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5.3</w:t>
            </w:r>
          </w:p>
        </w:tc>
        <w:tc>
          <w:tcPr>
            <w:tcW w:w="0" w:type="auto"/>
            <w:hideMark/>
          </w:tcPr>
          <w:p w14:paraId="2CD0C99C"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610</w:t>
            </w:r>
          </w:p>
        </w:tc>
        <w:tc>
          <w:tcPr>
            <w:tcW w:w="0" w:type="auto"/>
            <w:hideMark/>
          </w:tcPr>
          <w:p w14:paraId="60D33279"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6.1</w:t>
            </w:r>
          </w:p>
        </w:tc>
        <w:tc>
          <w:tcPr>
            <w:tcW w:w="0" w:type="auto"/>
            <w:hideMark/>
          </w:tcPr>
          <w:p w14:paraId="21442CC4"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716</w:t>
            </w:r>
          </w:p>
        </w:tc>
        <w:tc>
          <w:tcPr>
            <w:tcW w:w="0" w:type="auto"/>
            <w:hideMark/>
          </w:tcPr>
          <w:p w14:paraId="4F7628C1"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6.1</w:t>
            </w:r>
          </w:p>
        </w:tc>
      </w:tr>
      <w:tr w:rsidR="004B18B0" w:rsidRPr="006F3533" w14:paraId="0A2D51A3"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3E67B72"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Транспорт</w:t>
            </w:r>
          </w:p>
        </w:tc>
        <w:tc>
          <w:tcPr>
            <w:tcW w:w="0" w:type="auto"/>
            <w:hideMark/>
          </w:tcPr>
          <w:p w14:paraId="5C1A7B90"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331</w:t>
            </w:r>
          </w:p>
        </w:tc>
        <w:tc>
          <w:tcPr>
            <w:tcW w:w="0" w:type="auto"/>
            <w:hideMark/>
          </w:tcPr>
          <w:p w14:paraId="7F03282A"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7.1</w:t>
            </w:r>
          </w:p>
        </w:tc>
        <w:tc>
          <w:tcPr>
            <w:tcW w:w="0" w:type="auto"/>
            <w:hideMark/>
          </w:tcPr>
          <w:p w14:paraId="3728BFD4"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744</w:t>
            </w:r>
          </w:p>
        </w:tc>
        <w:tc>
          <w:tcPr>
            <w:tcW w:w="0" w:type="auto"/>
            <w:hideMark/>
          </w:tcPr>
          <w:p w14:paraId="31540980"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7.4</w:t>
            </w:r>
          </w:p>
        </w:tc>
        <w:tc>
          <w:tcPr>
            <w:tcW w:w="0" w:type="auto"/>
            <w:hideMark/>
          </w:tcPr>
          <w:p w14:paraId="7FFD3309"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839</w:t>
            </w:r>
          </w:p>
        </w:tc>
        <w:tc>
          <w:tcPr>
            <w:tcW w:w="0" w:type="auto"/>
            <w:hideMark/>
          </w:tcPr>
          <w:p w14:paraId="2F9BE1AC"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7.2</w:t>
            </w:r>
          </w:p>
        </w:tc>
      </w:tr>
      <w:tr w:rsidR="004B18B0" w:rsidRPr="006F3533" w14:paraId="41925508"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07A19F01"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Съобщения</w:t>
            </w:r>
          </w:p>
        </w:tc>
        <w:tc>
          <w:tcPr>
            <w:tcW w:w="0" w:type="auto"/>
            <w:hideMark/>
          </w:tcPr>
          <w:p w14:paraId="5E5D9319"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202</w:t>
            </w:r>
          </w:p>
        </w:tc>
        <w:tc>
          <w:tcPr>
            <w:tcW w:w="0" w:type="auto"/>
            <w:hideMark/>
          </w:tcPr>
          <w:p w14:paraId="46E10697"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4.3</w:t>
            </w:r>
          </w:p>
        </w:tc>
        <w:tc>
          <w:tcPr>
            <w:tcW w:w="0" w:type="auto"/>
            <w:hideMark/>
          </w:tcPr>
          <w:p w14:paraId="41C6A6E5"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415</w:t>
            </w:r>
          </w:p>
        </w:tc>
        <w:tc>
          <w:tcPr>
            <w:tcW w:w="0" w:type="auto"/>
            <w:hideMark/>
          </w:tcPr>
          <w:p w14:paraId="7CFD8970"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4.1</w:t>
            </w:r>
          </w:p>
        </w:tc>
        <w:tc>
          <w:tcPr>
            <w:tcW w:w="0" w:type="auto"/>
            <w:hideMark/>
          </w:tcPr>
          <w:p w14:paraId="258E7D42"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480</w:t>
            </w:r>
          </w:p>
        </w:tc>
        <w:tc>
          <w:tcPr>
            <w:tcW w:w="0" w:type="auto"/>
            <w:hideMark/>
          </w:tcPr>
          <w:p w14:paraId="66681249"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4.1</w:t>
            </w:r>
          </w:p>
        </w:tc>
      </w:tr>
      <w:tr w:rsidR="004B18B0" w:rsidRPr="006F3533" w14:paraId="7C205DD4"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D4FDEF"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Свободно време, културен отдих и образование</w:t>
            </w:r>
          </w:p>
        </w:tc>
        <w:tc>
          <w:tcPr>
            <w:tcW w:w="0" w:type="auto"/>
            <w:hideMark/>
          </w:tcPr>
          <w:p w14:paraId="771E6E1F"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227</w:t>
            </w:r>
          </w:p>
        </w:tc>
        <w:tc>
          <w:tcPr>
            <w:tcW w:w="0" w:type="auto"/>
            <w:hideMark/>
          </w:tcPr>
          <w:p w14:paraId="65739338"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4.9</w:t>
            </w:r>
          </w:p>
        </w:tc>
        <w:tc>
          <w:tcPr>
            <w:tcW w:w="0" w:type="auto"/>
            <w:hideMark/>
          </w:tcPr>
          <w:p w14:paraId="1DE3C435"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558</w:t>
            </w:r>
          </w:p>
        </w:tc>
        <w:tc>
          <w:tcPr>
            <w:tcW w:w="0" w:type="auto"/>
            <w:hideMark/>
          </w:tcPr>
          <w:p w14:paraId="45EAD835"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5.6</w:t>
            </w:r>
          </w:p>
        </w:tc>
        <w:tc>
          <w:tcPr>
            <w:tcW w:w="0" w:type="auto"/>
            <w:hideMark/>
          </w:tcPr>
          <w:p w14:paraId="5D753082"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780</w:t>
            </w:r>
          </w:p>
        </w:tc>
        <w:tc>
          <w:tcPr>
            <w:tcW w:w="0" w:type="auto"/>
            <w:hideMark/>
          </w:tcPr>
          <w:p w14:paraId="73D2E176"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6.7</w:t>
            </w:r>
          </w:p>
        </w:tc>
      </w:tr>
      <w:tr w:rsidR="004B18B0" w:rsidRPr="006F3533" w14:paraId="41384282"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00BC98DD"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Разнообразни стоки и услуги</w:t>
            </w:r>
          </w:p>
        </w:tc>
        <w:tc>
          <w:tcPr>
            <w:tcW w:w="0" w:type="auto"/>
            <w:hideMark/>
          </w:tcPr>
          <w:p w14:paraId="5E40F9BA"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209</w:t>
            </w:r>
          </w:p>
        </w:tc>
        <w:tc>
          <w:tcPr>
            <w:tcW w:w="0" w:type="auto"/>
            <w:hideMark/>
          </w:tcPr>
          <w:p w14:paraId="7DB92B2F"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4.5</w:t>
            </w:r>
          </w:p>
        </w:tc>
        <w:tc>
          <w:tcPr>
            <w:tcW w:w="0" w:type="auto"/>
            <w:hideMark/>
          </w:tcPr>
          <w:p w14:paraId="43BAB4D7"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479</w:t>
            </w:r>
          </w:p>
        </w:tc>
        <w:tc>
          <w:tcPr>
            <w:tcW w:w="0" w:type="auto"/>
            <w:hideMark/>
          </w:tcPr>
          <w:p w14:paraId="6CB8853A"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4.8</w:t>
            </w:r>
          </w:p>
        </w:tc>
        <w:tc>
          <w:tcPr>
            <w:tcW w:w="0" w:type="auto"/>
            <w:hideMark/>
          </w:tcPr>
          <w:p w14:paraId="7DDBFC33"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577</w:t>
            </w:r>
          </w:p>
        </w:tc>
        <w:tc>
          <w:tcPr>
            <w:tcW w:w="0" w:type="auto"/>
            <w:hideMark/>
          </w:tcPr>
          <w:p w14:paraId="7B6733B9" w14:textId="77777777" w:rsidR="004B18B0" w:rsidRPr="006F3533" w:rsidRDefault="004B18B0" w:rsidP="00541E06">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4.9</w:t>
            </w:r>
          </w:p>
        </w:tc>
      </w:tr>
      <w:tr w:rsidR="004B18B0" w:rsidRPr="006F3533" w14:paraId="79836D76"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5C4A46"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Данъци и социални осигуровки</w:t>
            </w:r>
          </w:p>
        </w:tc>
        <w:tc>
          <w:tcPr>
            <w:tcW w:w="0" w:type="auto"/>
            <w:hideMark/>
          </w:tcPr>
          <w:p w14:paraId="3D9A1920"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528</w:t>
            </w:r>
          </w:p>
        </w:tc>
        <w:tc>
          <w:tcPr>
            <w:tcW w:w="0" w:type="auto"/>
            <w:hideMark/>
          </w:tcPr>
          <w:p w14:paraId="5BC2B538"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11.4</w:t>
            </w:r>
          </w:p>
        </w:tc>
        <w:tc>
          <w:tcPr>
            <w:tcW w:w="0" w:type="auto"/>
            <w:hideMark/>
          </w:tcPr>
          <w:p w14:paraId="57AF01F4"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1 355</w:t>
            </w:r>
          </w:p>
        </w:tc>
        <w:tc>
          <w:tcPr>
            <w:tcW w:w="0" w:type="auto"/>
            <w:hideMark/>
          </w:tcPr>
          <w:p w14:paraId="6FEADAF5"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13.5</w:t>
            </w:r>
          </w:p>
        </w:tc>
        <w:tc>
          <w:tcPr>
            <w:tcW w:w="0" w:type="auto"/>
            <w:hideMark/>
          </w:tcPr>
          <w:p w14:paraId="1FDEE9BC"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1 640</w:t>
            </w:r>
          </w:p>
        </w:tc>
        <w:tc>
          <w:tcPr>
            <w:tcW w:w="0" w:type="auto"/>
            <w:hideMark/>
          </w:tcPr>
          <w:p w14:paraId="45B9872C" w14:textId="77777777" w:rsidR="004B18B0" w:rsidRPr="006F3533" w:rsidRDefault="004B18B0" w:rsidP="00541E06">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14.0</w:t>
            </w:r>
          </w:p>
        </w:tc>
      </w:tr>
    </w:tbl>
    <w:p w14:paraId="420B36D6" w14:textId="77777777" w:rsidR="004B18B0" w:rsidRPr="006F3533" w:rsidRDefault="004B18B0" w:rsidP="004B18B0">
      <w:pPr>
        <w:spacing w:after="100" w:afterAutospacing="1" w:line="240" w:lineRule="auto"/>
        <w:jc w:val="right"/>
        <w:rPr>
          <w:i/>
          <w:iCs/>
          <w:szCs w:val="24"/>
          <w:lang w:val="bg-BG"/>
        </w:rPr>
      </w:pPr>
      <w:r w:rsidRPr="006F3533">
        <w:rPr>
          <w:i/>
          <w:iCs/>
          <w:szCs w:val="24"/>
          <w:lang w:val="bg-BG"/>
        </w:rPr>
        <w:t>Източник на информацията: Национален статистически институт (НСИ), „Доходи, разходи и потребление на домакинствата през 2024 г.“</w:t>
      </w:r>
    </w:p>
    <w:p w14:paraId="11132A07" w14:textId="77777777" w:rsidR="004B18B0" w:rsidRPr="006F3533" w:rsidRDefault="004B18B0" w:rsidP="004B18B0">
      <w:pPr>
        <w:rPr>
          <w:b/>
          <w:bCs/>
          <w:lang w:val="bg-BG"/>
        </w:rPr>
      </w:pPr>
      <w:r w:rsidRPr="006F3533">
        <w:rPr>
          <w:b/>
          <w:bCs/>
          <w:lang w:val="bg-BG"/>
        </w:rPr>
        <w:t>Население, живеещо в неадекватни жилищни условия</w:t>
      </w:r>
    </w:p>
    <w:p w14:paraId="27400F35" w14:textId="77777777" w:rsidR="004B18B0" w:rsidRPr="006F3533" w:rsidRDefault="004B18B0" w:rsidP="004B18B0">
      <w:pPr>
        <w:jc w:val="both"/>
        <w:rPr>
          <w:b/>
          <w:bCs/>
          <w:szCs w:val="24"/>
          <w:lang w:val="bg-BG"/>
        </w:rPr>
      </w:pPr>
      <w:r w:rsidRPr="006F3533">
        <w:rPr>
          <w:b/>
          <w:bCs/>
          <w:szCs w:val="24"/>
          <w:lang w:val="bg-BG"/>
        </w:rPr>
        <w:t>Стойност на индикатора (2024 г.): 16,6% (1 068 602 души) - индикаторът не се измерва пряко, използва се приближен показател</w:t>
      </w:r>
    </w:p>
    <w:p w14:paraId="5F9434BA" w14:textId="77777777" w:rsidR="004B18B0" w:rsidRPr="006F3533" w:rsidRDefault="004B18B0" w:rsidP="004B18B0">
      <w:pPr>
        <w:jc w:val="both"/>
        <w:rPr>
          <w:szCs w:val="24"/>
          <w:lang w:val="bg-BG"/>
        </w:rPr>
      </w:pPr>
      <w:r w:rsidRPr="006F3533">
        <w:rPr>
          <w:szCs w:val="24"/>
          <w:lang w:val="bg-BG"/>
        </w:rPr>
        <w:lastRenderedPageBreak/>
        <w:t>Към момента в националната статистическа система не съществува директен количествен индикатор, който еднозначно да измерва броя или дела на населението, живеещо в неадекватни жилищни условия. За целите на НПСС този индикатор се оценява чрез използване на приближени показатели, публикувани от НСИ, в рамките на „Индикатори за бедност и социално включване през 2024 г.“, базирани на изследването EU-SILC.</w:t>
      </w:r>
    </w:p>
    <w:p w14:paraId="53B7A08E" w14:textId="77777777" w:rsidR="004B18B0" w:rsidRPr="006F3533" w:rsidRDefault="004B18B0" w:rsidP="004B18B0">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noProof/>
          <w:color w:val="0070C0"/>
          <w:szCs w:val="24"/>
          <w:lang w:val="bg-BG"/>
        </w:rPr>
        <w:t>33</w:t>
      </w:r>
      <w:r w:rsidRPr="006F3533">
        <w:rPr>
          <w:rFonts w:cs="Times New Roman"/>
          <w:i/>
          <w:iCs/>
          <w:color w:val="0070C0"/>
          <w:szCs w:val="24"/>
          <w:lang w:val="bg-BG"/>
        </w:rPr>
        <w:fldChar w:fldCharType="end"/>
      </w:r>
      <w:r w:rsidRPr="006F3533">
        <w:rPr>
          <w:rFonts w:cs="Times New Roman"/>
          <w:i/>
          <w:iCs/>
          <w:color w:val="0070C0"/>
          <w:szCs w:val="24"/>
          <w:lang w:val="bg-BG"/>
        </w:rPr>
        <w:t>: Показатели за материални и социални лишения през 2024 година</w:t>
      </w:r>
    </w:p>
    <w:tbl>
      <w:tblPr>
        <w:tblStyle w:val="GridTable4-Accent5"/>
        <w:tblW w:w="0" w:type="auto"/>
        <w:tblLook w:val="04A0" w:firstRow="1" w:lastRow="0" w:firstColumn="1" w:lastColumn="0" w:noHBand="0" w:noVBand="1"/>
      </w:tblPr>
      <w:tblGrid>
        <w:gridCol w:w="4718"/>
        <w:gridCol w:w="1968"/>
        <w:gridCol w:w="2376"/>
      </w:tblGrid>
      <w:tr w:rsidR="004B18B0" w:rsidRPr="006F3533" w14:paraId="299465EC"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6975162" w14:textId="77777777" w:rsidR="004B18B0" w:rsidRPr="006F3533" w:rsidRDefault="004B18B0" w:rsidP="00541E06">
            <w:pPr>
              <w:jc w:val="center"/>
              <w:rPr>
                <w:rFonts w:eastAsia="Times New Roman" w:cs="Times New Roman"/>
                <w:sz w:val="20"/>
                <w:szCs w:val="20"/>
                <w:lang w:val="bg-BG" w:eastAsia="bg-BG"/>
              </w:rPr>
            </w:pPr>
            <w:r w:rsidRPr="006F3533">
              <w:rPr>
                <w:rFonts w:eastAsia="Times New Roman" w:cs="Times New Roman"/>
                <w:sz w:val="20"/>
                <w:szCs w:val="20"/>
                <w:lang w:val="bg-BG" w:eastAsia="bg-BG"/>
              </w:rPr>
              <w:t>Показател</w:t>
            </w:r>
          </w:p>
        </w:tc>
        <w:tc>
          <w:tcPr>
            <w:tcW w:w="0" w:type="auto"/>
            <w:hideMark/>
          </w:tcPr>
          <w:p w14:paraId="361A08B9" w14:textId="77777777" w:rsidR="004B18B0" w:rsidRPr="006F3533" w:rsidRDefault="004B18B0" w:rsidP="00541E06">
            <w:pPr>
              <w:jc w:val="right"/>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Лица с ограничения – брой</w:t>
            </w:r>
          </w:p>
        </w:tc>
        <w:tc>
          <w:tcPr>
            <w:tcW w:w="0" w:type="auto"/>
            <w:hideMark/>
          </w:tcPr>
          <w:p w14:paraId="1FCD7F2B" w14:textId="77777777" w:rsidR="004B18B0" w:rsidRPr="006F3533" w:rsidRDefault="004B18B0" w:rsidP="00541E06">
            <w:pPr>
              <w:jc w:val="right"/>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Относителен дял от населението (%)</w:t>
            </w:r>
          </w:p>
        </w:tc>
      </w:tr>
      <w:tr w:rsidR="004B18B0" w:rsidRPr="006F3533" w14:paraId="71140EF7"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D16C548"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Не може да посрещне неочаквани финансови разходи</w:t>
            </w:r>
          </w:p>
        </w:tc>
        <w:tc>
          <w:tcPr>
            <w:tcW w:w="0" w:type="auto"/>
            <w:hideMark/>
          </w:tcPr>
          <w:p w14:paraId="2D9B3DFD" w14:textId="77777777" w:rsidR="004B18B0" w:rsidRPr="006F3533" w:rsidRDefault="004B18B0" w:rsidP="00541E06">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2 938 354</w:t>
            </w:r>
          </w:p>
        </w:tc>
        <w:tc>
          <w:tcPr>
            <w:tcW w:w="0" w:type="auto"/>
            <w:hideMark/>
          </w:tcPr>
          <w:p w14:paraId="37A5DCCA" w14:textId="77777777" w:rsidR="004B18B0" w:rsidRPr="006F3533" w:rsidRDefault="004B18B0" w:rsidP="00541E06">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45,6</w:t>
            </w:r>
          </w:p>
        </w:tc>
      </w:tr>
      <w:tr w:rsidR="004B18B0" w:rsidRPr="006F3533" w14:paraId="293F77D6"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298F14EA"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Не може да си позволи едноседмична почивка извън дома</w:t>
            </w:r>
          </w:p>
        </w:tc>
        <w:tc>
          <w:tcPr>
            <w:tcW w:w="0" w:type="auto"/>
            <w:hideMark/>
          </w:tcPr>
          <w:p w14:paraId="71222029" w14:textId="77777777" w:rsidR="004B18B0" w:rsidRPr="006F3533" w:rsidRDefault="004B18B0" w:rsidP="00541E06">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2 671 443</w:t>
            </w:r>
          </w:p>
        </w:tc>
        <w:tc>
          <w:tcPr>
            <w:tcW w:w="0" w:type="auto"/>
            <w:hideMark/>
          </w:tcPr>
          <w:p w14:paraId="4538A5DA" w14:textId="77777777" w:rsidR="004B18B0" w:rsidRPr="006F3533" w:rsidRDefault="004B18B0" w:rsidP="00541E06">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41,4</w:t>
            </w:r>
          </w:p>
        </w:tc>
      </w:tr>
      <w:tr w:rsidR="004B18B0" w:rsidRPr="006F3533" w14:paraId="125592E8"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2E505D7"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Затруднения при плащане на разходи за жилището (ток, вода, отопление, наем, кредити)</w:t>
            </w:r>
          </w:p>
        </w:tc>
        <w:tc>
          <w:tcPr>
            <w:tcW w:w="0" w:type="auto"/>
            <w:hideMark/>
          </w:tcPr>
          <w:p w14:paraId="271DCC51" w14:textId="77777777" w:rsidR="004B18B0" w:rsidRPr="006F3533" w:rsidRDefault="004B18B0" w:rsidP="00541E06">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1 208 329</w:t>
            </w:r>
          </w:p>
        </w:tc>
        <w:tc>
          <w:tcPr>
            <w:tcW w:w="0" w:type="auto"/>
            <w:hideMark/>
          </w:tcPr>
          <w:p w14:paraId="3D3416A5" w14:textId="77777777" w:rsidR="004B18B0" w:rsidRPr="006F3533" w:rsidRDefault="004B18B0" w:rsidP="00541E06">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18,7</w:t>
            </w:r>
          </w:p>
        </w:tc>
      </w:tr>
      <w:tr w:rsidR="004B18B0" w:rsidRPr="006F3533" w14:paraId="46446984"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77F19563"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Не може да поддържа нормална температура в жилището</w:t>
            </w:r>
          </w:p>
        </w:tc>
        <w:tc>
          <w:tcPr>
            <w:tcW w:w="0" w:type="auto"/>
            <w:hideMark/>
          </w:tcPr>
          <w:p w14:paraId="09FCDF45" w14:textId="77777777" w:rsidR="004B18B0" w:rsidRPr="006F3533" w:rsidRDefault="004B18B0" w:rsidP="00541E06">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1 223 425</w:t>
            </w:r>
          </w:p>
        </w:tc>
        <w:tc>
          <w:tcPr>
            <w:tcW w:w="0" w:type="auto"/>
            <w:hideMark/>
          </w:tcPr>
          <w:p w14:paraId="450E078C" w14:textId="77777777" w:rsidR="004B18B0" w:rsidRPr="006F3533" w:rsidRDefault="004B18B0" w:rsidP="00541E06">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19,0</w:t>
            </w:r>
          </w:p>
        </w:tc>
      </w:tr>
      <w:tr w:rsidR="004B18B0" w:rsidRPr="006F3533" w14:paraId="7CD5AA2B"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90B6C2"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Не може да си позволи консумация на месо/риба през ден</w:t>
            </w:r>
          </w:p>
        </w:tc>
        <w:tc>
          <w:tcPr>
            <w:tcW w:w="0" w:type="auto"/>
            <w:hideMark/>
          </w:tcPr>
          <w:p w14:paraId="4FC00718" w14:textId="77777777" w:rsidR="004B18B0" w:rsidRPr="006F3533" w:rsidRDefault="004B18B0" w:rsidP="00541E06">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1 207 341</w:t>
            </w:r>
          </w:p>
        </w:tc>
        <w:tc>
          <w:tcPr>
            <w:tcW w:w="0" w:type="auto"/>
            <w:hideMark/>
          </w:tcPr>
          <w:p w14:paraId="14DCFCA9" w14:textId="77777777" w:rsidR="004B18B0" w:rsidRPr="006F3533" w:rsidRDefault="004B18B0" w:rsidP="00541E06">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18,7</w:t>
            </w:r>
          </w:p>
        </w:tc>
      </w:tr>
      <w:tr w:rsidR="004B18B0" w:rsidRPr="006F3533" w14:paraId="27D4FD68" w14:textId="77777777" w:rsidTr="00541E06">
        <w:tc>
          <w:tcPr>
            <w:cnfStyle w:val="001000000000" w:firstRow="0" w:lastRow="0" w:firstColumn="1" w:lastColumn="0" w:oddVBand="0" w:evenVBand="0" w:oddHBand="0" w:evenHBand="0" w:firstRowFirstColumn="0" w:firstRowLastColumn="0" w:lastRowFirstColumn="0" w:lastRowLastColumn="0"/>
            <w:tcW w:w="0" w:type="auto"/>
            <w:hideMark/>
          </w:tcPr>
          <w:p w14:paraId="2BEE3E77"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Не притежава автомобил</w:t>
            </w:r>
          </w:p>
        </w:tc>
        <w:tc>
          <w:tcPr>
            <w:tcW w:w="0" w:type="auto"/>
            <w:hideMark/>
          </w:tcPr>
          <w:p w14:paraId="6DDF2508" w14:textId="77777777" w:rsidR="004B18B0" w:rsidRPr="006F3533" w:rsidRDefault="004B18B0" w:rsidP="00541E06">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678 944</w:t>
            </w:r>
          </w:p>
        </w:tc>
        <w:tc>
          <w:tcPr>
            <w:tcW w:w="0" w:type="auto"/>
            <w:hideMark/>
          </w:tcPr>
          <w:p w14:paraId="249CA0E3" w14:textId="77777777" w:rsidR="004B18B0" w:rsidRPr="006F3533" w:rsidRDefault="004B18B0" w:rsidP="00541E06">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10,5</w:t>
            </w:r>
          </w:p>
        </w:tc>
      </w:tr>
      <w:tr w:rsidR="004B18B0" w:rsidRPr="006F3533" w14:paraId="48BF35F3"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10A4990" w14:textId="77777777" w:rsidR="004B18B0" w:rsidRPr="006F3533" w:rsidRDefault="004B18B0" w:rsidP="00541E06">
            <w:pPr>
              <w:spacing w:line="276" w:lineRule="auto"/>
              <w:rPr>
                <w:rFonts w:eastAsia="Times New Roman" w:cs="Times New Roman"/>
                <w:b w:val="0"/>
                <w:bCs w:val="0"/>
                <w:sz w:val="20"/>
                <w:szCs w:val="20"/>
                <w:lang w:val="bg-BG" w:eastAsia="bg-BG"/>
              </w:rPr>
            </w:pPr>
            <w:r w:rsidRPr="006F3533">
              <w:rPr>
                <w:rFonts w:eastAsia="Times New Roman" w:cs="Times New Roman"/>
                <w:b w:val="0"/>
                <w:bCs w:val="0"/>
                <w:sz w:val="20"/>
                <w:szCs w:val="20"/>
                <w:lang w:val="bg-BG" w:eastAsia="bg-BG"/>
              </w:rPr>
              <w:t>Не може да си позволи подмяна на остаряла мебелировка</w:t>
            </w:r>
          </w:p>
        </w:tc>
        <w:tc>
          <w:tcPr>
            <w:tcW w:w="0" w:type="auto"/>
            <w:hideMark/>
          </w:tcPr>
          <w:p w14:paraId="72B4D76D" w14:textId="77777777" w:rsidR="004B18B0" w:rsidRPr="006F3533" w:rsidRDefault="004B18B0" w:rsidP="00541E06">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2 543 222</w:t>
            </w:r>
          </w:p>
        </w:tc>
        <w:tc>
          <w:tcPr>
            <w:tcW w:w="0" w:type="auto"/>
            <w:hideMark/>
          </w:tcPr>
          <w:p w14:paraId="1EB960B1" w14:textId="77777777" w:rsidR="004B18B0" w:rsidRPr="006F3533" w:rsidRDefault="004B18B0" w:rsidP="00541E06">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lang w:val="bg-BG" w:eastAsia="bg-BG"/>
              </w:rPr>
            </w:pPr>
            <w:r w:rsidRPr="006F3533">
              <w:rPr>
                <w:rFonts w:eastAsia="Times New Roman" w:cs="Times New Roman"/>
                <w:sz w:val="20"/>
                <w:szCs w:val="20"/>
                <w:lang w:val="bg-BG" w:eastAsia="bg-BG"/>
              </w:rPr>
              <w:t>39,4</w:t>
            </w:r>
          </w:p>
        </w:tc>
      </w:tr>
    </w:tbl>
    <w:p w14:paraId="6A858856" w14:textId="77777777" w:rsidR="004B18B0" w:rsidRPr="006F3533" w:rsidRDefault="004B18B0" w:rsidP="004B18B0">
      <w:pPr>
        <w:spacing w:after="100" w:afterAutospacing="1" w:line="240" w:lineRule="auto"/>
        <w:jc w:val="right"/>
        <w:rPr>
          <w:i/>
          <w:iCs/>
          <w:szCs w:val="24"/>
          <w:lang w:val="bg-BG"/>
        </w:rPr>
      </w:pPr>
      <w:r w:rsidRPr="006F3533">
        <w:rPr>
          <w:i/>
          <w:iCs/>
          <w:szCs w:val="24"/>
          <w:lang w:val="bg-BG"/>
        </w:rPr>
        <w:t>Източник на информацията: Национален статистически институт (НСИ), „Индикатори за бедност и социално включване през 2024 г.“</w:t>
      </w:r>
    </w:p>
    <w:p w14:paraId="1FCC3C03" w14:textId="77777777" w:rsidR="004B18B0" w:rsidRPr="006F3533" w:rsidRDefault="004B18B0" w:rsidP="004B18B0">
      <w:pPr>
        <w:jc w:val="both"/>
        <w:rPr>
          <w:szCs w:val="24"/>
          <w:lang w:val="bg-BG"/>
        </w:rPr>
      </w:pPr>
      <w:r w:rsidRPr="006F3533">
        <w:rPr>
          <w:szCs w:val="24"/>
          <w:lang w:val="bg-BG"/>
        </w:rPr>
        <w:t>Съгласно дефинициите на Евростат и НСИ, материалните и социалните лишения отразяват икономически затруднения, състоянието на дълготрайните материални активи и качеството на жилищните условия, включително способността на домакинствата:</w:t>
      </w:r>
    </w:p>
    <w:p w14:paraId="792700B9" w14:textId="77777777" w:rsidR="004B18B0" w:rsidRPr="006F3533" w:rsidRDefault="004B18B0" w:rsidP="00551FED">
      <w:pPr>
        <w:pStyle w:val="ListParagraph"/>
        <w:numPr>
          <w:ilvl w:val="0"/>
          <w:numId w:val="124"/>
        </w:numPr>
        <w:jc w:val="both"/>
        <w:rPr>
          <w:szCs w:val="24"/>
          <w:lang w:val="bg-BG"/>
        </w:rPr>
      </w:pPr>
      <w:r w:rsidRPr="006F3533">
        <w:rPr>
          <w:szCs w:val="24"/>
          <w:lang w:val="bg-BG"/>
        </w:rPr>
        <w:t>да поддържат адекватна температура в жилището;</w:t>
      </w:r>
    </w:p>
    <w:p w14:paraId="6853BDE7" w14:textId="77777777" w:rsidR="004B18B0" w:rsidRPr="006F3533" w:rsidRDefault="004B18B0" w:rsidP="00551FED">
      <w:pPr>
        <w:pStyle w:val="ListParagraph"/>
        <w:numPr>
          <w:ilvl w:val="0"/>
          <w:numId w:val="124"/>
        </w:numPr>
        <w:jc w:val="both"/>
        <w:rPr>
          <w:szCs w:val="24"/>
          <w:lang w:val="bg-BG"/>
        </w:rPr>
      </w:pPr>
      <w:r w:rsidRPr="006F3533">
        <w:rPr>
          <w:szCs w:val="24"/>
          <w:lang w:val="bg-BG"/>
        </w:rPr>
        <w:t>да плащат навреме разходите, свързани с жилището (ток, вода, отопление, наем, ипотека);</w:t>
      </w:r>
    </w:p>
    <w:p w14:paraId="6FA93B21" w14:textId="77777777" w:rsidR="004B18B0" w:rsidRPr="006F3533" w:rsidRDefault="004B18B0" w:rsidP="00551FED">
      <w:pPr>
        <w:pStyle w:val="ListParagraph"/>
        <w:numPr>
          <w:ilvl w:val="0"/>
          <w:numId w:val="124"/>
        </w:numPr>
        <w:jc w:val="both"/>
        <w:rPr>
          <w:szCs w:val="24"/>
          <w:lang w:val="bg-BG"/>
        </w:rPr>
      </w:pPr>
      <w:r w:rsidRPr="006F3533">
        <w:rPr>
          <w:szCs w:val="24"/>
          <w:lang w:val="bg-BG"/>
        </w:rPr>
        <w:t>да извършват неотложни ремонти и да посрещат неочаквани разходи.</w:t>
      </w:r>
    </w:p>
    <w:p w14:paraId="4A4E56A0" w14:textId="77777777" w:rsidR="004B18B0" w:rsidRPr="006F3533" w:rsidRDefault="004B18B0" w:rsidP="004B18B0">
      <w:pPr>
        <w:jc w:val="both"/>
        <w:rPr>
          <w:szCs w:val="24"/>
          <w:lang w:val="bg-BG"/>
        </w:rPr>
      </w:pPr>
      <w:r w:rsidRPr="006F3533">
        <w:rPr>
          <w:szCs w:val="24"/>
          <w:lang w:val="bg-BG"/>
        </w:rPr>
        <w:t xml:space="preserve">От 2021 г. насам НСИ прилага показателя „тежки материални и социални лишения“, който измерва дела на лицата, които не могат да си позволят поне 7 от 13 основни показателя (6 на индивидуално ниво и 7 на ниво домакинство). </w:t>
      </w:r>
      <w:r w:rsidRPr="006F3533">
        <w:rPr>
          <w:b/>
          <w:bCs/>
          <w:szCs w:val="24"/>
          <w:lang w:val="bg-BG"/>
        </w:rPr>
        <w:t xml:space="preserve">Този показател се използва като основен </w:t>
      </w:r>
      <w:proofErr w:type="spellStart"/>
      <w:r w:rsidRPr="006F3533">
        <w:rPr>
          <w:b/>
          <w:bCs/>
          <w:szCs w:val="24"/>
          <w:lang w:val="bg-BG"/>
        </w:rPr>
        <w:t>прокси</w:t>
      </w:r>
      <w:proofErr w:type="spellEnd"/>
      <w:r w:rsidRPr="006F3533">
        <w:rPr>
          <w:b/>
          <w:bCs/>
          <w:szCs w:val="24"/>
          <w:lang w:val="bg-BG"/>
        </w:rPr>
        <w:t>-индикатор за идентифициране на населението, живеещо в условия, които могат да се определят като неадекватни от гледна точка на жилищния комфорт и сигурност.</w:t>
      </w:r>
    </w:p>
    <w:p w14:paraId="3A5E18DC" w14:textId="77777777" w:rsidR="004B18B0" w:rsidRPr="006F3533" w:rsidRDefault="004B18B0" w:rsidP="004B18B0">
      <w:pPr>
        <w:jc w:val="both"/>
        <w:rPr>
          <w:szCs w:val="24"/>
          <w:lang w:val="bg-BG"/>
        </w:rPr>
      </w:pPr>
      <w:r w:rsidRPr="006F3533">
        <w:rPr>
          <w:szCs w:val="24"/>
          <w:lang w:val="bg-BG"/>
        </w:rPr>
        <w:t xml:space="preserve">През 2024 г. 16,6% от населението на страната живее в тежки материални и социални лишения, което представлява намаление с 1,4 процентни пункта спрямо 2023 г. Въпреки отчетеното подобрение, анализът на компонентите на показателя показва, че </w:t>
      </w:r>
      <w:r w:rsidRPr="006F3533">
        <w:rPr>
          <w:szCs w:val="24"/>
          <w:lang w:val="bg-BG"/>
        </w:rPr>
        <w:lastRenderedPageBreak/>
        <w:t>значителна част от населението изпитва пряко свързани с жилището ограничения, а именно:</w:t>
      </w:r>
    </w:p>
    <w:p w14:paraId="46EC7681" w14:textId="77777777" w:rsidR="004B18B0" w:rsidRPr="006F3533" w:rsidRDefault="004B18B0" w:rsidP="00551FED">
      <w:pPr>
        <w:pStyle w:val="ListParagraph"/>
        <w:numPr>
          <w:ilvl w:val="0"/>
          <w:numId w:val="125"/>
        </w:numPr>
        <w:jc w:val="both"/>
        <w:rPr>
          <w:szCs w:val="24"/>
          <w:lang w:val="bg-BG"/>
        </w:rPr>
      </w:pPr>
      <w:r w:rsidRPr="006F3533">
        <w:rPr>
          <w:szCs w:val="24"/>
          <w:lang w:val="bg-BG"/>
        </w:rPr>
        <w:t>19,0% от населението не могат да поддържат нормална температура в жилището си;</w:t>
      </w:r>
    </w:p>
    <w:p w14:paraId="788B10BF" w14:textId="77777777" w:rsidR="004B18B0" w:rsidRPr="006F3533" w:rsidRDefault="004B18B0" w:rsidP="00551FED">
      <w:pPr>
        <w:pStyle w:val="ListParagraph"/>
        <w:numPr>
          <w:ilvl w:val="0"/>
          <w:numId w:val="125"/>
        </w:numPr>
        <w:jc w:val="both"/>
        <w:rPr>
          <w:szCs w:val="24"/>
          <w:lang w:val="bg-BG"/>
        </w:rPr>
      </w:pPr>
      <w:r w:rsidRPr="006F3533">
        <w:rPr>
          <w:szCs w:val="24"/>
          <w:lang w:val="bg-BG"/>
        </w:rPr>
        <w:t>18,7% имат затруднения при навременното плащане на разходите за жилището (електроенергия, вода, отопление, наем, кредити);</w:t>
      </w:r>
    </w:p>
    <w:p w14:paraId="0A0E6015" w14:textId="77777777" w:rsidR="004B18B0" w:rsidRPr="006F3533" w:rsidRDefault="004B18B0" w:rsidP="00551FED">
      <w:pPr>
        <w:pStyle w:val="ListParagraph"/>
        <w:numPr>
          <w:ilvl w:val="0"/>
          <w:numId w:val="125"/>
        </w:numPr>
        <w:jc w:val="both"/>
        <w:rPr>
          <w:szCs w:val="24"/>
          <w:lang w:val="bg-BG"/>
        </w:rPr>
      </w:pPr>
      <w:r w:rsidRPr="006F3533">
        <w:rPr>
          <w:szCs w:val="24"/>
          <w:lang w:val="bg-BG"/>
        </w:rPr>
        <w:t>45,6% не могат да посрещнат неочаквани финансови разходи, включително неотложен ремонт на жилището.</w:t>
      </w:r>
    </w:p>
    <w:p w14:paraId="38B41663" w14:textId="6488C04C" w:rsidR="004B18B0" w:rsidRPr="006F3533" w:rsidRDefault="004B18B0" w:rsidP="004B18B0">
      <w:pPr>
        <w:rPr>
          <w:lang w:val="bg-BG"/>
        </w:rPr>
      </w:pPr>
      <w:r w:rsidRPr="006F3533">
        <w:rPr>
          <w:szCs w:val="24"/>
          <w:lang w:val="bg-BG"/>
        </w:rPr>
        <w:t>Следва да се отбележи, че на  практика, относителният дял на лицата, които не поддържат нормална температура в жилището в зависимост от сезона е по-голям. Експертните анализи на енергията използвана за отопление в жилищните сгради показва, че стойността на реално разходваната енергия за отопление е почти два пъти по-ниска от нормализираната брутна потребна енергия за отопление при съществуващото състояние на сградите. Освен наличието на необитавани жилища и масовата липса на отопление в общите части на сградите, повечето домакинства отопляват само отделни помещения от жилищата си и то с прекъснат режим на работа на отоплителните съоръжения. Тези фактори водят до структурно занижено потребление на енергия, което не е резултат от енергийна ефективност, а от ограничен достъп до адекватни жилищни условия.</w:t>
      </w:r>
    </w:p>
    <w:p w14:paraId="4A892CE6" w14:textId="477A44F4" w:rsidR="003E2E8C" w:rsidRPr="006F3533" w:rsidRDefault="003E2E8C" w:rsidP="00077D42">
      <w:pPr>
        <w:pStyle w:val="Heading1"/>
        <w:jc w:val="both"/>
        <w:rPr>
          <w:lang w:val="bg-BG"/>
        </w:rPr>
      </w:pPr>
      <w:bookmarkStart w:id="164" w:name="_Toc217888803"/>
      <w:r w:rsidRPr="006F3533">
        <w:rPr>
          <w:lang w:val="bg-BG"/>
        </w:rPr>
        <w:t>Фактори за първична енергия</w:t>
      </w:r>
      <w:bookmarkEnd w:id="164"/>
    </w:p>
    <w:p w14:paraId="0B8C4814" w14:textId="77777777" w:rsidR="003E2E8C" w:rsidRPr="006F3533" w:rsidRDefault="003E2E8C" w:rsidP="00077D42">
      <w:pPr>
        <w:pStyle w:val="NormalWeb"/>
        <w:jc w:val="both"/>
        <w:rPr>
          <w:rFonts w:ascii="Aptos" w:hAnsi="Aptos"/>
          <w:lang w:val="bg-BG"/>
        </w:rPr>
      </w:pPr>
      <w:r w:rsidRPr="006F3533">
        <w:rPr>
          <w:rFonts w:ascii="Aptos" w:hAnsi="Aptos"/>
          <w:lang w:val="bg-BG"/>
        </w:rPr>
        <w:t xml:space="preserve">Представените фактори за първична енергия са взети от </w:t>
      </w:r>
      <w:r w:rsidRPr="006F3533">
        <w:rPr>
          <w:rStyle w:val="Strong"/>
          <w:rFonts w:ascii="Aptos" w:hAnsi="Aptos"/>
          <w:b w:val="0"/>
          <w:bCs w:val="0"/>
          <w:lang w:val="bg-BG"/>
        </w:rPr>
        <w:t>Наредба № РД-02-20-3 за техническите изисквания към енергийните характеристики на сградите</w:t>
      </w:r>
      <w:r w:rsidRPr="006F3533">
        <w:rPr>
          <w:rFonts w:ascii="Aptos" w:hAnsi="Aptos"/>
          <w:lang w:val="bg-BG"/>
        </w:rPr>
        <w:t xml:space="preserve">, в консолидираната ѝ версия с изменения в сила от </w:t>
      </w:r>
      <w:r w:rsidRPr="006F3533">
        <w:rPr>
          <w:rStyle w:val="Strong"/>
          <w:rFonts w:ascii="Aptos" w:hAnsi="Aptos"/>
          <w:b w:val="0"/>
          <w:bCs w:val="0"/>
          <w:lang w:val="bg-BG"/>
        </w:rPr>
        <w:t>1 март 2024 г.</w:t>
      </w:r>
      <w:r w:rsidRPr="006F3533">
        <w:rPr>
          <w:rFonts w:ascii="Aptos" w:hAnsi="Aptos"/>
          <w:lang w:val="bg-BG"/>
        </w:rPr>
        <w:t xml:space="preserve"> Данните са част от официалната национална методология за оценка на енергийните характеристики на сградите.</w:t>
      </w:r>
    </w:p>
    <w:p w14:paraId="1FB5D68C" w14:textId="77777777" w:rsidR="003E2E8C" w:rsidRPr="006F3533" w:rsidRDefault="003E2E8C" w:rsidP="00077D42">
      <w:pPr>
        <w:pStyle w:val="NormalWeb"/>
        <w:jc w:val="both"/>
        <w:rPr>
          <w:rFonts w:ascii="Aptos" w:hAnsi="Aptos"/>
          <w:lang w:val="bg-BG"/>
        </w:rPr>
      </w:pPr>
      <w:r w:rsidRPr="006F3533">
        <w:rPr>
          <w:rFonts w:ascii="Aptos" w:hAnsi="Aptos"/>
          <w:lang w:val="bg-BG"/>
        </w:rPr>
        <w:t xml:space="preserve">Тези фактори се използват за </w:t>
      </w:r>
      <w:r w:rsidRPr="006F3533">
        <w:rPr>
          <w:rStyle w:val="Strong"/>
          <w:rFonts w:ascii="Aptos" w:hAnsi="Aptos"/>
          <w:b w:val="0"/>
          <w:bCs w:val="0"/>
          <w:lang w:val="bg-BG"/>
        </w:rPr>
        <w:t>преизчисляване на крайното енергийно потребление в първична енергия</w:t>
      </w:r>
      <w:r w:rsidRPr="006F3533">
        <w:rPr>
          <w:rFonts w:ascii="Aptos" w:hAnsi="Aptos"/>
          <w:lang w:val="bg-BG"/>
        </w:rPr>
        <w:t xml:space="preserve"> и се прилагат </w:t>
      </w:r>
      <w:r w:rsidRPr="006F3533">
        <w:rPr>
          <w:rStyle w:val="Strong"/>
          <w:rFonts w:ascii="Aptos" w:hAnsi="Aptos"/>
          <w:b w:val="0"/>
          <w:bCs w:val="0"/>
          <w:lang w:val="bg-BG"/>
        </w:rPr>
        <w:t>задължително при всички енергийни обследвания на сгради и при издаването на сертификати за енергийни характеристики</w:t>
      </w:r>
      <w:r w:rsidRPr="006F3533">
        <w:rPr>
          <w:rFonts w:ascii="Aptos" w:hAnsi="Aptos"/>
          <w:b/>
          <w:bCs/>
          <w:lang w:val="bg-BG"/>
        </w:rPr>
        <w:t>.</w:t>
      </w:r>
      <w:r w:rsidRPr="006F3533">
        <w:rPr>
          <w:rFonts w:ascii="Aptos" w:hAnsi="Aptos"/>
          <w:lang w:val="bg-BG"/>
        </w:rPr>
        <w:t xml:space="preserve"> По този начин се гарантира единен, съпоставим и нормативно утвърден подход при оценката на енергийната ефективност на сградния фонд в България.</w:t>
      </w:r>
    </w:p>
    <w:p w14:paraId="61064853" w14:textId="0EC9B0F8" w:rsidR="003E2E8C" w:rsidRPr="006F3533" w:rsidRDefault="003E2E8C" w:rsidP="00077D42">
      <w:pPr>
        <w:spacing w:line="240" w:lineRule="auto"/>
        <w:jc w:val="both"/>
        <w:rPr>
          <w:rFonts w:cs="Times New Roman"/>
          <w:i/>
          <w:iCs/>
          <w:color w:val="0070C0"/>
          <w:szCs w:val="24"/>
          <w:lang w:val="bg-BG"/>
        </w:rPr>
      </w:pPr>
      <w:r w:rsidRPr="006F3533">
        <w:rPr>
          <w:rFonts w:cs="Times New Roman"/>
          <w:i/>
          <w:iCs/>
          <w:color w:val="0070C0"/>
          <w:szCs w:val="24"/>
          <w:lang w:val="bg-BG"/>
        </w:rPr>
        <w:t>Таблица 1</w:t>
      </w:r>
      <w:r w:rsidR="00FB437C" w:rsidRPr="006F3533">
        <w:rPr>
          <w:rFonts w:cs="Times New Roman"/>
          <w:i/>
          <w:iCs/>
          <w:color w:val="0070C0"/>
          <w:szCs w:val="24"/>
          <w:lang w:val="bg-BG"/>
        </w:rPr>
        <w:t>3</w:t>
      </w:r>
      <w:r w:rsidRPr="006F3533">
        <w:rPr>
          <w:rFonts w:cs="Times New Roman"/>
          <w:i/>
          <w:iCs/>
          <w:color w:val="0070C0"/>
          <w:szCs w:val="24"/>
          <w:lang w:val="bg-BG"/>
        </w:rPr>
        <w:t>. Фактори за първична енергия</w:t>
      </w:r>
    </w:p>
    <w:tbl>
      <w:tblPr>
        <w:tblStyle w:val="TableGrid"/>
        <w:tblW w:w="5000" w:type="pct"/>
        <w:tblLook w:val="04A0" w:firstRow="1" w:lastRow="0" w:firstColumn="1" w:lastColumn="0" w:noHBand="0" w:noVBand="1"/>
      </w:tblPr>
      <w:tblGrid>
        <w:gridCol w:w="2775"/>
        <w:gridCol w:w="2289"/>
        <w:gridCol w:w="2003"/>
        <w:gridCol w:w="1995"/>
      </w:tblGrid>
      <w:tr w:rsidR="00666120" w:rsidRPr="006F3533" w14:paraId="2AF56733" w14:textId="23723C5C" w:rsidTr="00552DC2">
        <w:tc>
          <w:tcPr>
            <w:tcW w:w="1531" w:type="pct"/>
            <w:shd w:val="clear" w:color="auto" w:fill="D9D9D9" w:themeFill="background1" w:themeFillShade="D9"/>
          </w:tcPr>
          <w:p w14:paraId="30810DBE" w14:textId="6A0971E3" w:rsidR="00666120" w:rsidRPr="006F3533" w:rsidRDefault="00666120" w:rsidP="00077D42">
            <w:pPr>
              <w:pStyle w:val="ListParagraph"/>
              <w:ind w:left="0"/>
              <w:jc w:val="both"/>
              <w:rPr>
                <w:rFonts w:cs="Times New Roman"/>
                <w:szCs w:val="24"/>
                <w:lang w:val="bg-BG"/>
              </w:rPr>
            </w:pPr>
            <w:proofErr w:type="spellStart"/>
            <w:r w:rsidRPr="006F3533">
              <w:rPr>
                <w:rFonts w:cs="Times New Roman"/>
                <w:szCs w:val="24"/>
                <w:lang w:val="bg-BG"/>
              </w:rPr>
              <w:t>Primary</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factors</w:t>
            </w:r>
            <w:proofErr w:type="spellEnd"/>
            <w:r w:rsidRPr="006F3533">
              <w:rPr>
                <w:rFonts w:cs="Times New Roman"/>
                <w:szCs w:val="24"/>
                <w:lang w:val="bg-BG"/>
              </w:rPr>
              <w:t xml:space="preserve"> </w:t>
            </w:r>
            <w:proofErr w:type="spellStart"/>
            <w:r w:rsidRPr="006F3533">
              <w:rPr>
                <w:rFonts w:cs="Times New Roman"/>
                <w:szCs w:val="24"/>
                <w:lang w:val="bg-BG"/>
              </w:rPr>
              <w:t>per</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carrier</w:t>
            </w:r>
            <w:proofErr w:type="spellEnd"/>
          </w:p>
        </w:tc>
        <w:tc>
          <w:tcPr>
            <w:tcW w:w="1263" w:type="pct"/>
            <w:shd w:val="clear" w:color="auto" w:fill="D9D9D9" w:themeFill="background1" w:themeFillShade="D9"/>
          </w:tcPr>
          <w:p w14:paraId="7CE932F7" w14:textId="429D0C98" w:rsidR="00666120" w:rsidRPr="006F3533" w:rsidRDefault="00666120" w:rsidP="00077D42">
            <w:pPr>
              <w:pStyle w:val="ListParagraph"/>
              <w:ind w:left="0"/>
              <w:jc w:val="both"/>
              <w:rPr>
                <w:rFonts w:cs="Times New Roman"/>
                <w:szCs w:val="24"/>
                <w:lang w:val="bg-BG"/>
              </w:rPr>
            </w:pPr>
            <w:proofErr w:type="spellStart"/>
            <w:r w:rsidRPr="006F3533">
              <w:rPr>
                <w:rFonts w:cs="Times New Roman"/>
                <w:szCs w:val="24"/>
                <w:lang w:val="bg-BG"/>
              </w:rPr>
              <w:t>Non-Renewable</w:t>
            </w:r>
            <w:proofErr w:type="spellEnd"/>
            <w:r w:rsidRPr="006F3533">
              <w:rPr>
                <w:rFonts w:cs="Times New Roman"/>
                <w:szCs w:val="24"/>
                <w:lang w:val="bg-BG"/>
              </w:rPr>
              <w:t xml:space="preserve"> (</w:t>
            </w:r>
            <w:proofErr w:type="spellStart"/>
            <w:r w:rsidR="00830797" w:rsidRPr="006F3533">
              <w:rPr>
                <w:rFonts w:cs="Times New Roman"/>
                <w:szCs w:val="24"/>
                <w:lang w:val="bg-BG"/>
              </w:rPr>
              <w:t>fP</w:t>
            </w:r>
            <w:r w:rsidR="00F34C2B" w:rsidRPr="006F3533">
              <w:rPr>
                <w:rFonts w:cs="Times New Roman"/>
                <w:szCs w:val="24"/>
                <w:lang w:val="bg-BG"/>
              </w:rPr>
              <w:t>nren</w:t>
            </w:r>
            <w:proofErr w:type="spellEnd"/>
            <w:r w:rsidRPr="006F3533">
              <w:rPr>
                <w:rFonts w:cs="Times New Roman"/>
                <w:szCs w:val="24"/>
                <w:lang w:val="bg-BG"/>
              </w:rPr>
              <w:t>)</w:t>
            </w:r>
          </w:p>
          <w:p w14:paraId="61F9105B" w14:textId="19552432" w:rsidR="00751624" w:rsidRPr="006F3533" w:rsidRDefault="00751624"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X-2</w:t>
            </w:r>
          </w:p>
        </w:tc>
        <w:tc>
          <w:tcPr>
            <w:tcW w:w="1105" w:type="pct"/>
            <w:shd w:val="clear" w:color="auto" w:fill="D9D9D9" w:themeFill="background1" w:themeFillShade="D9"/>
          </w:tcPr>
          <w:p w14:paraId="0D312A9D" w14:textId="689EEBE6" w:rsidR="00666120" w:rsidRPr="006F3533" w:rsidRDefault="00666120" w:rsidP="00077D42">
            <w:pPr>
              <w:pStyle w:val="ListParagraph"/>
              <w:ind w:left="0"/>
              <w:jc w:val="both"/>
              <w:rPr>
                <w:rFonts w:cs="Times New Roman"/>
                <w:szCs w:val="24"/>
                <w:lang w:val="bg-BG"/>
              </w:rPr>
            </w:pPr>
            <w:proofErr w:type="spellStart"/>
            <w:r w:rsidRPr="006F3533">
              <w:rPr>
                <w:rFonts w:cs="Times New Roman"/>
                <w:szCs w:val="24"/>
                <w:lang w:val="bg-BG"/>
              </w:rPr>
              <w:t>Renewable</w:t>
            </w:r>
            <w:proofErr w:type="spellEnd"/>
            <w:r w:rsidRPr="006F3533">
              <w:rPr>
                <w:rFonts w:cs="Times New Roman"/>
                <w:szCs w:val="24"/>
                <w:lang w:val="bg-BG"/>
              </w:rPr>
              <w:t xml:space="preserve"> (</w:t>
            </w:r>
            <w:proofErr w:type="spellStart"/>
            <w:r w:rsidR="000075FC" w:rsidRPr="006F3533">
              <w:rPr>
                <w:rFonts w:cs="Times New Roman"/>
                <w:szCs w:val="24"/>
                <w:lang w:val="bg-BG"/>
              </w:rPr>
              <w:t>fPren</w:t>
            </w:r>
            <w:proofErr w:type="spellEnd"/>
            <w:r w:rsidRPr="006F3533">
              <w:rPr>
                <w:rFonts w:cs="Times New Roman"/>
                <w:szCs w:val="24"/>
                <w:lang w:val="bg-BG"/>
              </w:rPr>
              <w:t>)</w:t>
            </w:r>
          </w:p>
          <w:p w14:paraId="1056C681" w14:textId="323C88CD" w:rsidR="00751624" w:rsidRPr="006F3533" w:rsidRDefault="00751624"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X-2</w:t>
            </w:r>
          </w:p>
        </w:tc>
        <w:tc>
          <w:tcPr>
            <w:tcW w:w="1101" w:type="pct"/>
            <w:shd w:val="clear" w:color="auto" w:fill="D9D9D9" w:themeFill="background1" w:themeFillShade="D9"/>
          </w:tcPr>
          <w:p w14:paraId="0917DCCD" w14:textId="77777777" w:rsidR="00666120" w:rsidRPr="006F3533" w:rsidRDefault="00666120" w:rsidP="00077D42">
            <w:pPr>
              <w:pStyle w:val="ListParagraph"/>
              <w:ind w:left="0"/>
              <w:jc w:val="both"/>
              <w:rPr>
                <w:rFonts w:cs="Times New Roman"/>
                <w:szCs w:val="24"/>
                <w:lang w:val="bg-BG"/>
              </w:rPr>
            </w:pPr>
            <w:r w:rsidRPr="006F3533">
              <w:rPr>
                <w:rFonts w:cs="Times New Roman"/>
                <w:szCs w:val="24"/>
                <w:lang w:val="bg-BG"/>
              </w:rPr>
              <w:t>Total</w:t>
            </w:r>
          </w:p>
          <w:p w14:paraId="5C59D4CA" w14:textId="0A238271" w:rsidR="00F65FB7" w:rsidRPr="006F3533" w:rsidRDefault="00F65FB7" w:rsidP="00077D42">
            <w:pPr>
              <w:pStyle w:val="ListParagraph"/>
              <w:ind w:left="0"/>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fP</w:t>
            </w:r>
            <w:r w:rsidR="0066748E" w:rsidRPr="006F3533">
              <w:rPr>
                <w:rFonts w:cs="Times New Roman"/>
                <w:szCs w:val="24"/>
                <w:lang w:val="bg-BG"/>
              </w:rPr>
              <w:t>tot</w:t>
            </w:r>
            <w:proofErr w:type="spellEnd"/>
            <w:r w:rsidR="0066748E" w:rsidRPr="006F3533">
              <w:rPr>
                <w:rFonts w:cs="Times New Roman"/>
                <w:szCs w:val="24"/>
                <w:lang w:val="bg-BG"/>
              </w:rPr>
              <w:t>)</w:t>
            </w:r>
          </w:p>
          <w:p w14:paraId="70824E71" w14:textId="737E6369" w:rsidR="00751624" w:rsidRPr="006F3533" w:rsidRDefault="00751624" w:rsidP="00077D42">
            <w:pPr>
              <w:pStyle w:val="ListParagraph"/>
              <w:ind w:left="0"/>
              <w:jc w:val="both"/>
              <w:rPr>
                <w:rFonts w:cs="Times New Roman"/>
                <w:szCs w:val="24"/>
                <w:lang w:val="bg-BG"/>
              </w:rPr>
            </w:pP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X-2</w:t>
            </w:r>
          </w:p>
        </w:tc>
      </w:tr>
      <w:tr w:rsidR="00666120" w:rsidRPr="006F3533" w14:paraId="2933EF4F" w14:textId="75221011" w:rsidTr="00552DC2">
        <w:tc>
          <w:tcPr>
            <w:tcW w:w="1531" w:type="pct"/>
          </w:tcPr>
          <w:p w14:paraId="1ACFEAFE" w14:textId="64AB66C4" w:rsidR="00666120" w:rsidRPr="006F3533" w:rsidRDefault="00666120" w:rsidP="00077D42">
            <w:pPr>
              <w:pStyle w:val="ListParagraph"/>
              <w:ind w:left="0"/>
              <w:jc w:val="both"/>
              <w:rPr>
                <w:rFonts w:cs="Times New Roman"/>
                <w:szCs w:val="24"/>
                <w:lang w:val="bg-BG"/>
              </w:rPr>
            </w:pPr>
            <w:proofErr w:type="spellStart"/>
            <w:r w:rsidRPr="006F3533">
              <w:rPr>
                <w:rFonts w:cs="Times New Roman"/>
                <w:szCs w:val="24"/>
                <w:lang w:val="bg-BG"/>
              </w:rPr>
              <w:t>Gas</w:t>
            </w:r>
            <w:proofErr w:type="spellEnd"/>
          </w:p>
        </w:tc>
        <w:tc>
          <w:tcPr>
            <w:tcW w:w="1263" w:type="pct"/>
          </w:tcPr>
          <w:p w14:paraId="3576CA19" w14:textId="052459F5"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1,1</w:t>
            </w:r>
          </w:p>
        </w:tc>
        <w:tc>
          <w:tcPr>
            <w:tcW w:w="1105" w:type="pct"/>
          </w:tcPr>
          <w:p w14:paraId="18028761" w14:textId="5D098A54"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0,0</w:t>
            </w:r>
          </w:p>
        </w:tc>
        <w:tc>
          <w:tcPr>
            <w:tcW w:w="1101" w:type="pct"/>
          </w:tcPr>
          <w:p w14:paraId="36CF606D" w14:textId="0E0891DF"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1,1</w:t>
            </w:r>
          </w:p>
        </w:tc>
      </w:tr>
      <w:tr w:rsidR="00666120" w:rsidRPr="006F3533" w14:paraId="2188F2C8" w14:textId="38B82656" w:rsidTr="00552DC2">
        <w:tc>
          <w:tcPr>
            <w:tcW w:w="1531" w:type="pct"/>
          </w:tcPr>
          <w:p w14:paraId="48707574" w14:textId="1BC88FE8" w:rsidR="00666120" w:rsidRPr="006F3533" w:rsidRDefault="00666120" w:rsidP="00077D42">
            <w:pPr>
              <w:pStyle w:val="ListParagraph"/>
              <w:ind w:left="0"/>
              <w:jc w:val="both"/>
              <w:rPr>
                <w:rFonts w:cs="Times New Roman"/>
                <w:szCs w:val="24"/>
                <w:lang w:val="bg-BG"/>
              </w:rPr>
            </w:pPr>
            <w:proofErr w:type="spellStart"/>
            <w:r w:rsidRPr="006F3533">
              <w:rPr>
                <w:rFonts w:cs="Times New Roman"/>
                <w:szCs w:val="24"/>
                <w:lang w:val="bg-BG"/>
              </w:rPr>
              <w:t>Electricity</w:t>
            </w:r>
            <w:proofErr w:type="spellEnd"/>
            <w:r w:rsidRPr="006F3533">
              <w:rPr>
                <w:rFonts w:cs="Times New Roman"/>
                <w:szCs w:val="24"/>
                <w:lang w:val="bg-BG"/>
              </w:rPr>
              <w:t xml:space="preserve"> </w:t>
            </w:r>
            <w:proofErr w:type="spellStart"/>
            <w:r w:rsidRPr="006F3533">
              <w:rPr>
                <w:rFonts w:cs="Times New Roman"/>
                <w:szCs w:val="24"/>
                <w:lang w:val="bg-BG"/>
              </w:rPr>
              <w:t>grid</w:t>
            </w:r>
            <w:proofErr w:type="spellEnd"/>
          </w:p>
        </w:tc>
        <w:tc>
          <w:tcPr>
            <w:tcW w:w="1263" w:type="pct"/>
          </w:tcPr>
          <w:p w14:paraId="1D56AF1F" w14:textId="2C0BB7F3"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2,3</w:t>
            </w:r>
          </w:p>
        </w:tc>
        <w:tc>
          <w:tcPr>
            <w:tcW w:w="1105" w:type="pct"/>
          </w:tcPr>
          <w:p w14:paraId="6C4403A6" w14:textId="59BE017F"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0,2</w:t>
            </w:r>
          </w:p>
        </w:tc>
        <w:tc>
          <w:tcPr>
            <w:tcW w:w="1101" w:type="pct"/>
          </w:tcPr>
          <w:p w14:paraId="0BA37F05" w14:textId="415D0C82"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2,5</w:t>
            </w:r>
          </w:p>
        </w:tc>
      </w:tr>
      <w:tr w:rsidR="00666120" w:rsidRPr="006F3533" w14:paraId="54D1F15A" w14:textId="6057EA5D" w:rsidTr="00552DC2">
        <w:tc>
          <w:tcPr>
            <w:tcW w:w="1531" w:type="pct"/>
          </w:tcPr>
          <w:p w14:paraId="1DD6B72E" w14:textId="7874271B" w:rsidR="00666120" w:rsidRPr="006F3533" w:rsidRDefault="00666120" w:rsidP="00077D42">
            <w:pPr>
              <w:pStyle w:val="ListParagraph"/>
              <w:ind w:left="0"/>
              <w:jc w:val="both"/>
              <w:rPr>
                <w:rFonts w:cs="Times New Roman"/>
                <w:szCs w:val="24"/>
                <w:lang w:val="bg-BG"/>
              </w:rPr>
            </w:pPr>
            <w:r w:rsidRPr="006F3533">
              <w:rPr>
                <w:rFonts w:cs="Times New Roman"/>
                <w:szCs w:val="24"/>
                <w:lang w:val="bg-BG"/>
              </w:rPr>
              <w:t>Oil</w:t>
            </w:r>
          </w:p>
        </w:tc>
        <w:tc>
          <w:tcPr>
            <w:tcW w:w="1263" w:type="pct"/>
          </w:tcPr>
          <w:p w14:paraId="513E0EFD" w14:textId="51836BE3"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1,1</w:t>
            </w:r>
          </w:p>
        </w:tc>
        <w:tc>
          <w:tcPr>
            <w:tcW w:w="1105" w:type="pct"/>
          </w:tcPr>
          <w:p w14:paraId="573FB9BB" w14:textId="3938B270"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0,0</w:t>
            </w:r>
          </w:p>
        </w:tc>
        <w:tc>
          <w:tcPr>
            <w:tcW w:w="1101" w:type="pct"/>
          </w:tcPr>
          <w:p w14:paraId="27C6DB70" w14:textId="2F424363"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1,1</w:t>
            </w:r>
          </w:p>
        </w:tc>
      </w:tr>
      <w:tr w:rsidR="005639E7" w:rsidRPr="006F3533" w14:paraId="3E8E9121" w14:textId="77777777" w:rsidTr="00552DC2">
        <w:tc>
          <w:tcPr>
            <w:tcW w:w="1531" w:type="pct"/>
          </w:tcPr>
          <w:p w14:paraId="7C7FD7AE" w14:textId="7258782A" w:rsidR="005639E7" w:rsidRPr="006F3533" w:rsidRDefault="005639E7" w:rsidP="00077D42">
            <w:pPr>
              <w:pStyle w:val="ListParagraph"/>
              <w:ind w:left="0"/>
              <w:jc w:val="both"/>
              <w:rPr>
                <w:rFonts w:cs="Times New Roman"/>
                <w:szCs w:val="24"/>
                <w:lang w:val="bg-BG"/>
              </w:rPr>
            </w:pPr>
            <w:r w:rsidRPr="006F3533">
              <w:rPr>
                <w:rFonts w:cs="Times New Roman"/>
                <w:szCs w:val="24"/>
                <w:lang w:val="bg-BG"/>
              </w:rPr>
              <w:t>GPL</w:t>
            </w:r>
          </w:p>
        </w:tc>
        <w:tc>
          <w:tcPr>
            <w:tcW w:w="1263" w:type="pct"/>
          </w:tcPr>
          <w:p w14:paraId="4F822040" w14:textId="39134010" w:rsidR="005639E7" w:rsidRPr="006F3533" w:rsidRDefault="00D16406" w:rsidP="00077D42">
            <w:pPr>
              <w:pStyle w:val="ListParagraph"/>
              <w:ind w:left="0"/>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1105" w:type="pct"/>
          </w:tcPr>
          <w:p w14:paraId="4E1C22C6" w14:textId="7CDE2DED" w:rsidR="005639E7" w:rsidRPr="006F3533" w:rsidRDefault="00D16406" w:rsidP="00077D42">
            <w:pPr>
              <w:pStyle w:val="ListParagraph"/>
              <w:ind w:left="0"/>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1101" w:type="pct"/>
          </w:tcPr>
          <w:p w14:paraId="286ED282" w14:textId="7294EAA2" w:rsidR="005639E7" w:rsidRPr="006F3533" w:rsidRDefault="00D16406" w:rsidP="00077D42">
            <w:pPr>
              <w:pStyle w:val="ListParagraph"/>
              <w:ind w:left="0"/>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r>
      <w:tr w:rsidR="00BF1E28" w:rsidRPr="006F3533" w14:paraId="0A99A2F3" w14:textId="77777777" w:rsidTr="00552DC2">
        <w:tc>
          <w:tcPr>
            <w:tcW w:w="1531" w:type="pct"/>
          </w:tcPr>
          <w:p w14:paraId="6FC29020" w14:textId="1AAD9236" w:rsidR="00BF1E28" w:rsidRPr="006F3533" w:rsidRDefault="00BF1E28" w:rsidP="00077D42">
            <w:pPr>
              <w:pStyle w:val="ListParagraph"/>
              <w:ind w:left="0"/>
              <w:jc w:val="both"/>
              <w:rPr>
                <w:rFonts w:cs="Times New Roman"/>
                <w:szCs w:val="24"/>
                <w:lang w:val="bg-BG"/>
              </w:rPr>
            </w:pPr>
            <w:proofErr w:type="spellStart"/>
            <w:r w:rsidRPr="006F3533">
              <w:rPr>
                <w:rFonts w:cs="Times New Roman"/>
                <w:szCs w:val="24"/>
                <w:lang w:val="bg-BG"/>
              </w:rPr>
              <w:t>Coal</w:t>
            </w:r>
            <w:proofErr w:type="spellEnd"/>
          </w:p>
        </w:tc>
        <w:tc>
          <w:tcPr>
            <w:tcW w:w="1263" w:type="pct"/>
          </w:tcPr>
          <w:p w14:paraId="16200161" w14:textId="7783DA9D" w:rsidR="00BF1E28" w:rsidRPr="006F3533" w:rsidRDefault="00D16406" w:rsidP="00077D42">
            <w:pPr>
              <w:pStyle w:val="ListParagraph"/>
              <w:ind w:left="0"/>
              <w:jc w:val="both"/>
              <w:rPr>
                <w:rFonts w:cs="Times New Roman"/>
                <w:szCs w:val="24"/>
                <w:lang w:val="bg-BG"/>
              </w:rPr>
            </w:pPr>
            <w:r w:rsidRPr="006F3533">
              <w:rPr>
                <w:rFonts w:cs="Times New Roman"/>
                <w:szCs w:val="24"/>
                <w:lang w:val="bg-BG"/>
              </w:rPr>
              <w:t>1,1</w:t>
            </w:r>
          </w:p>
        </w:tc>
        <w:tc>
          <w:tcPr>
            <w:tcW w:w="1105" w:type="pct"/>
          </w:tcPr>
          <w:p w14:paraId="64E1B37D" w14:textId="601DF6EC" w:rsidR="00BF1E28" w:rsidRPr="006F3533" w:rsidRDefault="00D16406" w:rsidP="00077D42">
            <w:pPr>
              <w:pStyle w:val="ListParagraph"/>
              <w:ind w:left="0"/>
              <w:jc w:val="both"/>
              <w:rPr>
                <w:rFonts w:cs="Times New Roman"/>
                <w:szCs w:val="24"/>
                <w:lang w:val="bg-BG"/>
              </w:rPr>
            </w:pPr>
            <w:r w:rsidRPr="006F3533">
              <w:rPr>
                <w:rFonts w:cs="Times New Roman"/>
                <w:szCs w:val="24"/>
                <w:lang w:val="bg-BG"/>
              </w:rPr>
              <w:t>0,0</w:t>
            </w:r>
          </w:p>
        </w:tc>
        <w:tc>
          <w:tcPr>
            <w:tcW w:w="1101" w:type="pct"/>
          </w:tcPr>
          <w:p w14:paraId="41AFA6AA" w14:textId="6D29F8D0" w:rsidR="00BF1E28" w:rsidRPr="006F3533" w:rsidRDefault="00D16406" w:rsidP="00077D42">
            <w:pPr>
              <w:pStyle w:val="ListParagraph"/>
              <w:ind w:left="0"/>
              <w:jc w:val="both"/>
              <w:rPr>
                <w:rFonts w:cs="Times New Roman"/>
                <w:szCs w:val="24"/>
                <w:lang w:val="bg-BG"/>
              </w:rPr>
            </w:pPr>
            <w:r w:rsidRPr="006F3533">
              <w:rPr>
                <w:rFonts w:cs="Times New Roman"/>
                <w:szCs w:val="24"/>
                <w:lang w:val="bg-BG"/>
              </w:rPr>
              <w:t>1,1</w:t>
            </w:r>
          </w:p>
        </w:tc>
      </w:tr>
      <w:tr w:rsidR="00BF1E28" w:rsidRPr="006F3533" w14:paraId="48316688" w14:textId="77777777" w:rsidTr="00552DC2">
        <w:tc>
          <w:tcPr>
            <w:tcW w:w="1531" w:type="pct"/>
          </w:tcPr>
          <w:p w14:paraId="266F371D" w14:textId="1F3B164E" w:rsidR="00BF1E28" w:rsidRPr="006F3533" w:rsidRDefault="00BF1E28" w:rsidP="00077D42">
            <w:pPr>
              <w:pStyle w:val="ListParagraph"/>
              <w:ind w:left="0"/>
              <w:jc w:val="both"/>
              <w:rPr>
                <w:rFonts w:cs="Times New Roman"/>
                <w:szCs w:val="24"/>
                <w:lang w:val="bg-BG"/>
              </w:rPr>
            </w:pPr>
            <w:proofErr w:type="spellStart"/>
            <w:r w:rsidRPr="006F3533">
              <w:rPr>
                <w:rFonts w:cs="Times New Roman"/>
                <w:szCs w:val="24"/>
                <w:lang w:val="bg-BG"/>
              </w:rPr>
              <w:t>Solid</w:t>
            </w:r>
            <w:proofErr w:type="spellEnd"/>
            <w:r w:rsidRPr="006F3533">
              <w:rPr>
                <w:rFonts w:cs="Times New Roman"/>
                <w:szCs w:val="24"/>
                <w:lang w:val="bg-BG"/>
              </w:rPr>
              <w:t xml:space="preserve"> </w:t>
            </w:r>
            <w:proofErr w:type="spellStart"/>
            <w:r w:rsidRPr="006F3533">
              <w:rPr>
                <w:rFonts w:cs="Times New Roman"/>
                <w:szCs w:val="24"/>
                <w:lang w:val="bg-BG"/>
              </w:rPr>
              <w:t>Biomass</w:t>
            </w:r>
            <w:proofErr w:type="spellEnd"/>
          </w:p>
        </w:tc>
        <w:tc>
          <w:tcPr>
            <w:tcW w:w="1263" w:type="pct"/>
          </w:tcPr>
          <w:p w14:paraId="13A21E9E" w14:textId="4A2A4E0F" w:rsidR="00BF1E28" w:rsidRPr="006F3533" w:rsidRDefault="00D16406" w:rsidP="00077D42">
            <w:pPr>
              <w:pStyle w:val="ListParagraph"/>
              <w:ind w:left="0"/>
              <w:jc w:val="both"/>
              <w:rPr>
                <w:rFonts w:cs="Times New Roman"/>
                <w:szCs w:val="24"/>
                <w:lang w:val="bg-BG"/>
              </w:rPr>
            </w:pPr>
            <w:r w:rsidRPr="006F3533">
              <w:rPr>
                <w:rFonts w:cs="Times New Roman"/>
                <w:szCs w:val="24"/>
                <w:lang w:val="bg-BG"/>
              </w:rPr>
              <w:t>0,2</w:t>
            </w:r>
          </w:p>
        </w:tc>
        <w:tc>
          <w:tcPr>
            <w:tcW w:w="1105" w:type="pct"/>
          </w:tcPr>
          <w:p w14:paraId="4D7D4706" w14:textId="46F0F1E4" w:rsidR="00BF1E28"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c>
          <w:tcPr>
            <w:tcW w:w="1101" w:type="pct"/>
          </w:tcPr>
          <w:p w14:paraId="5A1A90C9" w14:textId="198228DC" w:rsidR="00BF1E28" w:rsidRPr="006F3533" w:rsidRDefault="00D16406" w:rsidP="00077D42">
            <w:pPr>
              <w:pStyle w:val="ListParagraph"/>
              <w:ind w:left="0"/>
              <w:jc w:val="both"/>
              <w:rPr>
                <w:rFonts w:cs="Times New Roman"/>
                <w:szCs w:val="24"/>
                <w:lang w:val="bg-BG"/>
              </w:rPr>
            </w:pPr>
            <w:r w:rsidRPr="006F3533">
              <w:rPr>
                <w:rFonts w:cs="Times New Roman"/>
                <w:szCs w:val="24"/>
                <w:lang w:val="bg-BG"/>
              </w:rPr>
              <w:t>1,2</w:t>
            </w:r>
          </w:p>
        </w:tc>
      </w:tr>
      <w:tr w:rsidR="00BF1E28" w:rsidRPr="006F3533" w14:paraId="0505A5E9" w14:textId="77777777" w:rsidTr="00552DC2">
        <w:tc>
          <w:tcPr>
            <w:tcW w:w="1531" w:type="pct"/>
          </w:tcPr>
          <w:p w14:paraId="2AB215A9" w14:textId="5481619A" w:rsidR="00BF1E28" w:rsidRPr="006F3533" w:rsidRDefault="00BF1E28" w:rsidP="00077D42">
            <w:pPr>
              <w:pStyle w:val="ListParagraph"/>
              <w:ind w:left="0"/>
              <w:jc w:val="both"/>
              <w:rPr>
                <w:rFonts w:cs="Times New Roman"/>
                <w:szCs w:val="24"/>
                <w:lang w:val="bg-BG"/>
              </w:rPr>
            </w:pPr>
            <w:proofErr w:type="spellStart"/>
            <w:r w:rsidRPr="006F3533">
              <w:rPr>
                <w:rFonts w:cs="Times New Roman"/>
                <w:szCs w:val="24"/>
                <w:lang w:val="bg-BG"/>
              </w:rPr>
              <w:lastRenderedPageBreak/>
              <w:t>Liquid</w:t>
            </w:r>
            <w:proofErr w:type="spellEnd"/>
            <w:r w:rsidRPr="006F3533">
              <w:rPr>
                <w:rFonts w:cs="Times New Roman"/>
                <w:szCs w:val="24"/>
                <w:lang w:val="bg-BG"/>
              </w:rPr>
              <w:t xml:space="preserve"> </w:t>
            </w:r>
            <w:proofErr w:type="spellStart"/>
            <w:r w:rsidRPr="006F3533">
              <w:rPr>
                <w:rFonts w:cs="Times New Roman"/>
                <w:szCs w:val="24"/>
                <w:lang w:val="bg-BG"/>
              </w:rPr>
              <w:t>Biomass</w:t>
            </w:r>
            <w:proofErr w:type="spellEnd"/>
          </w:p>
        </w:tc>
        <w:tc>
          <w:tcPr>
            <w:tcW w:w="1263" w:type="pct"/>
          </w:tcPr>
          <w:p w14:paraId="0CF5ABEB" w14:textId="3862E471" w:rsidR="00BF1E28" w:rsidRPr="006F3533" w:rsidRDefault="00D16406" w:rsidP="00077D42">
            <w:pPr>
              <w:pStyle w:val="ListParagraph"/>
              <w:ind w:left="0"/>
              <w:jc w:val="both"/>
              <w:rPr>
                <w:rFonts w:cs="Times New Roman"/>
                <w:szCs w:val="24"/>
                <w:lang w:val="bg-BG"/>
              </w:rPr>
            </w:pPr>
            <w:r w:rsidRPr="006F3533">
              <w:rPr>
                <w:rFonts w:cs="Times New Roman"/>
                <w:szCs w:val="24"/>
                <w:lang w:val="bg-BG"/>
              </w:rPr>
              <w:t>0,5</w:t>
            </w:r>
          </w:p>
        </w:tc>
        <w:tc>
          <w:tcPr>
            <w:tcW w:w="1105" w:type="pct"/>
          </w:tcPr>
          <w:p w14:paraId="47D120B3" w14:textId="57E7032C" w:rsidR="00BF1E28"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c>
          <w:tcPr>
            <w:tcW w:w="1101" w:type="pct"/>
          </w:tcPr>
          <w:p w14:paraId="3CE0540F" w14:textId="69101154" w:rsidR="00BF1E28" w:rsidRPr="006F3533" w:rsidRDefault="00D16406" w:rsidP="00077D42">
            <w:pPr>
              <w:pStyle w:val="ListParagraph"/>
              <w:ind w:left="0"/>
              <w:jc w:val="both"/>
              <w:rPr>
                <w:rFonts w:cs="Times New Roman"/>
                <w:szCs w:val="24"/>
                <w:lang w:val="bg-BG"/>
              </w:rPr>
            </w:pPr>
            <w:r w:rsidRPr="006F3533">
              <w:rPr>
                <w:rFonts w:cs="Times New Roman"/>
                <w:szCs w:val="24"/>
                <w:lang w:val="bg-BG"/>
              </w:rPr>
              <w:t>1,5</w:t>
            </w:r>
          </w:p>
        </w:tc>
      </w:tr>
      <w:tr w:rsidR="00361E07" w:rsidRPr="006F3533" w14:paraId="51F29B53" w14:textId="77777777" w:rsidTr="00552DC2">
        <w:tc>
          <w:tcPr>
            <w:tcW w:w="1531" w:type="pct"/>
          </w:tcPr>
          <w:p w14:paraId="789E5905" w14:textId="60B25B69" w:rsidR="00361E07" w:rsidRPr="006F3533" w:rsidRDefault="00361E07" w:rsidP="00077D42">
            <w:pPr>
              <w:pStyle w:val="ListParagraph"/>
              <w:ind w:left="0"/>
              <w:jc w:val="both"/>
              <w:rPr>
                <w:rFonts w:cs="Times New Roman"/>
                <w:szCs w:val="24"/>
                <w:lang w:val="bg-BG"/>
              </w:rPr>
            </w:pPr>
            <w:proofErr w:type="spellStart"/>
            <w:r w:rsidRPr="006F3533">
              <w:rPr>
                <w:rFonts w:cs="Times New Roman"/>
                <w:szCs w:val="24"/>
                <w:lang w:val="bg-BG"/>
              </w:rPr>
              <w:t>Solar</w:t>
            </w:r>
            <w:proofErr w:type="spellEnd"/>
            <w:r w:rsidRPr="006F3533">
              <w:rPr>
                <w:rFonts w:cs="Times New Roman"/>
                <w:szCs w:val="24"/>
                <w:lang w:val="bg-BG"/>
              </w:rPr>
              <w:t xml:space="preserve"> PV</w:t>
            </w:r>
          </w:p>
        </w:tc>
        <w:tc>
          <w:tcPr>
            <w:tcW w:w="1263" w:type="pct"/>
          </w:tcPr>
          <w:p w14:paraId="6DCA1BC3" w14:textId="22869515"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0,0</w:t>
            </w:r>
          </w:p>
        </w:tc>
        <w:tc>
          <w:tcPr>
            <w:tcW w:w="1105" w:type="pct"/>
          </w:tcPr>
          <w:p w14:paraId="7D97FDD9" w14:textId="1D6727CE"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c>
          <w:tcPr>
            <w:tcW w:w="1101" w:type="pct"/>
          </w:tcPr>
          <w:p w14:paraId="4AF27155" w14:textId="6471ABFB"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r>
      <w:tr w:rsidR="00361E07" w:rsidRPr="006F3533" w14:paraId="1FC5B733" w14:textId="77777777" w:rsidTr="00552DC2">
        <w:tc>
          <w:tcPr>
            <w:tcW w:w="1531" w:type="pct"/>
          </w:tcPr>
          <w:p w14:paraId="0078F8BC" w14:textId="0E621767" w:rsidR="00361E07" w:rsidRPr="006F3533" w:rsidRDefault="00361E07" w:rsidP="00077D42">
            <w:pPr>
              <w:pStyle w:val="ListParagraph"/>
              <w:ind w:left="0"/>
              <w:jc w:val="both"/>
              <w:rPr>
                <w:rFonts w:cs="Times New Roman"/>
                <w:szCs w:val="24"/>
                <w:lang w:val="bg-BG"/>
              </w:rPr>
            </w:pPr>
            <w:proofErr w:type="spellStart"/>
            <w:r w:rsidRPr="006F3533">
              <w:rPr>
                <w:rFonts w:cs="Times New Roman"/>
                <w:szCs w:val="24"/>
                <w:lang w:val="bg-BG"/>
              </w:rPr>
              <w:t>Solar</w:t>
            </w:r>
            <w:proofErr w:type="spellEnd"/>
            <w:r w:rsidRPr="006F3533">
              <w:rPr>
                <w:rFonts w:cs="Times New Roman"/>
                <w:szCs w:val="24"/>
                <w:lang w:val="bg-BG"/>
              </w:rPr>
              <w:t xml:space="preserve"> </w:t>
            </w:r>
            <w:proofErr w:type="spellStart"/>
            <w:r w:rsidRPr="006F3533">
              <w:rPr>
                <w:rFonts w:cs="Times New Roman"/>
                <w:szCs w:val="24"/>
                <w:lang w:val="bg-BG"/>
              </w:rPr>
              <w:t>thermal</w:t>
            </w:r>
            <w:proofErr w:type="spellEnd"/>
          </w:p>
        </w:tc>
        <w:tc>
          <w:tcPr>
            <w:tcW w:w="1263" w:type="pct"/>
          </w:tcPr>
          <w:p w14:paraId="3BEAFAEC" w14:textId="02ABF670"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0,0</w:t>
            </w:r>
          </w:p>
        </w:tc>
        <w:tc>
          <w:tcPr>
            <w:tcW w:w="1105" w:type="pct"/>
          </w:tcPr>
          <w:p w14:paraId="40A8F32C" w14:textId="60590005"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c>
          <w:tcPr>
            <w:tcW w:w="1101" w:type="pct"/>
          </w:tcPr>
          <w:p w14:paraId="2C85B035" w14:textId="722155B7"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r>
      <w:tr w:rsidR="00361E07" w:rsidRPr="006F3533" w14:paraId="50738C93" w14:textId="77777777" w:rsidTr="00552DC2">
        <w:tc>
          <w:tcPr>
            <w:tcW w:w="1531" w:type="pct"/>
          </w:tcPr>
          <w:p w14:paraId="0EEC6E51" w14:textId="277E6920" w:rsidR="00361E07" w:rsidRPr="006F3533" w:rsidRDefault="00361E07" w:rsidP="00077D42">
            <w:pPr>
              <w:pStyle w:val="ListParagraph"/>
              <w:ind w:left="0"/>
              <w:jc w:val="both"/>
              <w:rPr>
                <w:rFonts w:cs="Times New Roman"/>
                <w:szCs w:val="24"/>
                <w:lang w:val="bg-BG"/>
              </w:rPr>
            </w:pPr>
            <w:proofErr w:type="spellStart"/>
            <w:r w:rsidRPr="006F3533">
              <w:rPr>
                <w:rFonts w:cs="Times New Roman"/>
                <w:szCs w:val="24"/>
                <w:lang w:val="bg-BG"/>
              </w:rPr>
              <w:t>Wind</w:t>
            </w:r>
            <w:proofErr w:type="spellEnd"/>
          </w:p>
        </w:tc>
        <w:tc>
          <w:tcPr>
            <w:tcW w:w="1263" w:type="pct"/>
          </w:tcPr>
          <w:p w14:paraId="1F50CFFA" w14:textId="084A2CE8"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0,0</w:t>
            </w:r>
          </w:p>
        </w:tc>
        <w:tc>
          <w:tcPr>
            <w:tcW w:w="1105" w:type="pct"/>
          </w:tcPr>
          <w:p w14:paraId="7A476649" w14:textId="250AD65C"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c>
          <w:tcPr>
            <w:tcW w:w="1101" w:type="pct"/>
          </w:tcPr>
          <w:p w14:paraId="202BEEC4" w14:textId="30E8CB8F"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r>
      <w:tr w:rsidR="00361E07" w:rsidRPr="006F3533" w14:paraId="0C93D1CD" w14:textId="77777777" w:rsidTr="00552DC2">
        <w:tc>
          <w:tcPr>
            <w:tcW w:w="1531" w:type="pct"/>
          </w:tcPr>
          <w:p w14:paraId="6A7E7E8B" w14:textId="6A9CD2A0" w:rsidR="00361E07" w:rsidRPr="006F3533" w:rsidRDefault="00361E07" w:rsidP="00077D42">
            <w:pPr>
              <w:pStyle w:val="ListParagraph"/>
              <w:ind w:left="0"/>
              <w:jc w:val="both"/>
              <w:rPr>
                <w:rFonts w:cs="Times New Roman"/>
                <w:szCs w:val="24"/>
                <w:lang w:val="bg-BG"/>
              </w:rPr>
            </w:pPr>
            <w:proofErr w:type="spellStart"/>
            <w:r w:rsidRPr="006F3533">
              <w:rPr>
                <w:rFonts w:cs="Times New Roman"/>
                <w:szCs w:val="24"/>
                <w:lang w:val="bg-BG"/>
              </w:rPr>
              <w:t>Hydropower</w:t>
            </w:r>
            <w:proofErr w:type="spellEnd"/>
          </w:p>
        </w:tc>
        <w:tc>
          <w:tcPr>
            <w:tcW w:w="1263" w:type="pct"/>
          </w:tcPr>
          <w:p w14:paraId="11C98054" w14:textId="65EEB6BE"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0,0</w:t>
            </w:r>
          </w:p>
        </w:tc>
        <w:tc>
          <w:tcPr>
            <w:tcW w:w="1105" w:type="pct"/>
          </w:tcPr>
          <w:p w14:paraId="7A4CC438" w14:textId="3E89D6C5"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c>
          <w:tcPr>
            <w:tcW w:w="1101" w:type="pct"/>
          </w:tcPr>
          <w:p w14:paraId="6E1090E7" w14:textId="31D0BF49" w:rsidR="00361E07" w:rsidRPr="006F3533" w:rsidRDefault="00D16406" w:rsidP="00077D42">
            <w:pPr>
              <w:pStyle w:val="ListParagraph"/>
              <w:ind w:left="0"/>
              <w:jc w:val="both"/>
              <w:rPr>
                <w:rFonts w:cs="Times New Roman"/>
                <w:szCs w:val="24"/>
                <w:lang w:val="bg-BG"/>
              </w:rPr>
            </w:pPr>
            <w:r w:rsidRPr="006F3533">
              <w:rPr>
                <w:rFonts w:cs="Times New Roman"/>
                <w:szCs w:val="24"/>
                <w:lang w:val="bg-BG"/>
              </w:rPr>
              <w:t>1,0</w:t>
            </w:r>
          </w:p>
        </w:tc>
      </w:tr>
      <w:tr w:rsidR="00666120" w:rsidRPr="006F3533" w14:paraId="578AE031" w14:textId="78EA5081" w:rsidTr="00552DC2">
        <w:tc>
          <w:tcPr>
            <w:tcW w:w="1531" w:type="pct"/>
          </w:tcPr>
          <w:p w14:paraId="2298CD73" w14:textId="30472558" w:rsidR="00666120" w:rsidRPr="006F3533" w:rsidRDefault="00666120" w:rsidP="00077D42">
            <w:pPr>
              <w:pStyle w:val="ListParagraph"/>
              <w:ind w:left="0"/>
              <w:jc w:val="both"/>
              <w:rPr>
                <w:rFonts w:cs="Times New Roman"/>
                <w:szCs w:val="24"/>
                <w:lang w:val="bg-BG"/>
              </w:rPr>
            </w:pPr>
            <w:proofErr w:type="spellStart"/>
            <w:r w:rsidRPr="006F3533">
              <w:rPr>
                <w:rFonts w:cs="Times New Roman"/>
                <w:szCs w:val="24"/>
                <w:lang w:val="bg-BG"/>
              </w:rPr>
              <w:t>District</w:t>
            </w:r>
            <w:proofErr w:type="spellEnd"/>
            <w:r w:rsidRPr="006F3533">
              <w:rPr>
                <w:rFonts w:cs="Times New Roman"/>
                <w:szCs w:val="24"/>
                <w:lang w:val="bg-BG"/>
              </w:rPr>
              <w:t xml:space="preserve"> </w:t>
            </w:r>
            <w:proofErr w:type="spellStart"/>
            <w:r w:rsidRPr="006F3533">
              <w:rPr>
                <w:rFonts w:cs="Times New Roman"/>
                <w:szCs w:val="24"/>
                <w:lang w:val="bg-BG"/>
              </w:rPr>
              <w:t>heating</w:t>
            </w:r>
            <w:proofErr w:type="spellEnd"/>
            <w:r w:rsidR="00257827" w:rsidRPr="006F3533">
              <w:rPr>
                <w:rFonts w:cs="Times New Roman"/>
                <w:szCs w:val="24"/>
                <w:lang w:val="bg-BG"/>
              </w:rPr>
              <w:t>/</w:t>
            </w:r>
            <w:proofErr w:type="spellStart"/>
            <w:r w:rsidR="00257827" w:rsidRPr="006F3533">
              <w:rPr>
                <w:rFonts w:cs="Times New Roman"/>
                <w:szCs w:val="24"/>
                <w:lang w:val="bg-BG"/>
              </w:rPr>
              <w:t>cooling</w:t>
            </w:r>
            <w:proofErr w:type="spellEnd"/>
            <w:r w:rsidRPr="006F3533">
              <w:rPr>
                <w:rFonts w:cs="Times New Roman"/>
                <w:szCs w:val="24"/>
                <w:lang w:val="bg-BG"/>
              </w:rPr>
              <w:t xml:space="preserve"> </w:t>
            </w:r>
          </w:p>
        </w:tc>
        <w:tc>
          <w:tcPr>
            <w:tcW w:w="1263" w:type="pct"/>
          </w:tcPr>
          <w:p w14:paraId="5B0E882C" w14:textId="34EF78B4"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1,3</w:t>
            </w:r>
          </w:p>
        </w:tc>
        <w:tc>
          <w:tcPr>
            <w:tcW w:w="1105" w:type="pct"/>
          </w:tcPr>
          <w:p w14:paraId="5DC038C2" w14:textId="26C0E5B4"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0,0</w:t>
            </w:r>
          </w:p>
        </w:tc>
        <w:tc>
          <w:tcPr>
            <w:tcW w:w="1101" w:type="pct"/>
          </w:tcPr>
          <w:p w14:paraId="501F6F2E" w14:textId="7AE3A3BA" w:rsidR="00666120" w:rsidRPr="006F3533" w:rsidRDefault="00D16406" w:rsidP="00077D42">
            <w:pPr>
              <w:pStyle w:val="ListParagraph"/>
              <w:ind w:left="0"/>
              <w:jc w:val="both"/>
              <w:rPr>
                <w:rFonts w:cs="Times New Roman"/>
                <w:szCs w:val="24"/>
                <w:lang w:val="bg-BG"/>
              </w:rPr>
            </w:pPr>
            <w:r w:rsidRPr="006F3533">
              <w:rPr>
                <w:rFonts w:cs="Times New Roman"/>
                <w:szCs w:val="24"/>
                <w:lang w:val="bg-BG"/>
              </w:rPr>
              <w:t>1,3</w:t>
            </w:r>
          </w:p>
        </w:tc>
      </w:tr>
    </w:tbl>
    <w:p w14:paraId="34A5DE47" w14:textId="77777777" w:rsidR="00A56090" w:rsidRPr="006F3533" w:rsidRDefault="00A56090" w:rsidP="00077D42">
      <w:pPr>
        <w:pStyle w:val="ListParagraph"/>
        <w:spacing w:line="240" w:lineRule="auto"/>
        <w:jc w:val="both"/>
        <w:rPr>
          <w:rFonts w:cs="Times New Roman"/>
          <w:szCs w:val="24"/>
          <w:lang w:val="bg-BG"/>
        </w:rPr>
      </w:pPr>
    </w:p>
    <w:p w14:paraId="2A98667B" w14:textId="77777777" w:rsidR="004B3A43" w:rsidRPr="006F3533" w:rsidRDefault="004B3A43" w:rsidP="00077D42">
      <w:pPr>
        <w:pStyle w:val="Heading1"/>
        <w:jc w:val="both"/>
        <w:rPr>
          <w:lang w:val="bg-BG"/>
        </w:rPr>
      </w:pPr>
      <w:bookmarkStart w:id="165" w:name="_Toc217888804"/>
      <w:r w:rsidRPr="006F3533">
        <w:rPr>
          <w:lang w:val="bg-BG"/>
        </w:rPr>
        <w:t>Дефиниция за сгради с почти нулево потребление на енергия за нови и съществуващи сгради</w:t>
      </w:r>
      <w:bookmarkEnd w:id="165"/>
    </w:p>
    <w:p w14:paraId="2AF407B1" w14:textId="011C027F" w:rsidR="00F733DA" w:rsidRPr="006F3533" w:rsidRDefault="00F733DA" w:rsidP="00077D42">
      <w:pPr>
        <w:spacing w:before="100" w:beforeAutospacing="1" w:after="100" w:afterAutospacing="1" w:line="240" w:lineRule="auto"/>
        <w:jc w:val="both"/>
        <w:rPr>
          <w:rFonts w:cs="Times New Roman"/>
          <w:szCs w:val="24"/>
          <w:lang w:val="bg-BG"/>
        </w:rPr>
      </w:pPr>
      <w:r w:rsidRPr="006F3533">
        <w:rPr>
          <w:rFonts w:cs="Times New Roman"/>
          <w:szCs w:val="24"/>
          <w:lang w:val="bg-BG"/>
        </w:rPr>
        <w:t>Дефиницията за сграда с почти нулево потребление на енергия (NZEB), прилагана в България, е определена в §</w:t>
      </w:r>
      <w:r w:rsidRPr="006F3533">
        <w:rPr>
          <w:rFonts w:ascii="Arial" w:hAnsi="Arial" w:cs="Arial"/>
          <w:szCs w:val="24"/>
          <w:lang w:val="bg-BG"/>
        </w:rPr>
        <w:t> </w:t>
      </w:r>
      <w:r w:rsidRPr="006F3533">
        <w:rPr>
          <w:rFonts w:cs="Times New Roman"/>
          <w:szCs w:val="24"/>
          <w:lang w:val="bg-BG"/>
        </w:rPr>
        <w:t xml:space="preserve">1, </w:t>
      </w:r>
      <w:r w:rsidRPr="006F3533">
        <w:rPr>
          <w:rFonts w:cs="Aptos"/>
          <w:szCs w:val="24"/>
          <w:lang w:val="bg-BG"/>
        </w:rPr>
        <w:t>т</w:t>
      </w:r>
      <w:r w:rsidRPr="006F3533">
        <w:rPr>
          <w:rFonts w:cs="Times New Roman"/>
          <w:szCs w:val="24"/>
          <w:lang w:val="bg-BG"/>
        </w:rPr>
        <w:t>.</w:t>
      </w:r>
      <w:r w:rsidRPr="006F3533">
        <w:rPr>
          <w:rFonts w:ascii="Arial" w:hAnsi="Arial" w:cs="Arial"/>
          <w:szCs w:val="24"/>
          <w:lang w:val="bg-BG"/>
        </w:rPr>
        <w:t> </w:t>
      </w:r>
      <w:r w:rsidRPr="006F3533">
        <w:rPr>
          <w:rFonts w:cs="Times New Roman"/>
          <w:szCs w:val="24"/>
          <w:lang w:val="bg-BG"/>
        </w:rPr>
        <w:t xml:space="preserve">28 </w:t>
      </w:r>
      <w:r w:rsidRPr="006F3533">
        <w:rPr>
          <w:rFonts w:cs="Aptos"/>
          <w:szCs w:val="24"/>
          <w:lang w:val="bg-BG"/>
        </w:rPr>
        <w:t>от</w:t>
      </w:r>
      <w:r w:rsidRPr="006F3533">
        <w:rPr>
          <w:rFonts w:cs="Times New Roman"/>
          <w:szCs w:val="24"/>
          <w:lang w:val="bg-BG"/>
        </w:rPr>
        <w:t xml:space="preserve"> </w:t>
      </w:r>
      <w:r w:rsidRPr="006F3533">
        <w:rPr>
          <w:rFonts w:cs="Aptos"/>
          <w:szCs w:val="24"/>
          <w:lang w:val="bg-BG"/>
        </w:rPr>
        <w:t>Допълнителните</w:t>
      </w:r>
      <w:r w:rsidRPr="006F3533">
        <w:rPr>
          <w:rFonts w:cs="Times New Roman"/>
          <w:szCs w:val="24"/>
          <w:lang w:val="bg-BG"/>
        </w:rPr>
        <w:t xml:space="preserve"> </w:t>
      </w:r>
      <w:r w:rsidRPr="006F3533">
        <w:rPr>
          <w:rFonts w:cs="Aptos"/>
          <w:szCs w:val="24"/>
          <w:lang w:val="bg-BG"/>
        </w:rPr>
        <w:t>разпоредби</w:t>
      </w:r>
      <w:r w:rsidRPr="006F3533">
        <w:rPr>
          <w:rFonts w:cs="Times New Roman"/>
          <w:szCs w:val="24"/>
          <w:lang w:val="bg-BG"/>
        </w:rPr>
        <w:t xml:space="preserve"> </w:t>
      </w:r>
      <w:r w:rsidRPr="006F3533">
        <w:rPr>
          <w:rFonts w:cs="Aptos"/>
          <w:szCs w:val="24"/>
          <w:lang w:val="bg-BG"/>
        </w:rPr>
        <w:t>на</w:t>
      </w:r>
      <w:r w:rsidRPr="006F3533">
        <w:rPr>
          <w:rFonts w:cs="Times New Roman"/>
          <w:szCs w:val="24"/>
          <w:lang w:val="bg-BG"/>
        </w:rPr>
        <w:t xml:space="preserve"> </w:t>
      </w:r>
      <w:r w:rsidRPr="006F3533">
        <w:rPr>
          <w:rFonts w:cs="Aptos"/>
          <w:szCs w:val="24"/>
          <w:lang w:val="bg-BG"/>
        </w:rPr>
        <w:t>Закона</w:t>
      </w:r>
      <w:r w:rsidRPr="006F3533">
        <w:rPr>
          <w:rFonts w:cs="Times New Roman"/>
          <w:szCs w:val="24"/>
          <w:lang w:val="bg-BG"/>
        </w:rPr>
        <w:t xml:space="preserve"> </w:t>
      </w:r>
      <w:r w:rsidRPr="006F3533">
        <w:rPr>
          <w:rFonts w:cs="Aptos"/>
          <w:szCs w:val="24"/>
          <w:lang w:val="bg-BG"/>
        </w:rPr>
        <w:t>за</w:t>
      </w:r>
      <w:r w:rsidRPr="006F3533">
        <w:rPr>
          <w:rFonts w:cs="Times New Roman"/>
          <w:szCs w:val="24"/>
          <w:lang w:val="bg-BG"/>
        </w:rPr>
        <w:t xml:space="preserve"> </w:t>
      </w:r>
      <w:r w:rsidRPr="006F3533">
        <w:rPr>
          <w:rFonts w:cs="Aptos"/>
          <w:szCs w:val="24"/>
          <w:lang w:val="bg-BG"/>
        </w:rPr>
        <w:t>енергийната</w:t>
      </w:r>
      <w:r w:rsidRPr="006F3533">
        <w:rPr>
          <w:rFonts w:cs="Times New Roman"/>
          <w:szCs w:val="24"/>
          <w:lang w:val="bg-BG"/>
        </w:rPr>
        <w:t xml:space="preserve"> </w:t>
      </w:r>
      <w:r w:rsidRPr="006F3533">
        <w:rPr>
          <w:rFonts w:cs="Aptos"/>
          <w:szCs w:val="24"/>
          <w:lang w:val="bg-BG"/>
        </w:rPr>
        <w:t>ефективност</w:t>
      </w:r>
      <w:r w:rsidRPr="006F3533">
        <w:rPr>
          <w:rFonts w:cs="Times New Roman"/>
          <w:szCs w:val="24"/>
          <w:lang w:val="bg-BG"/>
        </w:rPr>
        <w:t xml:space="preserve"> (</w:t>
      </w:r>
      <w:r w:rsidRPr="006F3533">
        <w:rPr>
          <w:rFonts w:cs="Aptos"/>
          <w:szCs w:val="24"/>
          <w:lang w:val="bg-BG"/>
        </w:rPr>
        <w:t>ЗЕЕ</w:t>
      </w:r>
      <w:r w:rsidRPr="006F3533">
        <w:rPr>
          <w:rFonts w:cs="Times New Roman"/>
          <w:szCs w:val="24"/>
          <w:lang w:val="bg-BG"/>
        </w:rPr>
        <w:t xml:space="preserve">) </w:t>
      </w:r>
      <w:r w:rsidRPr="006F3533">
        <w:rPr>
          <w:rFonts w:cs="Aptos"/>
          <w:szCs w:val="24"/>
          <w:lang w:val="bg-BG"/>
        </w:rPr>
        <w:t>и</w:t>
      </w:r>
      <w:r w:rsidRPr="006F3533">
        <w:rPr>
          <w:rFonts w:cs="Times New Roman"/>
          <w:szCs w:val="24"/>
          <w:lang w:val="bg-BG"/>
        </w:rPr>
        <w:t xml:space="preserve"> </w:t>
      </w:r>
      <w:r w:rsidRPr="006F3533">
        <w:rPr>
          <w:rFonts w:cs="Aptos"/>
          <w:szCs w:val="24"/>
          <w:lang w:val="bg-BG"/>
        </w:rPr>
        <w:t>е</w:t>
      </w:r>
      <w:r w:rsidRPr="006F3533">
        <w:rPr>
          <w:rFonts w:cs="Times New Roman"/>
          <w:szCs w:val="24"/>
          <w:lang w:val="bg-BG"/>
        </w:rPr>
        <w:t xml:space="preserve"> </w:t>
      </w:r>
      <w:r w:rsidRPr="006F3533">
        <w:rPr>
          <w:rFonts w:cs="Aptos"/>
          <w:szCs w:val="24"/>
          <w:lang w:val="bg-BG"/>
        </w:rPr>
        <w:t>в</w:t>
      </w:r>
      <w:r w:rsidRPr="006F3533">
        <w:rPr>
          <w:rFonts w:cs="Times New Roman"/>
          <w:szCs w:val="24"/>
          <w:lang w:val="bg-BG"/>
        </w:rPr>
        <w:t xml:space="preserve"> </w:t>
      </w:r>
      <w:r w:rsidRPr="006F3533">
        <w:rPr>
          <w:rFonts w:cs="Aptos"/>
          <w:szCs w:val="24"/>
          <w:lang w:val="bg-BG"/>
        </w:rPr>
        <w:t>сила</w:t>
      </w:r>
      <w:r w:rsidRPr="006F3533">
        <w:rPr>
          <w:rFonts w:cs="Times New Roman"/>
          <w:szCs w:val="24"/>
          <w:lang w:val="bg-BG"/>
        </w:rPr>
        <w:t xml:space="preserve"> </w:t>
      </w:r>
      <w:r w:rsidRPr="006F3533">
        <w:rPr>
          <w:rFonts w:cs="Aptos"/>
          <w:szCs w:val="24"/>
          <w:lang w:val="bg-BG"/>
        </w:rPr>
        <w:t>от</w:t>
      </w:r>
      <w:r w:rsidRPr="006F3533">
        <w:rPr>
          <w:rFonts w:cs="Times New Roman"/>
          <w:szCs w:val="24"/>
          <w:lang w:val="bg-BG"/>
        </w:rPr>
        <w:t xml:space="preserve"> 1 </w:t>
      </w:r>
      <w:r w:rsidRPr="006F3533">
        <w:rPr>
          <w:rFonts w:cs="Aptos"/>
          <w:szCs w:val="24"/>
          <w:lang w:val="bg-BG"/>
        </w:rPr>
        <w:t>януари</w:t>
      </w:r>
      <w:r w:rsidRPr="006F3533">
        <w:rPr>
          <w:rFonts w:cs="Times New Roman"/>
          <w:szCs w:val="24"/>
          <w:lang w:val="bg-BG"/>
        </w:rPr>
        <w:t xml:space="preserve"> 2021 </w:t>
      </w:r>
      <w:r w:rsidRPr="006F3533">
        <w:rPr>
          <w:rFonts w:cs="Aptos"/>
          <w:szCs w:val="24"/>
          <w:lang w:val="bg-BG"/>
        </w:rPr>
        <w:t>г</w:t>
      </w:r>
      <w:r w:rsidRPr="006F3533">
        <w:rPr>
          <w:rFonts w:cs="Times New Roman"/>
          <w:szCs w:val="24"/>
          <w:lang w:val="bg-BG"/>
        </w:rPr>
        <w:t xml:space="preserve">. </w:t>
      </w:r>
      <w:r w:rsidRPr="006F3533">
        <w:rPr>
          <w:rFonts w:cs="Aptos"/>
          <w:szCs w:val="24"/>
          <w:lang w:val="bg-BG"/>
        </w:rPr>
        <w:t>Съгласно</w:t>
      </w:r>
      <w:r w:rsidRPr="006F3533">
        <w:rPr>
          <w:rFonts w:cs="Times New Roman"/>
          <w:szCs w:val="24"/>
          <w:lang w:val="bg-BG"/>
        </w:rPr>
        <w:t xml:space="preserve"> </w:t>
      </w:r>
      <w:r w:rsidRPr="006F3533">
        <w:rPr>
          <w:rFonts w:cs="Aptos"/>
          <w:szCs w:val="24"/>
          <w:lang w:val="bg-BG"/>
        </w:rPr>
        <w:t>закона</w:t>
      </w:r>
      <w:r w:rsidRPr="006F3533">
        <w:rPr>
          <w:rFonts w:cs="Times New Roman"/>
          <w:szCs w:val="24"/>
          <w:lang w:val="bg-BG"/>
        </w:rPr>
        <w:t xml:space="preserve">, </w:t>
      </w:r>
      <w:r w:rsidRPr="006F3533">
        <w:rPr>
          <w:rFonts w:cs="Aptos"/>
          <w:szCs w:val="24"/>
          <w:lang w:val="bg-BG"/>
        </w:rPr>
        <w:t>такава</w:t>
      </w:r>
      <w:r w:rsidRPr="006F3533">
        <w:rPr>
          <w:rFonts w:cs="Times New Roman"/>
          <w:szCs w:val="24"/>
          <w:lang w:val="bg-BG"/>
        </w:rPr>
        <w:t xml:space="preserve"> </w:t>
      </w:r>
      <w:r w:rsidRPr="006F3533">
        <w:rPr>
          <w:rFonts w:cs="Aptos"/>
          <w:szCs w:val="24"/>
          <w:lang w:val="bg-BG"/>
        </w:rPr>
        <w:t>сграда</w:t>
      </w:r>
      <w:r w:rsidRPr="006F3533">
        <w:rPr>
          <w:rFonts w:cs="Times New Roman"/>
          <w:szCs w:val="24"/>
          <w:lang w:val="bg-BG"/>
        </w:rPr>
        <w:t xml:space="preserve"> </w:t>
      </w:r>
      <w:r w:rsidRPr="006F3533">
        <w:rPr>
          <w:rFonts w:cs="Aptos"/>
          <w:szCs w:val="24"/>
          <w:lang w:val="bg-BG"/>
        </w:rPr>
        <w:t>е</w:t>
      </w:r>
      <w:r w:rsidRPr="006F3533">
        <w:rPr>
          <w:rFonts w:cs="Times New Roman"/>
          <w:szCs w:val="24"/>
          <w:lang w:val="bg-BG"/>
        </w:rPr>
        <w:t xml:space="preserve"> </w:t>
      </w:r>
      <w:r w:rsidRPr="006F3533">
        <w:rPr>
          <w:rFonts w:cs="Aptos"/>
          <w:szCs w:val="24"/>
          <w:lang w:val="bg-BG"/>
        </w:rPr>
        <w:t>сграда</w:t>
      </w:r>
      <w:r w:rsidRPr="006F3533">
        <w:rPr>
          <w:rFonts w:cs="Times New Roman"/>
          <w:szCs w:val="24"/>
          <w:lang w:val="bg-BG"/>
        </w:rPr>
        <w:t xml:space="preserve">, </w:t>
      </w:r>
      <w:r w:rsidRPr="006F3533">
        <w:rPr>
          <w:rFonts w:cs="Aptos"/>
          <w:szCs w:val="24"/>
          <w:lang w:val="bg-BG"/>
        </w:rPr>
        <w:t>която</w:t>
      </w:r>
      <w:r w:rsidRPr="006F3533">
        <w:rPr>
          <w:rFonts w:cs="Times New Roman"/>
          <w:szCs w:val="24"/>
          <w:lang w:val="bg-BG"/>
        </w:rPr>
        <w:t xml:space="preserve"> </w:t>
      </w:r>
      <w:r w:rsidRPr="006F3533">
        <w:rPr>
          <w:rFonts w:cs="Aptos"/>
          <w:szCs w:val="24"/>
          <w:lang w:val="bg-BG"/>
        </w:rPr>
        <w:t>отговаря</w:t>
      </w:r>
      <w:r w:rsidRPr="006F3533">
        <w:rPr>
          <w:rFonts w:cs="Times New Roman"/>
          <w:szCs w:val="24"/>
          <w:lang w:val="bg-BG"/>
        </w:rPr>
        <w:t xml:space="preserve"> </w:t>
      </w:r>
      <w:r w:rsidRPr="006F3533">
        <w:rPr>
          <w:rFonts w:cs="Aptos"/>
          <w:szCs w:val="24"/>
          <w:lang w:val="bg-BG"/>
        </w:rPr>
        <w:t>едновременно</w:t>
      </w:r>
      <w:r w:rsidRPr="006F3533">
        <w:rPr>
          <w:rFonts w:cs="Times New Roman"/>
          <w:szCs w:val="24"/>
          <w:lang w:val="bg-BG"/>
        </w:rPr>
        <w:t xml:space="preserve"> </w:t>
      </w:r>
      <w:r w:rsidRPr="006F3533">
        <w:rPr>
          <w:rFonts w:cs="Aptos"/>
          <w:szCs w:val="24"/>
          <w:lang w:val="bg-BG"/>
        </w:rPr>
        <w:t>на</w:t>
      </w:r>
      <w:r w:rsidRPr="006F3533">
        <w:rPr>
          <w:rFonts w:cs="Times New Roman"/>
          <w:szCs w:val="24"/>
          <w:lang w:val="bg-BG"/>
        </w:rPr>
        <w:t xml:space="preserve"> </w:t>
      </w:r>
      <w:r w:rsidRPr="006F3533">
        <w:rPr>
          <w:rFonts w:cs="Aptos"/>
          <w:szCs w:val="24"/>
          <w:lang w:val="bg-BG"/>
        </w:rPr>
        <w:t>следните</w:t>
      </w:r>
      <w:r w:rsidRPr="006F3533">
        <w:rPr>
          <w:rFonts w:cs="Times New Roman"/>
          <w:szCs w:val="24"/>
          <w:lang w:val="bg-BG"/>
        </w:rPr>
        <w:t xml:space="preserve"> </w:t>
      </w:r>
      <w:r w:rsidRPr="006F3533">
        <w:rPr>
          <w:rFonts w:cs="Aptos"/>
          <w:szCs w:val="24"/>
          <w:lang w:val="bg-BG"/>
        </w:rPr>
        <w:t>условия</w:t>
      </w:r>
      <w:r w:rsidRPr="006F3533">
        <w:rPr>
          <w:rFonts w:cs="Times New Roman"/>
          <w:szCs w:val="24"/>
          <w:lang w:val="bg-BG"/>
        </w:rPr>
        <w:t>:</w:t>
      </w:r>
    </w:p>
    <w:p w14:paraId="6ED7CE97" w14:textId="77777777" w:rsidR="00F733DA" w:rsidRPr="006F3533" w:rsidRDefault="00F733DA">
      <w:pPr>
        <w:numPr>
          <w:ilvl w:val="0"/>
          <w:numId w:val="1"/>
        </w:numPr>
        <w:tabs>
          <w:tab w:val="clear" w:pos="720"/>
          <w:tab w:val="num" w:pos="851"/>
        </w:tabs>
        <w:spacing w:before="100" w:beforeAutospacing="1" w:after="100" w:afterAutospacing="1" w:line="240" w:lineRule="auto"/>
        <w:ind w:left="567"/>
        <w:jc w:val="both"/>
        <w:rPr>
          <w:rFonts w:eastAsia="Times New Roman" w:cs="Times New Roman"/>
          <w:szCs w:val="24"/>
          <w:lang w:val="bg-BG"/>
        </w:rPr>
      </w:pPr>
      <w:r w:rsidRPr="006F3533">
        <w:rPr>
          <w:rFonts w:eastAsia="Times New Roman" w:cs="Times New Roman"/>
          <w:szCs w:val="24"/>
          <w:lang w:val="bg-BG"/>
        </w:rPr>
        <w:t>енергопотреблението ѝ, определено като първична енергия, отговаря на клас „А“ от скалата на класовете на енергопотребление за съответния тип сгради;</w:t>
      </w:r>
    </w:p>
    <w:p w14:paraId="681D6705" w14:textId="77777777" w:rsidR="00F733DA" w:rsidRPr="006F3533" w:rsidRDefault="00F733DA">
      <w:pPr>
        <w:numPr>
          <w:ilvl w:val="0"/>
          <w:numId w:val="1"/>
        </w:numPr>
        <w:tabs>
          <w:tab w:val="clear" w:pos="720"/>
          <w:tab w:val="num" w:pos="851"/>
        </w:tabs>
        <w:spacing w:before="100" w:beforeAutospacing="1" w:after="100" w:afterAutospacing="1" w:line="240" w:lineRule="auto"/>
        <w:ind w:left="567"/>
        <w:jc w:val="both"/>
        <w:rPr>
          <w:rFonts w:eastAsia="Times New Roman" w:cs="Times New Roman"/>
          <w:szCs w:val="24"/>
          <w:lang w:val="bg-BG"/>
        </w:rPr>
      </w:pPr>
      <w:r w:rsidRPr="006F3533">
        <w:rPr>
          <w:rFonts w:eastAsia="Times New Roman" w:cs="Times New Roman"/>
          <w:szCs w:val="24"/>
          <w:lang w:val="bg-BG"/>
        </w:rPr>
        <w:t xml:space="preserve">не по-малко от 55 на сто от </w:t>
      </w:r>
      <w:proofErr w:type="spellStart"/>
      <w:r w:rsidRPr="006F3533">
        <w:rPr>
          <w:rFonts w:eastAsia="Times New Roman" w:cs="Times New Roman"/>
          <w:szCs w:val="24"/>
          <w:lang w:val="bg-BG"/>
        </w:rPr>
        <w:t>потребената</w:t>
      </w:r>
      <w:proofErr w:type="spellEnd"/>
      <w:r w:rsidRPr="006F3533">
        <w:rPr>
          <w:rFonts w:eastAsia="Times New Roman" w:cs="Times New Roman"/>
          <w:szCs w:val="24"/>
          <w:lang w:val="bg-BG"/>
        </w:rPr>
        <w:t xml:space="preserve"> (доставената) енергия за отопление, охлаждане, вентилация, гореща вода за битови нужди и осветление е енергия от възобновяеми източници, разположени на място на ниво сграда или в близост до сградата.</w:t>
      </w:r>
    </w:p>
    <w:p w14:paraId="4B0627DF" w14:textId="77777777" w:rsidR="00F733DA" w:rsidRPr="006F3533" w:rsidRDefault="00F733D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Настоящата дефиниция беше възприета и потвърдена без изменения в Националната дългосрочна стратегия за обновяване на сградния фонд, приета през 2021 г. Единствената последваща промяна, отнасяща се до нейното прилагане, е актуализирането на стойностите за клас „А“ на първична енергия за различните категории сгради, извършено чрез Приложение №</w:t>
      </w:r>
      <w:r w:rsidRPr="006F3533">
        <w:rPr>
          <w:rFonts w:ascii="Arial" w:eastAsia="Times New Roman" w:hAnsi="Arial" w:cs="Arial"/>
          <w:szCs w:val="24"/>
          <w:lang w:val="bg-BG"/>
        </w:rPr>
        <w:t> </w:t>
      </w:r>
      <w:r w:rsidRPr="006F3533">
        <w:rPr>
          <w:rFonts w:eastAsia="Times New Roman" w:cs="Times New Roman"/>
          <w:szCs w:val="24"/>
          <w:lang w:val="bg-BG"/>
        </w:rPr>
        <w:t xml:space="preserve">2 </w:t>
      </w:r>
      <w:r w:rsidRPr="006F3533">
        <w:rPr>
          <w:rFonts w:eastAsia="Times New Roman" w:cs="Aptos"/>
          <w:szCs w:val="24"/>
          <w:lang w:val="bg-BG"/>
        </w:rPr>
        <w:t>към</w:t>
      </w:r>
      <w:r w:rsidRPr="006F3533">
        <w:rPr>
          <w:rFonts w:eastAsia="Times New Roman" w:cs="Times New Roman"/>
          <w:szCs w:val="24"/>
          <w:lang w:val="bg-BG"/>
        </w:rPr>
        <w:t xml:space="preserve"> </w:t>
      </w:r>
      <w:r w:rsidRPr="006F3533">
        <w:rPr>
          <w:rFonts w:eastAsia="Times New Roman" w:cs="Aptos"/>
          <w:szCs w:val="24"/>
          <w:lang w:val="bg-BG"/>
        </w:rPr>
        <w:t>чл</w:t>
      </w:r>
      <w:r w:rsidRPr="006F3533">
        <w:rPr>
          <w:rFonts w:eastAsia="Times New Roman" w:cs="Times New Roman"/>
          <w:szCs w:val="24"/>
          <w:lang w:val="bg-BG"/>
        </w:rPr>
        <w:t>.</w:t>
      </w:r>
      <w:r w:rsidRPr="006F3533">
        <w:rPr>
          <w:rFonts w:ascii="Arial" w:eastAsia="Times New Roman" w:hAnsi="Arial" w:cs="Arial"/>
          <w:szCs w:val="24"/>
          <w:lang w:val="bg-BG"/>
        </w:rPr>
        <w:t> </w:t>
      </w:r>
      <w:r w:rsidRPr="006F3533">
        <w:rPr>
          <w:rFonts w:eastAsia="Times New Roman" w:cs="Times New Roman"/>
          <w:szCs w:val="24"/>
          <w:lang w:val="bg-BG"/>
        </w:rPr>
        <w:t xml:space="preserve">17, </w:t>
      </w:r>
      <w:r w:rsidRPr="006F3533">
        <w:rPr>
          <w:rFonts w:eastAsia="Times New Roman" w:cs="Aptos"/>
          <w:szCs w:val="24"/>
          <w:lang w:val="bg-BG"/>
        </w:rPr>
        <w:t>ал</w:t>
      </w:r>
      <w:r w:rsidRPr="006F3533">
        <w:rPr>
          <w:rFonts w:eastAsia="Times New Roman" w:cs="Times New Roman"/>
          <w:szCs w:val="24"/>
          <w:lang w:val="bg-BG"/>
        </w:rPr>
        <w:t>.</w:t>
      </w:r>
      <w:r w:rsidRPr="006F3533">
        <w:rPr>
          <w:rFonts w:ascii="Arial" w:eastAsia="Times New Roman" w:hAnsi="Arial" w:cs="Arial"/>
          <w:szCs w:val="24"/>
          <w:lang w:val="bg-BG"/>
        </w:rPr>
        <w:t> </w:t>
      </w:r>
      <w:r w:rsidRPr="006F3533">
        <w:rPr>
          <w:rFonts w:eastAsia="Times New Roman" w:cs="Times New Roman"/>
          <w:szCs w:val="24"/>
          <w:lang w:val="bg-BG"/>
        </w:rPr>
        <w:t xml:space="preserve">5 </w:t>
      </w:r>
      <w:r w:rsidRPr="006F3533">
        <w:rPr>
          <w:rFonts w:eastAsia="Times New Roman" w:cs="Aptos"/>
          <w:szCs w:val="24"/>
          <w:lang w:val="bg-BG"/>
        </w:rPr>
        <w:t>от</w:t>
      </w:r>
      <w:r w:rsidRPr="006F3533">
        <w:rPr>
          <w:rFonts w:eastAsia="Times New Roman" w:cs="Times New Roman"/>
          <w:szCs w:val="24"/>
          <w:lang w:val="bg-BG"/>
        </w:rPr>
        <w:t xml:space="preserve"> </w:t>
      </w:r>
      <w:r w:rsidRPr="006F3533">
        <w:rPr>
          <w:rFonts w:eastAsia="Times New Roman" w:cs="Aptos"/>
          <w:szCs w:val="24"/>
          <w:lang w:val="bg-BG"/>
        </w:rPr>
        <w:t>Наредба</w:t>
      </w:r>
      <w:r w:rsidRPr="006F3533">
        <w:rPr>
          <w:rFonts w:eastAsia="Times New Roman" w:cs="Times New Roman"/>
          <w:szCs w:val="24"/>
          <w:lang w:val="bg-BG"/>
        </w:rPr>
        <w:t xml:space="preserve"> </w:t>
      </w:r>
      <w:r w:rsidRPr="006F3533">
        <w:rPr>
          <w:rFonts w:eastAsia="Times New Roman" w:cs="Aptos"/>
          <w:szCs w:val="24"/>
          <w:lang w:val="bg-BG"/>
        </w:rPr>
        <w:t>№</w:t>
      </w:r>
      <w:r w:rsidRPr="006F3533">
        <w:rPr>
          <w:rFonts w:ascii="Arial" w:eastAsia="Times New Roman" w:hAnsi="Arial" w:cs="Arial"/>
          <w:szCs w:val="24"/>
          <w:lang w:val="bg-BG"/>
        </w:rPr>
        <w:t> </w:t>
      </w:r>
      <w:r w:rsidRPr="006F3533">
        <w:rPr>
          <w:rFonts w:eastAsia="Times New Roman" w:cs="Aptos"/>
          <w:szCs w:val="24"/>
          <w:lang w:val="bg-BG"/>
        </w:rPr>
        <w:t>РД</w:t>
      </w:r>
      <w:r w:rsidRPr="006F3533">
        <w:rPr>
          <w:rFonts w:eastAsia="Times New Roman" w:cs="Times New Roman"/>
          <w:szCs w:val="24"/>
          <w:lang w:val="bg-BG"/>
        </w:rPr>
        <w:t xml:space="preserve">-02-20-3, </w:t>
      </w:r>
      <w:r w:rsidRPr="006F3533">
        <w:rPr>
          <w:rFonts w:eastAsia="Times New Roman" w:cs="Aptos"/>
          <w:szCs w:val="24"/>
          <w:lang w:val="bg-BG"/>
        </w:rPr>
        <w:t>в</w:t>
      </w:r>
      <w:r w:rsidRPr="006F3533">
        <w:rPr>
          <w:rFonts w:eastAsia="Times New Roman" w:cs="Times New Roman"/>
          <w:szCs w:val="24"/>
          <w:lang w:val="bg-BG"/>
        </w:rPr>
        <w:t xml:space="preserve"> </w:t>
      </w:r>
      <w:r w:rsidRPr="006F3533">
        <w:rPr>
          <w:rFonts w:eastAsia="Times New Roman" w:cs="Aptos"/>
          <w:szCs w:val="24"/>
          <w:lang w:val="bg-BG"/>
        </w:rPr>
        <w:t>сила</w:t>
      </w:r>
      <w:r w:rsidRPr="006F3533">
        <w:rPr>
          <w:rFonts w:eastAsia="Times New Roman" w:cs="Times New Roman"/>
          <w:szCs w:val="24"/>
          <w:lang w:val="bg-BG"/>
        </w:rPr>
        <w:t xml:space="preserve"> </w:t>
      </w:r>
      <w:r w:rsidRPr="006F3533">
        <w:rPr>
          <w:rFonts w:eastAsia="Times New Roman" w:cs="Aptos"/>
          <w:szCs w:val="24"/>
          <w:lang w:val="bg-BG"/>
        </w:rPr>
        <w:t>от</w:t>
      </w:r>
      <w:r w:rsidRPr="006F3533">
        <w:rPr>
          <w:rFonts w:eastAsia="Times New Roman" w:cs="Times New Roman"/>
          <w:szCs w:val="24"/>
          <w:lang w:val="bg-BG"/>
        </w:rPr>
        <w:t xml:space="preserve"> 1 </w:t>
      </w:r>
      <w:r w:rsidRPr="006F3533">
        <w:rPr>
          <w:rFonts w:eastAsia="Times New Roman" w:cs="Aptos"/>
          <w:szCs w:val="24"/>
          <w:lang w:val="bg-BG"/>
        </w:rPr>
        <w:t>март</w:t>
      </w:r>
      <w:r w:rsidRPr="006F3533">
        <w:rPr>
          <w:rFonts w:eastAsia="Times New Roman" w:cs="Times New Roman"/>
          <w:szCs w:val="24"/>
          <w:lang w:val="bg-BG"/>
        </w:rPr>
        <w:t xml:space="preserve"> 2024 </w:t>
      </w:r>
      <w:r w:rsidRPr="006F3533">
        <w:rPr>
          <w:rFonts w:eastAsia="Times New Roman" w:cs="Aptos"/>
          <w:szCs w:val="24"/>
          <w:lang w:val="bg-BG"/>
        </w:rPr>
        <w:t>г</w:t>
      </w:r>
      <w:r w:rsidRPr="006F3533">
        <w:rPr>
          <w:rFonts w:eastAsia="Times New Roman" w:cs="Times New Roman"/>
          <w:szCs w:val="24"/>
          <w:lang w:val="bg-BG"/>
        </w:rPr>
        <w:t>.</w:t>
      </w:r>
    </w:p>
    <w:p w14:paraId="463475EB" w14:textId="77777777" w:rsidR="00F733DA" w:rsidRPr="00AB1EDD" w:rsidRDefault="00F733DA" w:rsidP="00AB1EDD">
      <w:pPr>
        <w:rPr>
          <w:b/>
          <w:bCs/>
          <w:lang w:val="bg-BG"/>
        </w:rPr>
      </w:pPr>
      <w:bookmarkStart w:id="166" w:name="_Toc216857795"/>
      <w:r w:rsidRPr="00AB1EDD">
        <w:rPr>
          <w:b/>
          <w:bCs/>
          <w:lang w:val="bg-BG"/>
        </w:rPr>
        <w:t>Скала на първична енергия за клас „А“ по категории сгради</w:t>
      </w:r>
      <w:bookmarkEnd w:id="166"/>
    </w:p>
    <w:tbl>
      <w:tblPr>
        <w:tblStyle w:val="GridTable4-Accent5"/>
        <w:tblW w:w="8894" w:type="dxa"/>
        <w:tblLook w:val="04A0" w:firstRow="1" w:lastRow="0" w:firstColumn="1" w:lastColumn="0" w:noHBand="0" w:noVBand="1"/>
      </w:tblPr>
      <w:tblGrid>
        <w:gridCol w:w="7076"/>
        <w:gridCol w:w="1818"/>
      </w:tblGrid>
      <w:tr w:rsidR="00F733DA" w:rsidRPr="006F3533" w14:paraId="20691B49" w14:textId="77777777" w:rsidTr="000C44D1">
        <w:trPr>
          <w:cnfStyle w:val="100000000000" w:firstRow="1" w:lastRow="0" w:firstColumn="0" w:lastColumn="0" w:oddVBand="0" w:evenVBand="0" w:oddHBand="0" w:evenHBand="0" w:firstRowFirstColumn="0" w:firstRowLastColumn="0" w:lastRowFirstColumn="0" w:lastRowLastColumn="0"/>
          <w:trHeight w:val="1145"/>
        </w:trPr>
        <w:tc>
          <w:tcPr>
            <w:cnfStyle w:val="001000000000" w:firstRow="0" w:lastRow="0" w:firstColumn="1" w:lastColumn="0" w:oddVBand="0" w:evenVBand="0" w:oddHBand="0" w:evenHBand="0" w:firstRowFirstColumn="0" w:firstRowLastColumn="0" w:lastRowFirstColumn="0" w:lastRowLastColumn="0"/>
            <w:tcW w:w="7076" w:type="dxa"/>
            <w:hideMark/>
          </w:tcPr>
          <w:p w14:paraId="659CA564" w14:textId="77777777" w:rsidR="00F733DA" w:rsidRPr="006F3533" w:rsidRDefault="00F733DA" w:rsidP="00077D42">
            <w:pPr>
              <w:ind w:left="709"/>
              <w:jc w:val="both"/>
              <w:rPr>
                <w:rFonts w:eastAsia="Times New Roman" w:cs="Times New Roman"/>
                <w:szCs w:val="24"/>
                <w:lang w:val="bg-BG"/>
              </w:rPr>
            </w:pPr>
            <w:r w:rsidRPr="006F3533">
              <w:rPr>
                <w:rFonts w:eastAsia="Times New Roman" w:cs="Times New Roman"/>
                <w:szCs w:val="24"/>
                <w:lang w:val="bg-BG"/>
              </w:rPr>
              <w:t>Категория сграда</w:t>
            </w:r>
          </w:p>
        </w:tc>
        <w:tc>
          <w:tcPr>
            <w:tcW w:w="1818" w:type="dxa"/>
            <w:hideMark/>
          </w:tcPr>
          <w:p w14:paraId="4581D22E" w14:textId="123D1850" w:rsidR="00F733DA" w:rsidRPr="006F3533" w:rsidRDefault="004B3A43" w:rsidP="00077D42">
            <w:pPr>
              <w:ind w:left="58"/>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П</w:t>
            </w:r>
            <w:r w:rsidR="00F733DA" w:rsidRPr="006F3533">
              <w:rPr>
                <w:rFonts w:eastAsia="Times New Roman" w:cs="Times New Roman"/>
                <w:szCs w:val="24"/>
                <w:lang w:val="bg-BG"/>
              </w:rPr>
              <w:t xml:space="preserve">раг за клас А (първична енергия), </w:t>
            </w:r>
            <w:proofErr w:type="spellStart"/>
            <w:r w:rsidR="00F733DA" w:rsidRPr="006F3533">
              <w:rPr>
                <w:rFonts w:eastAsia="Times New Roman" w:cs="Times New Roman"/>
                <w:szCs w:val="24"/>
                <w:lang w:val="bg-BG"/>
              </w:rPr>
              <w:t>kWh</w:t>
            </w:r>
            <w:proofErr w:type="spellEnd"/>
            <w:r w:rsidR="00F733DA" w:rsidRPr="006F3533">
              <w:rPr>
                <w:rFonts w:eastAsia="Times New Roman" w:cs="Times New Roman"/>
                <w:szCs w:val="24"/>
                <w:lang w:val="bg-BG"/>
              </w:rPr>
              <w:t>/(m²·год)</w:t>
            </w:r>
          </w:p>
        </w:tc>
      </w:tr>
      <w:tr w:rsidR="00F733DA" w:rsidRPr="006F3533" w14:paraId="67A5E11E" w14:textId="77777777" w:rsidTr="000C44D1">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7076" w:type="dxa"/>
            <w:hideMark/>
          </w:tcPr>
          <w:p w14:paraId="7B487A8F"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Многофамилни жилищни сгради (вкл. общежития)</w:t>
            </w:r>
          </w:p>
        </w:tc>
        <w:tc>
          <w:tcPr>
            <w:tcW w:w="1818" w:type="dxa"/>
            <w:hideMark/>
          </w:tcPr>
          <w:p w14:paraId="2692C540" w14:textId="77777777" w:rsidR="00F733DA" w:rsidRPr="006F3533" w:rsidRDefault="00F733DA" w:rsidP="00077D42">
            <w:pPr>
              <w:ind w:left="709"/>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95</w:t>
            </w:r>
          </w:p>
        </w:tc>
      </w:tr>
      <w:tr w:rsidR="00F733DA" w:rsidRPr="006F3533" w14:paraId="2FD864D5" w14:textId="77777777" w:rsidTr="000C44D1">
        <w:trPr>
          <w:trHeight w:val="286"/>
        </w:trPr>
        <w:tc>
          <w:tcPr>
            <w:cnfStyle w:val="001000000000" w:firstRow="0" w:lastRow="0" w:firstColumn="1" w:lastColumn="0" w:oddVBand="0" w:evenVBand="0" w:oddHBand="0" w:evenHBand="0" w:firstRowFirstColumn="0" w:firstRowLastColumn="0" w:lastRowFirstColumn="0" w:lastRowLastColumn="0"/>
            <w:tcW w:w="7076" w:type="dxa"/>
            <w:hideMark/>
          </w:tcPr>
          <w:p w14:paraId="61BA36EE"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Еднофамилни жилищни сгради</w:t>
            </w:r>
          </w:p>
        </w:tc>
        <w:tc>
          <w:tcPr>
            <w:tcW w:w="1818" w:type="dxa"/>
            <w:hideMark/>
          </w:tcPr>
          <w:p w14:paraId="3FDA2C0A" w14:textId="77777777" w:rsidR="00F733DA" w:rsidRPr="006F3533" w:rsidRDefault="00F733DA" w:rsidP="00077D42">
            <w:pPr>
              <w:ind w:left="709"/>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100</w:t>
            </w:r>
          </w:p>
        </w:tc>
      </w:tr>
      <w:tr w:rsidR="00F733DA" w:rsidRPr="006F3533" w14:paraId="0B04A889" w14:textId="77777777" w:rsidTr="000C44D1">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7076" w:type="dxa"/>
            <w:hideMark/>
          </w:tcPr>
          <w:p w14:paraId="1BA11A1F"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Административни сгради (офиси)</w:t>
            </w:r>
          </w:p>
        </w:tc>
        <w:tc>
          <w:tcPr>
            <w:tcW w:w="1818" w:type="dxa"/>
            <w:hideMark/>
          </w:tcPr>
          <w:p w14:paraId="0E73C978" w14:textId="77777777" w:rsidR="00F733DA" w:rsidRPr="006F3533" w:rsidRDefault="00F733DA" w:rsidP="00077D42">
            <w:pPr>
              <w:ind w:left="709"/>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135</w:t>
            </w:r>
          </w:p>
        </w:tc>
      </w:tr>
      <w:tr w:rsidR="00F733DA" w:rsidRPr="006F3533" w14:paraId="00E090BB" w14:textId="77777777" w:rsidTr="000C44D1">
        <w:trPr>
          <w:trHeight w:val="294"/>
        </w:trPr>
        <w:tc>
          <w:tcPr>
            <w:cnfStyle w:val="001000000000" w:firstRow="0" w:lastRow="0" w:firstColumn="1" w:lastColumn="0" w:oddVBand="0" w:evenVBand="0" w:oddHBand="0" w:evenHBand="0" w:firstRowFirstColumn="0" w:firstRowLastColumn="0" w:lastRowFirstColumn="0" w:lastRowLastColumn="0"/>
            <w:tcW w:w="7076" w:type="dxa"/>
            <w:hideMark/>
          </w:tcPr>
          <w:p w14:paraId="4CC23C20"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Училища</w:t>
            </w:r>
          </w:p>
        </w:tc>
        <w:tc>
          <w:tcPr>
            <w:tcW w:w="1818" w:type="dxa"/>
            <w:hideMark/>
          </w:tcPr>
          <w:p w14:paraId="528985D8" w14:textId="77777777" w:rsidR="00F733DA" w:rsidRPr="006F3533" w:rsidRDefault="00F733DA" w:rsidP="00077D42">
            <w:pPr>
              <w:ind w:left="709"/>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90</w:t>
            </w:r>
          </w:p>
        </w:tc>
      </w:tr>
      <w:tr w:rsidR="00F733DA" w:rsidRPr="006F3533" w14:paraId="6C75B1AE" w14:textId="77777777" w:rsidTr="000C44D1">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7076" w:type="dxa"/>
            <w:hideMark/>
          </w:tcPr>
          <w:p w14:paraId="421D0091"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Университети</w:t>
            </w:r>
          </w:p>
        </w:tc>
        <w:tc>
          <w:tcPr>
            <w:tcW w:w="1818" w:type="dxa"/>
            <w:hideMark/>
          </w:tcPr>
          <w:p w14:paraId="6DABA213" w14:textId="77777777" w:rsidR="00F733DA" w:rsidRPr="006F3533" w:rsidRDefault="00F733DA" w:rsidP="00077D42">
            <w:pPr>
              <w:ind w:left="709"/>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100</w:t>
            </w:r>
          </w:p>
        </w:tc>
      </w:tr>
      <w:tr w:rsidR="00F733DA" w:rsidRPr="006F3533" w14:paraId="0D00BF39" w14:textId="77777777" w:rsidTr="000C44D1">
        <w:trPr>
          <w:trHeight w:val="286"/>
        </w:trPr>
        <w:tc>
          <w:tcPr>
            <w:cnfStyle w:val="001000000000" w:firstRow="0" w:lastRow="0" w:firstColumn="1" w:lastColumn="0" w:oddVBand="0" w:evenVBand="0" w:oddHBand="0" w:evenHBand="0" w:firstRowFirstColumn="0" w:firstRowLastColumn="0" w:lastRowFirstColumn="0" w:lastRowLastColumn="0"/>
            <w:tcW w:w="7076" w:type="dxa"/>
            <w:hideMark/>
          </w:tcPr>
          <w:p w14:paraId="7A2E46EF"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Детски градини и детски ясли</w:t>
            </w:r>
          </w:p>
        </w:tc>
        <w:tc>
          <w:tcPr>
            <w:tcW w:w="1818" w:type="dxa"/>
            <w:hideMark/>
          </w:tcPr>
          <w:p w14:paraId="5C644039" w14:textId="77777777" w:rsidR="00F733DA" w:rsidRPr="006F3533" w:rsidRDefault="00F733DA" w:rsidP="00077D42">
            <w:pPr>
              <w:ind w:left="709"/>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85</w:t>
            </w:r>
          </w:p>
        </w:tc>
      </w:tr>
      <w:tr w:rsidR="00F733DA" w:rsidRPr="006F3533" w14:paraId="5D415A98" w14:textId="77777777" w:rsidTr="000C44D1">
        <w:trPr>
          <w:cnfStyle w:val="000000100000" w:firstRow="0" w:lastRow="0" w:firstColumn="0" w:lastColumn="0" w:oddVBand="0" w:evenVBand="0" w:oddHBand="1" w:evenHBand="0" w:firstRowFirstColumn="0" w:firstRowLastColumn="0" w:lastRowFirstColumn="0" w:lastRowLastColumn="0"/>
          <w:trHeight w:val="572"/>
        </w:trPr>
        <w:tc>
          <w:tcPr>
            <w:cnfStyle w:val="001000000000" w:firstRow="0" w:lastRow="0" w:firstColumn="1" w:lastColumn="0" w:oddVBand="0" w:evenVBand="0" w:oddHBand="0" w:evenHBand="0" w:firstRowFirstColumn="0" w:firstRowLastColumn="0" w:lastRowFirstColumn="0" w:lastRowLastColumn="0"/>
            <w:tcW w:w="7076" w:type="dxa"/>
            <w:hideMark/>
          </w:tcPr>
          <w:p w14:paraId="70B4B27D"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Лечебни заведения (болници, извънболнична помощ, мед. центрове)</w:t>
            </w:r>
          </w:p>
        </w:tc>
        <w:tc>
          <w:tcPr>
            <w:tcW w:w="1818" w:type="dxa"/>
            <w:hideMark/>
          </w:tcPr>
          <w:p w14:paraId="5F305BDF" w14:textId="77777777" w:rsidR="00F733DA" w:rsidRPr="006F3533" w:rsidRDefault="00F733DA" w:rsidP="00077D42">
            <w:pPr>
              <w:ind w:left="709"/>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190</w:t>
            </w:r>
          </w:p>
        </w:tc>
      </w:tr>
      <w:tr w:rsidR="00F733DA" w:rsidRPr="006F3533" w14:paraId="2F78611C" w14:textId="77777777" w:rsidTr="000C44D1">
        <w:trPr>
          <w:trHeight w:val="286"/>
        </w:trPr>
        <w:tc>
          <w:tcPr>
            <w:cnfStyle w:val="001000000000" w:firstRow="0" w:lastRow="0" w:firstColumn="1" w:lastColumn="0" w:oddVBand="0" w:evenVBand="0" w:oddHBand="0" w:evenHBand="0" w:firstRowFirstColumn="0" w:firstRowLastColumn="0" w:lastRowFirstColumn="0" w:lastRowLastColumn="0"/>
            <w:tcW w:w="7076" w:type="dxa"/>
            <w:hideMark/>
          </w:tcPr>
          <w:p w14:paraId="2F3D583B"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Сгради за хотелиерство и ресторантьорство</w:t>
            </w:r>
          </w:p>
        </w:tc>
        <w:tc>
          <w:tcPr>
            <w:tcW w:w="1818" w:type="dxa"/>
            <w:hideMark/>
          </w:tcPr>
          <w:p w14:paraId="5F6E8F32" w14:textId="77777777" w:rsidR="00F733DA" w:rsidRPr="006F3533" w:rsidRDefault="00F733DA" w:rsidP="00077D42">
            <w:pPr>
              <w:ind w:left="709"/>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185</w:t>
            </w:r>
          </w:p>
        </w:tc>
      </w:tr>
      <w:tr w:rsidR="00F733DA" w:rsidRPr="006F3533" w14:paraId="68E2E66F" w14:textId="77777777" w:rsidTr="000C44D1">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7076" w:type="dxa"/>
            <w:hideMark/>
          </w:tcPr>
          <w:p w14:paraId="383230E3"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Търговски сгради (услуги на едро и дребно)</w:t>
            </w:r>
          </w:p>
        </w:tc>
        <w:tc>
          <w:tcPr>
            <w:tcW w:w="1818" w:type="dxa"/>
            <w:hideMark/>
          </w:tcPr>
          <w:p w14:paraId="788A3367" w14:textId="77777777" w:rsidR="00F733DA" w:rsidRPr="006F3533" w:rsidRDefault="00F733DA" w:rsidP="00077D42">
            <w:pPr>
              <w:ind w:left="709"/>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170</w:t>
            </w:r>
          </w:p>
        </w:tc>
      </w:tr>
      <w:tr w:rsidR="00F733DA" w:rsidRPr="006F3533" w14:paraId="123802CD" w14:textId="77777777" w:rsidTr="000C44D1">
        <w:trPr>
          <w:trHeight w:val="286"/>
        </w:trPr>
        <w:tc>
          <w:tcPr>
            <w:cnfStyle w:val="001000000000" w:firstRow="0" w:lastRow="0" w:firstColumn="1" w:lastColumn="0" w:oddVBand="0" w:evenVBand="0" w:oddHBand="0" w:evenHBand="0" w:firstRowFirstColumn="0" w:firstRowLastColumn="0" w:lastRowFirstColumn="0" w:lastRowLastColumn="0"/>
            <w:tcW w:w="7076" w:type="dxa"/>
            <w:hideMark/>
          </w:tcPr>
          <w:p w14:paraId="63AF1F71"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t>Сгради за спорт</w:t>
            </w:r>
          </w:p>
        </w:tc>
        <w:tc>
          <w:tcPr>
            <w:tcW w:w="1818" w:type="dxa"/>
            <w:hideMark/>
          </w:tcPr>
          <w:p w14:paraId="50561A33" w14:textId="77777777" w:rsidR="00F733DA" w:rsidRPr="006F3533" w:rsidRDefault="00F733DA" w:rsidP="00077D42">
            <w:pPr>
              <w:ind w:left="709"/>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160</w:t>
            </w:r>
          </w:p>
        </w:tc>
      </w:tr>
      <w:tr w:rsidR="00F733DA" w:rsidRPr="006F3533" w14:paraId="15DD6F52" w14:textId="77777777" w:rsidTr="000C44D1">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7076" w:type="dxa"/>
            <w:hideMark/>
          </w:tcPr>
          <w:p w14:paraId="09D03802" w14:textId="77777777" w:rsidR="00F733DA" w:rsidRPr="006F3533" w:rsidRDefault="00F733DA" w:rsidP="00077D42">
            <w:pPr>
              <w:jc w:val="both"/>
              <w:rPr>
                <w:rFonts w:eastAsia="Times New Roman" w:cs="Times New Roman"/>
                <w:szCs w:val="24"/>
                <w:lang w:val="bg-BG"/>
              </w:rPr>
            </w:pPr>
            <w:r w:rsidRPr="006F3533">
              <w:rPr>
                <w:rFonts w:eastAsia="Times New Roman" w:cs="Times New Roman"/>
                <w:szCs w:val="24"/>
                <w:lang w:val="bg-BG"/>
              </w:rPr>
              <w:lastRenderedPageBreak/>
              <w:t>Сгради за култура и изкуство</w:t>
            </w:r>
          </w:p>
        </w:tc>
        <w:tc>
          <w:tcPr>
            <w:tcW w:w="1818" w:type="dxa"/>
            <w:hideMark/>
          </w:tcPr>
          <w:p w14:paraId="14016DC9" w14:textId="77777777" w:rsidR="00F733DA" w:rsidRPr="006F3533" w:rsidRDefault="00F733DA" w:rsidP="00077D42">
            <w:pPr>
              <w:ind w:left="709"/>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rPr>
            </w:pPr>
            <w:r w:rsidRPr="006F3533">
              <w:rPr>
                <w:rFonts w:eastAsia="Times New Roman" w:cs="Times New Roman"/>
                <w:szCs w:val="24"/>
                <w:lang w:val="bg-BG"/>
              </w:rPr>
              <w:t>130</w:t>
            </w:r>
          </w:p>
        </w:tc>
      </w:tr>
    </w:tbl>
    <w:p w14:paraId="6B045236" w14:textId="14321E81" w:rsidR="00F733DA" w:rsidRPr="006F3533" w:rsidRDefault="00F733DA" w:rsidP="00077D42">
      <w:pPr>
        <w:spacing w:before="100" w:beforeAutospacing="1" w:after="100" w:afterAutospacing="1" w:line="240" w:lineRule="auto"/>
        <w:jc w:val="both"/>
        <w:rPr>
          <w:rFonts w:eastAsia="Times New Roman" w:cs="Times New Roman"/>
          <w:szCs w:val="24"/>
          <w:lang w:val="bg-BG"/>
        </w:rPr>
      </w:pPr>
      <w:r w:rsidRPr="006F3533">
        <w:rPr>
          <w:rFonts w:eastAsia="Times New Roman" w:cs="Times New Roman"/>
          <w:szCs w:val="24"/>
          <w:lang w:val="bg-BG"/>
        </w:rPr>
        <w:t xml:space="preserve">До пълното въвеждане на новите изисквания за сгради с нулево потребление на енергия (ZEB), предвидени в преработената Директива (ЕС) 2024/1275, настоящата дефиниция продължава да се прилага в националния контекст </w:t>
      </w:r>
      <w:r w:rsidR="0043788C" w:rsidRPr="006F3533">
        <w:rPr>
          <w:rFonts w:eastAsia="Times New Roman" w:cs="Times New Roman"/>
          <w:szCs w:val="24"/>
          <w:lang w:val="bg-BG"/>
        </w:rPr>
        <w:t>–</w:t>
      </w:r>
      <w:r w:rsidRPr="006F3533">
        <w:rPr>
          <w:rFonts w:eastAsia="Times New Roman" w:cs="Times New Roman"/>
          <w:szCs w:val="24"/>
          <w:lang w:val="bg-BG"/>
        </w:rPr>
        <w:t xml:space="preserve"> както за нови сгради, така и при основно обновяване и при изпълнение на публични програми.</w:t>
      </w:r>
    </w:p>
    <w:p w14:paraId="65E66EF1" w14:textId="77777777" w:rsidR="002233A5" w:rsidRPr="006F3533" w:rsidRDefault="002233A5" w:rsidP="00077D42">
      <w:pPr>
        <w:pStyle w:val="Heading1"/>
        <w:jc w:val="both"/>
        <w:rPr>
          <w:lang w:val="bg-BG"/>
        </w:rPr>
      </w:pPr>
      <w:bookmarkStart w:id="167" w:name="_Toc217888805"/>
      <w:r w:rsidRPr="006F3533">
        <w:rPr>
          <w:lang w:val="bg-BG"/>
        </w:rPr>
        <w:t>Разходно ефективни минимални стойности за енергийните характеристики на нежилищните сгради</w:t>
      </w:r>
      <w:bookmarkEnd w:id="167"/>
    </w:p>
    <w:p w14:paraId="543AF6E8" w14:textId="77777777" w:rsidR="002233A5" w:rsidRPr="006F3533" w:rsidRDefault="002233A5" w:rsidP="00077D42">
      <w:pPr>
        <w:pStyle w:val="NormalWeb"/>
        <w:jc w:val="both"/>
        <w:rPr>
          <w:rFonts w:ascii="Aptos" w:hAnsi="Aptos"/>
          <w:lang w:val="bg-BG"/>
        </w:rPr>
      </w:pPr>
      <w:r w:rsidRPr="006F3533">
        <w:rPr>
          <w:rFonts w:ascii="Aptos" w:hAnsi="Aptos"/>
          <w:lang w:val="bg-BG"/>
        </w:rPr>
        <w:t xml:space="preserve">Минималните разходно ефективни стойности за енергийните характеристики на сградите в България се определят и актуализират въз основа на </w:t>
      </w:r>
      <w:r w:rsidRPr="006F3533">
        <w:rPr>
          <w:rStyle w:val="Strong"/>
          <w:rFonts w:ascii="Aptos" w:hAnsi="Aptos"/>
          <w:b w:val="0"/>
          <w:bCs w:val="0"/>
          <w:lang w:val="bg-BG"/>
        </w:rPr>
        <w:t>периодични анализи на разходната ефективност</w:t>
      </w:r>
      <w:r w:rsidRPr="006F3533">
        <w:rPr>
          <w:rFonts w:ascii="Aptos" w:hAnsi="Aptos"/>
          <w:b/>
          <w:bCs/>
          <w:lang w:val="bg-BG"/>
        </w:rPr>
        <w:t>,</w:t>
      </w:r>
      <w:r w:rsidRPr="006F3533">
        <w:rPr>
          <w:rFonts w:ascii="Aptos" w:hAnsi="Aptos"/>
          <w:lang w:val="bg-BG"/>
        </w:rPr>
        <w:t xml:space="preserve"> извършвани в съответствие с изискванията на Директивата за енергийните характеристики на сградите (EPBD). Резултатите от тези анализи служат като основа за </w:t>
      </w:r>
      <w:r w:rsidRPr="006F3533">
        <w:rPr>
          <w:rStyle w:val="Strong"/>
          <w:rFonts w:ascii="Aptos" w:hAnsi="Aptos"/>
          <w:b w:val="0"/>
          <w:bCs w:val="0"/>
          <w:lang w:val="bg-BG"/>
        </w:rPr>
        <w:t>актуализация на нормативните изисквания</w:t>
      </w:r>
      <w:r w:rsidRPr="006F3533">
        <w:rPr>
          <w:rFonts w:ascii="Aptos" w:hAnsi="Aptos"/>
          <w:lang w:val="bg-BG"/>
        </w:rPr>
        <w:t xml:space="preserve">, заложени в </w:t>
      </w:r>
      <w:r w:rsidRPr="006F3533">
        <w:rPr>
          <w:rStyle w:val="Strong"/>
          <w:rFonts w:ascii="Aptos" w:hAnsi="Aptos"/>
          <w:b w:val="0"/>
          <w:bCs w:val="0"/>
          <w:lang w:val="bg-BG"/>
        </w:rPr>
        <w:t>Наредба № РД-02-20-3 за техническите изисквания към енергийните характеристики на сградите</w:t>
      </w:r>
      <w:r w:rsidRPr="006F3533">
        <w:rPr>
          <w:rFonts w:ascii="Aptos" w:hAnsi="Aptos"/>
          <w:lang w:val="bg-BG"/>
        </w:rPr>
        <w:t>.</w:t>
      </w:r>
    </w:p>
    <w:p w14:paraId="751EF693" w14:textId="77777777" w:rsidR="002233A5" w:rsidRPr="006F3533" w:rsidRDefault="002233A5" w:rsidP="00077D42">
      <w:pPr>
        <w:pStyle w:val="NormalWeb"/>
        <w:jc w:val="both"/>
        <w:rPr>
          <w:rFonts w:ascii="Aptos" w:hAnsi="Aptos"/>
          <w:lang w:val="bg-BG"/>
        </w:rPr>
      </w:pPr>
      <w:r w:rsidRPr="006F3533">
        <w:rPr>
          <w:rFonts w:ascii="Aptos" w:hAnsi="Aptos"/>
          <w:lang w:val="bg-BG"/>
        </w:rPr>
        <w:t xml:space="preserve">Наредбата определя </w:t>
      </w:r>
      <w:r w:rsidRPr="006F3533">
        <w:rPr>
          <w:rStyle w:val="Strong"/>
          <w:rFonts w:ascii="Aptos" w:hAnsi="Aptos"/>
          <w:b w:val="0"/>
          <w:bCs w:val="0"/>
          <w:lang w:val="bg-BG"/>
        </w:rPr>
        <w:t>минимални изисквания за отделни сградни елементи</w:t>
      </w:r>
      <w:r w:rsidRPr="006F3533">
        <w:rPr>
          <w:rFonts w:ascii="Aptos" w:hAnsi="Aptos"/>
          <w:lang w:val="bg-BG"/>
        </w:rPr>
        <w:t>, включително гранични стойности за коефициента на топлопреминаване (U-стойности) за:</w:t>
      </w:r>
    </w:p>
    <w:p w14:paraId="3FE64C81" w14:textId="77777777" w:rsidR="002233A5" w:rsidRPr="006F3533" w:rsidRDefault="002233A5">
      <w:pPr>
        <w:pStyle w:val="NormalWeb"/>
        <w:numPr>
          <w:ilvl w:val="0"/>
          <w:numId w:val="19"/>
        </w:numPr>
        <w:jc w:val="both"/>
        <w:rPr>
          <w:rFonts w:ascii="Aptos" w:hAnsi="Aptos"/>
          <w:lang w:val="bg-BG"/>
        </w:rPr>
      </w:pPr>
      <w:r w:rsidRPr="006F3533">
        <w:rPr>
          <w:rFonts w:ascii="Aptos" w:hAnsi="Aptos"/>
          <w:lang w:val="bg-BG"/>
        </w:rPr>
        <w:t>външни стени;</w:t>
      </w:r>
    </w:p>
    <w:p w14:paraId="0111C84F" w14:textId="77777777" w:rsidR="002233A5" w:rsidRPr="006F3533" w:rsidRDefault="002233A5">
      <w:pPr>
        <w:pStyle w:val="NormalWeb"/>
        <w:numPr>
          <w:ilvl w:val="0"/>
          <w:numId w:val="19"/>
        </w:numPr>
        <w:jc w:val="both"/>
        <w:rPr>
          <w:rFonts w:ascii="Aptos" w:hAnsi="Aptos"/>
          <w:lang w:val="bg-BG"/>
        </w:rPr>
      </w:pPr>
      <w:r w:rsidRPr="006F3533">
        <w:rPr>
          <w:rFonts w:ascii="Aptos" w:hAnsi="Aptos"/>
          <w:lang w:val="bg-BG"/>
        </w:rPr>
        <w:t>покриви;</w:t>
      </w:r>
    </w:p>
    <w:p w14:paraId="223E3134" w14:textId="77777777" w:rsidR="002233A5" w:rsidRPr="006F3533" w:rsidRDefault="002233A5">
      <w:pPr>
        <w:pStyle w:val="NormalWeb"/>
        <w:numPr>
          <w:ilvl w:val="0"/>
          <w:numId w:val="19"/>
        </w:numPr>
        <w:jc w:val="both"/>
        <w:rPr>
          <w:rFonts w:ascii="Aptos" w:hAnsi="Aptos"/>
          <w:lang w:val="bg-BG"/>
        </w:rPr>
      </w:pPr>
      <w:r w:rsidRPr="006F3533">
        <w:rPr>
          <w:rFonts w:ascii="Aptos" w:hAnsi="Aptos"/>
          <w:lang w:val="bg-BG"/>
        </w:rPr>
        <w:t>подове;</w:t>
      </w:r>
    </w:p>
    <w:p w14:paraId="46F25BB4" w14:textId="77777777" w:rsidR="002233A5" w:rsidRPr="006F3533" w:rsidRDefault="002233A5">
      <w:pPr>
        <w:pStyle w:val="NormalWeb"/>
        <w:numPr>
          <w:ilvl w:val="0"/>
          <w:numId w:val="19"/>
        </w:numPr>
        <w:jc w:val="both"/>
        <w:rPr>
          <w:rFonts w:ascii="Aptos" w:hAnsi="Aptos"/>
          <w:lang w:val="bg-BG"/>
        </w:rPr>
      </w:pPr>
      <w:r w:rsidRPr="006F3533">
        <w:rPr>
          <w:rFonts w:ascii="Aptos" w:hAnsi="Aptos"/>
          <w:lang w:val="bg-BG"/>
        </w:rPr>
        <w:t>прозорци и остъклени елементи.</w:t>
      </w:r>
    </w:p>
    <w:p w14:paraId="5AB4D621" w14:textId="03BD22FE" w:rsidR="002233A5" w:rsidRPr="006F3533" w:rsidRDefault="002233A5" w:rsidP="00077D42">
      <w:pPr>
        <w:pStyle w:val="NormalWeb"/>
        <w:jc w:val="both"/>
        <w:rPr>
          <w:rFonts w:ascii="Aptos" w:hAnsi="Aptos"/>
          <w:lang w:val="bg-BG"/>
        </w:rPr>
      </w:pPr>
      <w:r w:rsidRPr="006F3533">
        <w:rPr>
          <w:rFonts w:ascii="Aptos" w:hAnsi="Aptos"/>
          <w:lang w:val="bg-BG"/>
        </w:rPr>
        <w:t xml:space="preserve">Част от тези стойности (за външни стени и покриви) са представени в Таблица 14, като те се прилагат </w:t>
      </w:r>
      <w:r w:rsidRPr="006F3533">
        <w:rPr>
          <w:rStyle w:val="Strong"/>
          <w:rFonts w:ascii="Aptos" w:hAnsi="Aptos"/>
          <w:b w:val="0"/>
          <w:bCs w:val="0"/>
          <w:lang w:val="bg-BG"/>
        </w:rPr>
        <w:t>задължително при проектиране на нови сгради и при основно обновяване на съществуващи</w:t>
      </w:r>
      <w:r w:rsidRPr="006F3533">
        <w:rPr>
          <w:rFonts w:ascii="Aptos" w:hAnsi="Aptos"/>
          <w:lang w:val="bg-BG"/>
        </w:rPr>
        <w:t>.</w:t>
      </w:r>
    </w:p>
    <w:p w14:paraId="668787F4" w14:textId="77777777" w:rsidR="002233A5" w:rsidRPr="006F3533" w:rsidRDefault="002233A5" w:rsidP="00077D42">
      <w:pPr>
        <w:pStyle w:val="NormalWeb"/>
        <w:jc w:val="both"/>
        <w:rPr>
          <w:rFonts w:ascii="Aptos" w:hAnsi="Aptos"/>
          <w:lang w:val="bg-BG"/>
        </w:rPr>
      </w:pPr>
      <w:r w:rsidRPr="006F3533">
        <w:rPr>
          <w:rFonts w:ascii="Aptos" w:hAnsi="Aptos"/>
          <w:lang w:val="bg-BG"/>
        </w:rPr>
        <w:t xml:space="preserve">Наред с изискванията към отделните елементи, Наредба № РД-02-20-3 въвежда и </w:t>
      </w:r>
      <w:r w:rsidRPr="006F3533">
        <w:rPr>
          <w:rStyle w:val="Strong"/>
          <w:rFonts w:ascii="Aptos" w:hAnsi="Aptos"/>
          <w:b w:val="0"/>
          <w:bCs w:val="0"/>
          <w:lang w:val="bg-BG"/>
        </w:rPr>
        <w:t>изисквания към интегрираната енергийна характеристика на сградата</w:t>
      </w:r>
      <w:r w:rsidRPr="006F3533">
        <w:rPr>
          <w:rFonts w:ascii="Aptos" w:hAnsi="Aptos"/>
          <w:lang w:val="bg-BG"/>
        </w:rPr>
        <w:t>, изразена чрез клас на енергийна ефективност:</w:t>
      </w:r>
    </w:p>
    <w:p w14:paraId="78777EEB" w14:textId="246127DC" w:rsidR="002233A5" w:rsidRPr="006F3533" w:rsidRDefault="002233A5">
      <w:pPr>
        <w:pStyle w:val="NormalWeb"/>
        <w:numPr>
          <w:ilvl w:val="0"/>
          <w:numId w:val="20"/>
        </w:numPr>
        <w:jc w:val="both"/>
        <w:rPr>
          <w:rFonts w:ascii="Aptos" w:hAnsi="Aptos"/>
          <w:lang w:val="bg-BG"/>
        </w:rPr>
      </w:pPr>
      <w:r w:rsidRPr="006F3533">
        <w:rPr>
          <w:rFonts w:ascii="Aptos" w:hAnsi="Aptos"/>
          <w:lang w:val="bg-BG"/>
        </w:rPr>
        <w:t xml:space="preserve">за </w:t>
      </w:r>
      <w:r w:rsidRPr="006F3533">
        <w:rPr>
          <w:rStyle w:val="Strong"/>
          <w:rFonts w:ascii="Aptos" w:hAnsi="Aptos"/>
          <w:b w:val="0"/>
          <w:bCs w:val="0"/>
          <w:lang w:val="bg-BG"/>
        </w:rPr>
        <w:t>нови сгради</w:t>
      </w:r>
      <w:r w:rsidRPr="006F3533">
        <w:rPr>
          <w:rFonts w:ascii="Aptos" w:hAnsi="Aptos"/>
          <w:lang w:val="bg-BG"/>
        </w:rPr>
        <w:t xml:space="preserve"> – изискване за достигане на клас, съответстващ на сгради с близко до нулево потребление на енергия</w:t>
      </w:r>
      <w:r w:rsidR="00533C67" w:rsidRPr="006F3533">
        <w:rPr>
          <w:rFonts w:ascii="Aptos" w:hAnsi="Aptos"/>
          <w:lang w:val="bg-BG"/>
        </w:rPr>
        <w:t xml:space="preserve"> (съгласно дефиницията за СБНПЕ това означава клас на енергопотребление А)</w:t>
      </w:r>
      <w:r w:rsidRPr="006F3533">
        <w:rPr>
          <w:rFonts w:ascii="Aptos" w:hAnsi="Aptos"/>
          <w:lang w:val="bg-BG"/>
        </w:rPr>
        <w:t>;</w:t>
      </w:r>
    </w:p>
    <w:p w14:paraId="1B4CF110" w14:textId="7058E974" w:rsidR="002233A5" w:rsidRPr="006F3533" w:rsidRDefault="002233A5">
      <w:pPr>
        <w:pStyle w:val="NormalWeb"/>
        <w:numPr>
          <w:ilvl w:val="0"/>
          <w:numId w:val="20"/>
        </w:numPr>
        <w:jc w:val="both"/>
        <w:rPr>
          <w:rFonts w:ascii="Aptos" w:hAnsi="Aptos"/>
          <w:lang w:val="bg-BG"/>
        </w:rPr>
      </w:pPr>
      <w:r w:rsidRPr="006F3533">
        <w:rPr>
          <w:rFonts w:ascii="Aptos" w:hAnsi="Aptos"/>
          <w:lang w:val="bg-BG"/>
        </w:rPr>
        <w:t xml:space="preserve">за </w:t>
      </w:r>
      <w:r w:rsidRPr="006F3533">
        <w:rPr>
          <w:rStyle w:val="Strong"/>
          <w:rFonts w:ascii="Aptos" w:hAnsi="Aptos"/>
          <w:b w:val="0"/>
          <w:bCs w:val="0"/>
          <w:lang w:val="bg-BG"/>
        </w:rPr>
        <w:t>съществуващи сгради</w:t>
      </w:r>
      <w:r w:rsidRPr="006F3533">
        <w:rPr>
          <w:rFonts w:ascii="Aptos" w:hAnsi="Aptos"/>
          <w:lang w:val="bg-BG"/>
        </w:rPr>
        <w:t xml:space="preserve"> – </w:t>
      </w:r>
      <w:r w:rsidR="00533C67" w:rsidRPr="006F3533">
        <w:rPr>
          <w:rFonts w:ascii="Aptos" w:hAnsi="Aptos"/>
          <w:lang w:val="bg-BG"/>
        </w:rPr>
        <w:t>изискване за достигане на клас на енергопотребление В</w:t>
      </w:r>
      <w:r w:rsidRPr="006F3533">
        <w:rPr>
          <w:rFonts w:ascii="Aptos" w:hAnsi="Aptos"/>
          <w:lang w:val="bg-BG"/>
        </w:rPr>
        <w:t>.</w:t>
      </w:r>
    </w:p>
    <w:p w14:paraId="71C8B7AB" w14:textId="3FF2B8A3" w:rsidR="002233A5" w:rsidRPr="006F3533" w:rsidRDefault="002233A5" w:rsidP="00077D42">
      <w:pPr>
        <w:pStyle w:val="NormalWeb"/>
        <w:jc w:val="both"/>
        <w:rPr>
          <w:rFonts w:ascii="Aptos" w:hAnsi="Aptos"/>
          <w:lang w:val="bg-BG"/>
        </w:rPr>
      </w:pPr>
      <w:r w:rsidRPr="006F3533">
        <w:rPr>
          <w:rFonts w:ascii="Aptos" w:hAnsi="Aptos"/>
          <w:lang w:val="bg-BG"/>
        </w:rPr>
        <w:t xml:space="preserve">В </w:t>
      </w:r>
      <w:r w:rsidR="00533C67" w:rsidRPr="006F3533">
        <w:rPr>
          <w:rStyle w:val="Strong"/>
          <w:rFonts w:ascii="Aptos" w:hAnsi="Aptos"/>
          <w:b w:val="0"/>
          <w:bCs w:val="0"/>
          <w:i/>
          <w:iCs/>
          <w:lang w:val="bg-BG"/>
        </w:rPr>
        <w:t>Дългосрочна национална стратегия за подпомагане обновяването на националния сграден фонд от жилищни и нежилищни сгради до 2050 г.</w:t>
      </w:r>
      <w:r w:rsidR="00533C67" w:rsidRPr="006F3533">
        <w:rPr>
          <w:rStyle w:val="Strong"/>
          <w:rFonts w:ascii="Aptos" w:hAnsi="Aptos"/>
          <w:lang w:val="bg-BG"/>
        </w:rPr>
        <w:t xml:space="preserve"> </w:t>
      </w:r>
      <w:r w:rsidRPr="006F3533">
        <w:rPr>
          <w:rFonts w:ascii="Aptos" w:hAnsi="Aptos"/>
          <w:lang w:val="bg-BG"/>
        </w:rPr>
        <w:t xml:space="preserve">е извършен анализ на </w:t>
      </w:r>
      <w:r w:rsidRPr="006F3533">
        <w:rPr>
          <w:rStyle w:val="Strong"/>
          <w:rFonts w:ascii="Aptos" w:hAnsi="Aptos"/>
          <w:b w:val="0"/>
          <w:bCs w:val="0"/>
          <w:lang w:val="bg-BG"/>
        </w:rPr>
        <w:t>разходно ефективните нива на енергийна ефективност</w:t>
      </w:r>
      <w:r w:rsidRPr="006F3533">
        <w:rPr>
          <w:rFonts w:ascii="Aptos" w:hAnsi="Aptos"/>
          <w:lang w:val="bg-BG"/>
        </w:rPr>
        <w:t xml:space="preserve"> за основни типове нежилищни сгради, включително:</w:t>
      </w:r>
    </w:p>
    <w:p w14:paraId="3C3B188D" w14:textId="77777777" w:rsidR="002233A5" w:rsidRPr="006F3533" w:rsidRDefault="002233A5">
      <w:pPr>
        <w:pStyle w:val="NormalWeb"/>
        <w:numPr>
          <w:ilvl w:val="0"/>
          <w:numId w:val="21"/>
        </w:numPr>
        <w:jc w:val="both"/>
        <w:rPr>
          <w:rFonts w:ascii="Aptos" w:hAnsi="Aptos"/>
          <w:lang w:val="bg-BG"/>
        </w:rPr>
      </w:pPr>
      <w:r w:rsidRPr="006F3533">
        <w:rPr>
          <w:rFonts w:ascii="Aptos" w:hAnsi="Aptos"/>
          <w:lang w:val="bg-BG"/>
        </w:rPr>
        <w:t>административни сгради;</w:t>
      </w:r>
    </w:p>
    <w:p w14:paraId="4229B5C2" w14:textId="77777777" w:rsidR="002233A5" w:rsidRPr="006F3533" w:rsidRDefault="002233A5">
      <w:pPr>
        <w:pStyle w:val="NormalWeb"/>
        <w:numPr>
          <w:ilvl w:val="0"/>
          <w:numId w:val="21"/>
        </w:numPr>
        <w:jc w:val="both"/>
        <w:rPr>
          <w:rFonts w:ascii="Aptos" w:hAnsi="Aptos"/>
          <w:lang w:val="bg-BG"/>
        </w:rPr>
      </w:pPr>
      <w:r w:rsidRPr="006F3533">
        <w:rPr>
          <w:rFonts w:ascii="Aptos" w:hAnsi="Aptos"/>
          <w:lang w:val="bg-BG"/>
        </w:rPr>
        <w:t>училища;</w:t>
      </w:r>
    </w:p>
    <w:p w14:paraId="552EB9D4" w14:textId="77777777" w:rsidR="002233A5" w:rsidRPr="006F3533" w:rsidRDefault="002233A5">
      <w:pPr>
        <w:pStyle w:val="NormalWeb"/>
        <w:numPr>
          <w:ilvl w:val="0"/>
          <w:numId w:val="21"/>
        </w:numPr>
        <w:jc w:val="both"/>
        <w:rPr>
          <w:rFonts w:ascii="Aptos" w:hAnsi="Aptos"/>
          <w:lang w:val="bg-BG"/>
        </w:rPr>
      </w:pPr>
      <w:r w:rsidRPr="006F3533">
        <w:rPr>
          <w:rFonts w:ascii="Aptos" w:hAnsi="Aptos"/>
          <w:lang w:val="bg-BG"/>
        </w:rPr>
        <w:lastRenderedPageBreak/>
        <w:t>детски градини;</w:t>
      </w:r>
    </w:p>
    <w:p w14:paraId="7C9BD87F" w14:textId="20E93FEC" w:rsidR="002233A5" w:rsidRPr="006F3533" w:rsidRDefault="00533C67">
      <w:pPr>
        <w:pStyle w:val="NormalWeb"/>
        <w:numPr>
          <w:ilvl w:val="0"/>
          <w:numId w:val="21"/>
        </w:numPr>
        <w:jc w:val="both"/>
        <w:rPr>
          <w:rFonts w:ascii="Aptos" w:hAnsi="Aptos"/>
          <w:lang w:val="bg-BG"/>
        </w:rPr>
      </w:pPr>
      <w:r w:rsidRPr="006F3533">
        <w:rPr>
          <w:rFonts w:ascii="Aptos" w:hAnsi="Aptos"/>
          <w:lang w:val="bg-BG"/>
        </w:rPr>
        <w:t>болнични заведения</w:t>
      </w:r>
      <w:r w:rsidR="002233A5" w:rsidRPr="006F3533">
        <w:rPr>
          <w:rFonts w:ascii="Aptos" w:hAnsi="Aptos"/>
          <w:lang w:val="bg-BG"/>
        </w:rPr>
        <w:t>.</w:t>
      </w:r>
    </w:p>
    <w:p w14:paraId="01CD8237" w14:textId="0FEAE700" w:rsidR="002233A5" w:rsidRPr="006F3533" w:rsidRDefault="002233A5" w:rsidP="00077D42">
      <w:pPr>
        <w:pStyle w:val="NormalWeb"/>
        <w:jc w:val="both"/>
        <w:rPr>
          <w:rFonts w:ascii="Aptos" w:hAnsi="Aptos"/>
          <w:lang w:val="bg-BG"/>
        </w:rPr>
      </w:pPr>
      <w:r w:rsidRPr="006F3533">
        <w:rPr>
          <w:rFonts w:ascii="Aptos" w:hAnsi="Aptos"/>
          <w:lang w:val="bg-BG"/>
        </w:rPr>
        <w:t xml:space="preserve">Резултатите от този анализ са </w:t>
      </w:r>
      <w:r w:rsidR="00533C67" w:rsidRPr="006F3533">
        <w:rPr>
          <w:rFonts w:ascii="Aptos" w:hAnsi="Aptos"/>
          <w:lang w:val="bg-BG"/>
        </w:rPr>
        <w:t>представени в Таблица 14.</w:t>
      </w:r>
    </w:p>
    <w:p w14:paraId="4D81FA25" w14:textId="736C010F" w:rsidR="00FB437C" w:rsidRPr="006F3533" w:rsidRDefault="00FB437C" w:rsidP="00077D42">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14. Разходно ефективни минимални изисквания за енергийните характеристики на нови и съществуващи сгради </w:t>
      </w:r>
    </w:p>
    <w:tbl>
      <w:tblPr>
        <w:tblStyle w:val="TableGrid"/>
        <w:tblW w:w="5000" w:type="pct"/>
        <w:tblLook w:val="06A0" w:firstRow="1" w:lastRow="0" w:firstColumn="1" w:lastColumn="0" w:noHBand="1" w:noVBand="1"/>
      </w:tblPr>
      <w:tblGrid>
        <w:gridCol w:w="1009"/>
        <w:gridCol w:w="1423"/>
        <w:gridCol w:w="907"/>
        <w:gridCol w:w="1303"/>
        <w:gridCol w:w="907"/>
        <w:gridCol w:w="1303"/>
        <w:gridCol w:w="907"/>
        <w:gridCol w:w="1303"/>
      </w:tblGrid>
      <w:tr w:rsidR="0077163C" w:rsidRPr="006F3533" w14:paraId="79F0D983" w14:textId="77777777" w:rsidTr="00552DC2">
        <w:trPr>
          <w:trHeight w:val="330"/>
        </w:trPr>
        <w:tc>
          <w:tcPr>
            <w:tcW w:w="1251" w:type="pct"/>
            <w:gridSpan w:val="2"/>
            <w:vMerge w:val="restart"/>
            <w:shd w:val="clear" w:color="auto" w:fill="E7E6E6" w:themeFill="background2"/>
          </w:tcPr>
          <w:p w14:paraId="6F2F76F1" w14:textId="4974B700" w:rsidR="0077163C" w:rsidRPr="006F3533" w:rsidRDefault="0077163C" w:rsidP="00077D42">
            <w:pPr>
              <w:jc w:val="both"/>
              <w:rPr>
                <w:rFonts w:eastAsia="Times New Roman" w:cs="Times New Roman"/>
                <w:szCs w:val="24"/>
                <w:lang w:val="bg-BG"/>
              </w:rPr>
            </w:pPr>
            <w:proofErr w:type="spellStart"/>
            <w:r w:rsidRPr="006F3533">
              <w:rPr>
                <w:rFonts w:eastAsia="Times New Roman" w:cs="Times New Roman"/>
                <w:szCs w:val="24"/>
                <w:lang w:val="bg-BG"/>
              </w:rPr>
              <w:t>Reference</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1251" w:type="pct"/>
            <w:gridSpan w:val="2"/>
            <w:shd w:val="clear" w:color="auto" w:fill="E7E6E6" w:themeFill="background2"/>
          </w:tcPr>
          <w:p w14:paraId="5B2F9EFC" w14:textId="77777777" w:rsidR="0077163C" w:rsidRPr="006F3533" w:rsidRDefault="0077163C" w:rsidP="00077D42">
            <w:pPr>
              <w:jc w:val="both"/>
              <w:rPr>
                <w:rFonts w:eastAsia="Times New Roman" w:cs="Times New Roman"/>
                <w:szCs w:val="24"/>
                <w:lang w:val="bg-BG"/>
              </w:rPr>
            </w:pPr>
            <w:r w:rsidRPr="006F3533">
              <w:rPr>
                <w:rFonts w:eastAsia="Times New Roman" w:cs="Times New Roman"/>
                <w:szCs w:val="24"/>
                <w:lang w:val="bg-BG"/>
              </w:rPr>
              <w:t xml:space="preserve">Total </w:t>
            </w:r>
            <w:proofErr w:type="spellStart"/>
            <w:r w:rsidRPr="006F3533">
              <w:rPr>
                <w:rFonts w:eastAsia="Times New Roman" w:cs="Times New Roman"/>
                <w:szCs w:val="24"/>
                <w:lang w:val="bg-BG"/>
              </w:rPr>
              <w:t>Primary</w:t>
            </w:r>
            <w:proofErr w:type="spellEnd"/>
            <w:r w:rsidRPr="006F3533">
              <w:rPr>
                <w:rFonts w:eastAsia="Times New Roman" w:cs="Times New Roman"/>
                <w:szCs w:val="24"/>
                <w:lang w:val="bg-BG"/>
              </w:rPr>
              <w:t xml:space="preserve"> Energy</w:t>
            </w:r>
          </w:p>
          <w:p w14:paraId="5C0668E3" w14:textId="1DF94B70" w:rsidR="0077163C" w:rsidRPr="006F3533" w:rsidRDefault="0077163C" w:rsidP="00077D42">
            <w:pPr>
              <w:jc w:val="both"/>
              <w:rPr>
                <w:rFonts w:eastAsia="Times New Roman" w:cs="Times New Roman"/>
                <w:szCs w:val="24"/>
                <w:lang w:val="bg-BG"/>
              </w:rPr>
            </w:pPr>
            <w:r w:rsidRPr="006F3533">
              <w:rPr>
                <w:rFonts w:eastAsia="Times New Roman" w:cs="Times New Roman"/>
                <w:szCs w:val="24"/>
                <w:lang w:val="bg-BG"/>
              </w:rPr>
              <w:t>(</w:t>
            </w:r>
            <w:proofErr w:type="spellStart"/>
            <w:r w:rsidRPr="006F3533">
              <w:rPr>
                <w:rFonts w:eastAsia="Times New Roman" w:cs="Times New Roman"/>
                <w:szCs w:val="24"/>
                <w:lang w:val="bg-BG"/>
              </w:rPr>
              <w:t>kWh</w:t>
            </w:r>
            <w:proofErr w:type="spellEnd"/>
            <w:r w:rsidRPr="006F3533">
              <w:rPr>
                <w:rFonts w:eastAsia="Times New Roman" w:cs="Times New Roman"/>
                <w:szCs w:val="24"/>
                <w:lang w:val="bg-BG"/>
              </w:rPr>
              <w:t>/m².y)</w:t>
            </w:r>
          </w:p>
        </w:tc>
        <w:tc>
          <w:tcPr>
            <w:tcW w:w="1249" w:type="pct"/>
            <w:gridSpan w:val="2"/>
            <w:shd w:val="clear" w:color="auto" w:fill="E7E6E6" w:themeFill="background2"/>
          </w:tcPr>
          <w:p w14:paraId="5530EDCD" w14:textId="4C80A9CC" w:rsidR="0077163C" w:rsidRPr="006F3533" w:rsidRDefault="0077163C" w:rsidP="00077D42">
            <w:pPr>
              <w:spacing w:line="259" w:lineRule="auto"/>
              <w:jc w:val="both"/>
              <w:rPr>
                <w:rFonts w:eastAsia="Times New Roman" w:cs="Times New Roman"/>
                <w:szCs w:val="24"/>
                <w:lang w:val="bg-BG"/>
              </w:rPr>
            </w:pPr>
            <w:r w:rsidRPr="006F3533">
              <w:rPr>
                <w:rFonts w:eastAsia="Times New Roman" w:cs="Times New Roman"/>
                <w:szCs w:val="24"/>
                <w:lang w:val="bg-BG"/>
              </w:rPr>
              <w:t>U</w:t>
            </w:r>
            <w:r w:rsidR="00475D84" w:rsidRPr="006F3533">
              <w:rPr>
                <w:rFonts w:eastAsia="Times New Roman" w:cs="Times New Roman"/>
                <w:szCs w:val="24"/>
                <w:lang w:val="bg-BG"/>
              </w:rPr>
              <w:t>-</w:t>
            </w:r>
            <w:proofErr w:type="spellStart"/>
            <w:r w:rsidRPr="006F3533">
              <w:rPr>
                <w:rFonts w:eastAsia="Times New Roman" w:cs="Times New Roman"/>
                <w:szCs w:val="24"/>
                <w:lang w:val="bg-BG"/>
              </w:rPr>
              <w:t>value</w:t>
            </w:r>
            <w:proofErr w:type="spellEnd"/>
            <w:r w:rsidRPr="006F3533">
              <w:rPr>
                <w:rFonts w:eastAsia="Times New Roman" w:cs="Times New Roman"/>
                <w:szCs w:val="24"/>
                <w:lang w:val="bg-BG"/>
              </w:rPr>
              <w:t xml:space="preserve"> </w:t>
            </w:r>
            <w:proofErr w:type="spellStart"/>
            <w:r w:rsidR="002233A5" w:rsidRPr="006F3533">
              <w:rPr>
                <w:rFonts w:eastAsia="Times New Roman" w:cs="Times New Roman"/>
                <w:szCs w:val="24"/>
                <w:lang w:val="bg-BG"/>
              </w:rPr>
              <w:t>External</w:t>
            </w:r>
            <w:proofErr w:type="spellEnd"/>
            <w:r w:rsidR="002233A5" w:rsidRPr="006F3533">
              <w:rPr>
                <w:rFonts w:eastAsia="Times New Roman" w:cs="Times New Roman"/>
                <w:szCs w:val="24"/>
                <w:lang w:val="bg-BG"/>
              </w:rPr>
              <w:t xml:space="preserve"> </w:t>
            </w:r>
            <w:proofErr w:type="spellStart"/>
            <w:r w:rsidR="002233A5" w:rsidRPr="006F3533">
              <w:rPr>
                <w:rFonts w:eastAsia="Times New Roman" w:cs="Times New Roman"/>
                <w:szCs w:val="24"/>
                <w:lang w:val="bg-BG"/>
              </w:rPr>
              <w:t>walls</w:t>
            </w:r>
            <w:proofErr w:type="spellEnd"/>
            <w:r w:rsidR="00C439CC" w:rsidRPr="006F3533">
              <w:rPr>
                <w:rStyle w:val="FootnoteReference"/>
                <w:rFonts w:eastAsia="Times New Roman" w:cs="Times New Roman"/>
                <w:szCs w:val="24"/>
                <w:lang w:val="bg-BG"/>
              </w:rPr>
              <w:footnoteReference w:id="44"/>
            </w:r>
          </w:p>
          <w:p w14:paraId="23F07B6A" w14:textId="4B65AB6E" w:rsidR="0077163C" w:rsidRPr="006F3533" w:rsidRDefault="0077163C" w:rsidP="00077D42">
            <w:pPr>
              <w:jc w:val="both"/>
              <w:rPr>
                <w:rFonts w:eastAsia="Times New Roman" w:cs="Times New Roman"/>
                <w:szCs w:val="24"/>
                <w:lang w:val="bg-BG"/>
              </w:rPr>
            </w:pPr>
            <w:r w:rsidRPr="006F3533">
              <w:rPr>
                <w:rFonts w:eastAsia="Times New Roman" w:cs="Times New Roman"/>
                <w:szCs w:val="24"/>
                <w:lang w:val="bg-BG"/>
              </w:rPr>
              <w:t>(W/m²K)</w:t>
            </w:r>
          </w:p>
        </w:tc>
        <w:tc>
          <w:tcPr>
            <w:tcW w:w="1249" w:type="pct"/>
            <w:gridSpan w:val="2"/>
            <w:shd w:val="clear" w:color="auto" w:fill="E7E6E6" w:themeFill="background2"/>
          </w:tcPr>
          <w:p w14:paraId="62D9597B" w14:textId="08485122"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U-</w:t>
            </w:r>
            <w:proofErr w:type="spellStart"/>
            <w:r w:rsidRPr="006F3533">
              <w:rPr>
                <w:rFonts w:eastAsia="Times New Roman" w:cs="Times New Roman"/>
                <w:szCs w:val="24"/>
                <w:lang w:val="bg-BG"/>
              </w:rPr>
              <w:t>value</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Roofs</w:t>
            </w:r>
            <w:proofErr w:type="spellEnd"/>
            <w:r w:rsidRPr="006F3533">
              <w:rPr>
                <w:rFonts w:eastAsia="Times New Roman" w:cs="Times New Roman"/>
                <w:szCs w:val="24"/>
                <w:lang w:val="bg-BG"/>
              </w:rPr>
              <w:t xml:space="preserve"> </w:t>
            </w:r>
          </w:p>
          <w:p w14:paraId="1574F020" w14:textId="474AA0D2" w:rsidR="0077163C"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(W/m²K)</w:t>
            </w:r>
          </w:p>
        </w:tc>
      </w:tr>
      <w:tr w:rsidR="006C090F" w:rsidRPr="006F3533" w14:paraId="51F354D1" w14:textId="77777777" w:rsidTr="00552DC2">
        <w:trPr>
          <w:trHeight w:val="293"/>
        </w:trPr>
        <w:tc>
          <w:tcPr>
            <w:tcW w:w="1251" w:type="pct"/>
            <w:gridSpan w:val="2"/>
            <w:vMerge/>
          </w:tcPr>
          <w:p w14:paraId="0DEE7338" w14:textId="6C947810" w:rsidR="006C090F" w:rsidRPr="006F3533" w:rsidRDefault="006C090F" w:rsidP="00077D42">
            <w:pPr>
              <w:jc w:val="both"/>
              <w:rPr>
                <w:rFonts w:eastAsia="Times New Roman" w:cs="Times New Roman"/>
                <w:szCs w:val="24"/>
                <w:lang w:val="bg-BG"/>
              </w:rPr>
            </w:pPr>
          </w:p>
        </w:tc>
        <w:tc>
          <w:tcPr>
            <w:tcW w:w="625" w:type="pct"/>
            <w:vMerge w:val="restart"/>
            <w:shd w:val="clear" w:color="auto" w:fill="E7E6E6" w:themeFill="background2"/>
          </w:tcPr>
          <w:p w14:paraId="4D3C2747" w14:textId="1D04D67D" w:rsidR="006C090F" w:rsidRPr="006F3533" w:rsidRDefault="006C090F" w:rsidP="00077D42">
            <w:pPr>
              <w:jc w:val="both"/>
              <w:rPr>
                <w:rFonts w:eastAsia="Times New Roman" w:cs="Times New Roman"/>
                <w:szCs w:val="24"/>
                <w:lang w:val="bg-BG"/>
              </w:rPr>
            </w:pPr>
            <w:proofErr w:type="spellStart"/>
            <w:r w:rsidRPr="006F3533">
              <w:rPr>
                <w:rFonts w:eastAsia="Times New Roman" w:cs="Times New Roman"/>
                <w:szCs w:val="24"/>
                <w:lang w:val="bg-BG"/>
              </w:rPr>
              <w:t>Cost-Optimal</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level</w:t>
            </w:r>
            <w:proofErr w:type="spellEnd"/>
          </w:p>
        </w:tc>
        <w:tc>
          <w:tcPr>
            <w:tcW w:w="625" w:type="pct"/>
            <w:vMerge w:val="restart"/>
            <w:shd w:val="clear" w:color="auto" w:fill="E7E6E6" w:themeFill="background2"/>
          </w:tcPr>
          <w:p w14:paraId="70333797" w14:textId="7368F4E6" w:rsidR="006C090F" w:rsidRPr="006F3533" w:rsidRDefault="006C090F" w:rsidP="00077D42">
            <w:pPr>
              <w:jc w:val="both"/>
              <w:rPr>
                <w:rFonts w:eastAsia="Times New Roman" w:cs="Times New Roman"/>
                <w:szCs w:val="24"/>
                <w:lang w:val="bg-BG"/>
              </w:rPr>
            </w:pPr>
            <w:proofErr w:type="spellStart"/>
            <w:r w:rsidRPr="006F3533">
              <w:rPr>
                <w:rFonts w:eastAsia="Times New Roman" w:cs="Times New Roman"/>
                <w:szCs w:val="24"/>
                <w:lang w:val="bg-BG"/>
              </w:rPr>
              <w:t>Current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requirement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in</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force</w:t>
            </w:r>
            <w:proofErr w:type="spellEnd"/>
          </w:p>
        </w:tc>
        <w:tc>
          <w:tcPr>
            <w:tcW w:w="625" w:type="pct"/>
            <w:vMerge w:val="restart"/>
            <w:shd w:val="clear" w:color="auto" w:fill="E7E6E6" w:themeFill="background2"/>
          </w:tcPr>
          <w:p w14:paraId="21AD4D38" w14:textId="7798B37E" w:rsidR="006C090F" w:rsidRPr="006F3533" w:rsidRDefault="006C090F" w:rsidP="00077D42">
            <w:pPr>
              <w:jc w:val="both"/>
              <w:rPr>
                <w:rFonts w:eastAsia="Times New Roman" w:cs="Times New Roman"/>
                <w:szCs w:val="24"/>
                <w:lang w:val="bg-BG"/>
              </w:rPr>
            </w:pPr>
            <w:proofErr w:type="spellStart"/>
            <w:r w:rsidRPr="006F3533">
              <w:rPr>
                <w:rFonts w:eastAsia="Times New Roman" w:cs="Times New Roman"/>
                <w:szCs w:val="24"/>
                <w:lang w:val="bg-BG"/>
              </w:rPr>
              <w:t>Cost-Optimal</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level</w:t>
            </w:r>
            <w:proofErr w:type="spellEnd"/>
          </w:p>
        </w:tc>
        <w:tc>
          <w:tcPr>
            <w:tcW w:w="625" w:type="pct"/>
            <w:vMerge w:val="restart"/>
            <w:shd w:val="clear" w:color="auto" w:fill="E7E6E6" w:themeFill="background2"/>
          </w:tcPr>
          <w:p w14:paraId="3F2029F0" w14:textId="0C4CC6A0" w:rsidR="006C090F" w:rsidRPr="006F3533" w:rsidRDefault="006C090F" w:rsidP="00077D42">
            <w:pPr>
              <w:jc w:val="both"/>
              <w:rPr>
                <w:rFonts w:eastAsia="Times New Roman" w:cs="Times New Roman"/>
                <w:szCs w:val="24"/>
                <w:lang w:val="bg-BG"/>
              </w:rPr>
            </w:pPr>
            <w:proofErr w:type="spellStart"/>
            <w:r w:rsidRPr="006F3533">
              <w:rPr>
                <w:rFonts w:eastAsia="Times New Roman" w:cs="Times New Roman"/>
                <w:szCs w:val="24"/>
                <w:lang w:val="bg-BG"/>
              </w:rPr>
              <w:t>Current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requirement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in</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force</w:t>
            </w:r>
            <w:proofErr w:type="spellEnd"/>
          </w:p>
        </w:tc>
        <w:tc>
          <w:tcPr>
            <w:tcW w:w="625" w:type="pct"/>
            <w:vMerge w:val="restart"/>
            <w:shd w:val="clear" w:color="auto" w:fill="E7E6E6" w:themeFill="background2"/>
          </w:tcPr>
          <w:p w14:paraId="54389AAE" w14:textId="432381B3" w:rsidR="006C090F" w:rsidRPr="006F3533" w:rsidRDefault="006C090F" w:rsidP="00077D42">
            <w:pPr>
              <w:jc w:val="both"/>
              <w:rPr>
                <w:rFonts w:eastAsia="Times New Roman" w:cs="Times New Roman"/>
                <w:szCs w:val="24"/>
                <w:lang w:val="bg-BG"/>
              </w:rPr>
            </w:pPr>
            <w:proofErr w:type="spellStart"/>
            <w:r w:rsidRPr="006F3533">
              <w:rPr>
                <w:rFonts w:eastAsia="Times New Roman" w:cs="Times New Roman"/>
                <w:szCs w:val="24"/>
                <w:lang w:val="bg-BG"/>
              </w:rPr>
              <w:t>Cost-Optimal</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level</w:t>
            </w:r>
            <w:proofErr w:type="spellEnd"/>
          </w:p>
        </w:tc>
        <w:tc>
          <w:tcPr>
            <w:tcW w:w="625" w:type="pct"/>
            <w:vMerge w:val="restart"/>
            <w:shd w:val="clear" w:color="auto" w:fill="E7E6E6" w:themeFill="background2"/>
          </w:tcPr>
          <w:p w14:paraId="16C8147A" w14:textId="76070BFA" w:rsidR="006C090F" w:rsidRPr="006F3533" w:rsidRDefault="006C090F" w:rsidP="00077D42">
            <w:pPr>
              <w:jc w:val="both"/>
              <w:rPr>
                <w:rFonts w:eastAsia="Times New Roman" w:cs="Times New Roman"/>
                <w:szCs w:val="24"/>
                <w:lang w:val="bg-BG"/>
              </w:rPr>
            </w:pPr>
            <w:proofErr w:type="spellStart"/>
            <w:r w:rsidRPr="006F3533">
              <w:rPr>
                <w:rFonts w:eastAsia="Times New Roman" w:cs="Times New Roman"/>
                <w:szCs w:val="24"/>
                <w:lang w:val="bg-BG"/>
              </w:rPr>
              <w:t>Current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requirement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in</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force</w:t>
            </w:r>
            <w:proofErr w:type="spellEnd"/>
          </w:p>
        </w:tc>
      </w:tr>
      <w:tr w:rsidR="006C090F" w:rsidRPr="006F3533" w14:paraId="3227967D" w14:textId="77777777" w:rsidTr="00552DC2">
        <w:trPr>
          <w:trHeight w:val="300"/>
        </w:trPr>
        <w:tc>
          <w:tcPr>
            <w:tcW w:w="463" w:type="pct"/>
            <w:shd w:val="clear" w:color="auto" w:fill="E7E6E6" w:themeFill="background2"/>
          </w:tcPr>
          <w:p w14:paraId="6E47A3A6" w14:textId="2C9C8F84" w:rsidR="006C090F" w:rsidRPr="006F3533" w:rsidRDefault="006C090F" w:rsidP="00077D42">
            <w:pPr>
              <w:jc w:val="both"/>
              <w:rPr>
                <w:rFonts w:eastAsia="Times New Roman" w:cs="Times New Roman"/>
                <w:szCs w:val="24"/>
                <w:lang w:val="bg-BG"/>
              </w:rPr>
            </w:pPr>
            <w:r w:rsidRPr="006F3533">
              <w:rPr>
                <w:rFonts w:eastAsia="Times New Roman" w:cs="Times New Roman"/>
                <w:szCs w:val="24"/>
                <w:lang w:val="bg-BG"/>
              </w:rPr>
              <w:t>New/</w:t>
            </w:r>
            <w:r w:rsidR="002233A5" w:rsidRPr="006F3533">
              <w:rPr>
                <w:rFonts w:eastAsia="Times New Roman" w:cs="Times New Roman"/>
                <w:szCs w:val="24"/>
                <w:lang w:val="bg-BG"/>
              </w:rPr>
              <w:t xml:space="preserve"> </w:t>
            </w:r>
            <w:proofErr w:type="spellStart"/>
            <w:r w:rsidRPr="006F3533">
              <w:rPr>
                <w:rFonts w:eastAsia="Times New Roman" w:cs="Times New Roman"/>
                <w:szCs w:val="24"/>
                <w:lang w:val="bg-BG"/>
              </w:rPr>
              <w:t>Existing</w:t>
            </w:r>
            <w:proofErr w:type="spellEnd"/>
          </w:p>
        </w:tc>
        <w:tc>
          <w:tcPr>
            <w:tcW w:w="787" w:type="pct"/>
            <w:shd w:val="clear" w:color="auto" w:fill="E7E6E6" w:themeFill="background2"/>
          </w:tcPr>
          <w:p w14:paraId="3353EC1F" w14:textId="138A3F01" w:rsidR="006C090F" w:rsidRPr="006F3533" w:rsidRDefault="006C090F" w:rsidP="00077D42">
            <w:pPr>
              <w:jc w:val="both"/>
              <w:rPr>
                <w:rFonts w:eastAsia="Times New Roman" w:cs="Times New Roman"/>
                <w:szCs w:val="24"/>
                <w:lang w:val="bg-BG"/>
              </w:rPr>
            </w:pPr>
            <w:proofErr w:type="spellStart"/>
            <w:r w:rsidRPr="006F3533">
              <w:rPr>
                <w:rFonts w:eastAsia="Times New Roman" w:cs="Times New Roman"/>
                <w:szCs w:val="24"/>
                <w:lang w:val="bg-BG"/>
              </w:rPr>
              <w:t>Type</w:t>
            </w:r>
            <w:proofErr w:type="spellEnd"/>
          </w:p>
        </w:tc>
        <w:tc>
          <w:tcPr>
            <w:tcW w:w="625" w:type="pct"/>
            <w:vMerge/>
          </w:tcPr>
          <w:p w14:paraId="5A5AE40D" w14:textId="4EB39688" w:rsidR="006C090F" w:rsidRPr="006F3533" w:rsidRDefault="006C090F" w:rsidP="00077D42">
            <w:pPr>
              <w:jc w:val="both"/>
              <w:rPr>
                <w:rFonts w:eastAsia="Times New Roman" w:cs="Times New Roman"/>
                <w:szCs w:val="24"/>
                <w:lang w:val="bg-BG"/>
              </w:rPr>
            </w:pPr>
          </w:p>
        </w:tc>
        <w:tc>
          <w:tcPr>
            <w:tcW w:w="625" w:type="pct"/>
            <w:vMerge/>
          </w:tcPr>
          <w:p w14:paraId="610BC63C" w14:textId="2DA5DA47" w:rsidR="006C090F" w:rsidRPr="006F3533" w:rsidRDefault="006C090F" w:rsidP="00077D42">
            <w:pPr>
              <w:jc w:val="both"/>
              <w:rPr>
                <w:rFonts w:eastAsia="Times New Roman" w:cs="Times New Roman"/>
                <w:szCs w:val="24"/>
                <w:lang w:val="bg-BG"/>
              </w:rPr>
            </w:pPr>
          </w:p>
        </w:tc>
        <w:tc>
          <w:tcPr>
            <w:tcW w:w="625" w:type="pct"/>
            <w:vMerge/>
          </w:tcPr>
          <w:p w14:paraId="2D81C972" w14:textId="19E55C0B" w:rsidR="006C090F" w:rsidRPr="006F3533" w:rsidRDefault="006C090F" w:rsidP="00077D42">
            <w:pPr>
              <w:jc w:val="both"/>
              <w:rPr>
                <w:rFonts w:eastAsia="Times New Roman" w:cs="Times New Roman"/>
                <w:szCs w:val="24"/>
                <w:lang w:val="bg-BG"/>
              </w:rPr>
            </w:pPr>
          </w:p>
        </w:tc>
        <w:tc>
          <w:tcPr>
            <w:tcW w:w="625" w:type="pct"/>
            <w:vMerge/>
          </w:tcPr>
          <w:p w14:paraId="0D4C7539" w14:textId="07671A27" w:rsidR="006C090F" w:rsidRPr="006F3533" w:rsidRDefault="006C090F" w:rsidP="00077D42">
            <w:pPr>
              <w:jc w:val="both"/>
              <w:rPr>
                <w:rFonts w:eastAsia="Times New Roman" w:cs="Times New Roman"/>
                <w:szCs w:val="24"/>
                <w:lang w:val="bg-BG"/>
              </w:rPr>
            </w:pPr>
          </w:p>
        </w:tc>
        <w:tc>
          <w:tcPr>
            <w:tcW w:w="625" w:type="pct"/>
            <w:vMerge/>
          </w:tcPr>
          <w:p w14:paraId="27A92D88" w14:textId="09376838" w:rsidR="006C090F" w:rsidRPr="006F3533" w:rsidRDefault="006C090F" w:rsidP="00077D42">
            <w:pPr>
              <w:jc w:val="both"/>
              <w:rPr>
                <w:rFonts w:eastAsia="Times New Roman" w:cs="Times New Roman"/>
                <w:szCs w:val="24"/>
                <w:lang w:val="bg-BG"/>
              </w:rPr>
            </w:pPr>
          </w:p>
        </w:tc>
        <w:tc>
          <w:tcPr>
            <w:tcW w:w="625" w:type="pct"/>
            <w:vMerge/>
          </w:tcPr>
          <w:p w14:paraId="33EAEB48" w14:textId="3FA7AE2C" w:rsidR="006C090F" w:rsidRPr="006F3533" w:rsidRDefault="006C090F" w:rsidP="00077D42">
            <w:pPr>
              <w:jc w:val="both"/>
              <w:rPr>
                <w:rFonts w:eastAsia="Times New Roman" w:cs="Times New Roman"/>
                <w:szCs w:val="24"/>
                <w:lang w:val="bg-BG"/>
              </w:rPr>
            </w:pPr>
          </w:p>
        </w:tc>
      </w:tr>
      <w:tr w:rsidR="009C2CD6" w:rsidRPr="006F3533" w14:paraId="6F66291F" w14:textId="77777777" w:rsidTr="00552DC2">
        <w:trPr>
          <w:trHeight w:val="300"/>
        </w:trPr>
        <w:tc>
          <w:tcPr>
            <w:tcW w:w="463" w:type="pct"/>
          </w:tcPr>
          <w:p w14:paraId="55C2C4E9" w14:textId="6F5F5301"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NEW</w:t>
            </w:r>
          </w:p>
        </w:tc>
        <w:tc>
          <w:tcPr>
            <w:tcW w:w="787" w:type="pct"/>
          </w:tcPr>
          <w:p w14:paraId="689061AA" w14:textId="245B185F" w:rsidR="009C2CD6" w:rsidRPr="006F3533" w:rsidRDefault="009C2CD6" w:rsidP="00077D42">
            <w:pPr>
              <w:jc w:val="both"/>
              <w:rPr>
                <w:rFonts w:eastAsia="Times New Roman" w:cs="Times New Roman"/>
                <w:szCs w:val="24"/>
                <w:lang w:val="bg-BG"/>
              </w:rPr>
            </w:pPr>
            <w:proofErr w:type="spellStart"/>
            <w:r w:rsidRPr="006F3533">
              <w:rPr>
                <w:rFonts w:eastAsia="Times New Roman" w:cs="Times New Roman"/>
                <w:szCs w:val="24"/>
                <w:lang w:val="bg-BG"/>
              </w:rPr>
              <w:t>Single</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family</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13AEB09B" w14:textId="50DB5DF2" w:rsidR="009C2CD6" w:rsidRPr="006F3533" w:rsidRDefault="009C2CD6" w:rsidP="00077D42">
            <w:pPr>
              <w:jc w:val="both"/>
              <w:rPr>
                <w:rFonts w:eastAsia="Times New Roman" w:cs="Times New Roman"/>
                <w:szCs w:val="24"/>
                <w:lang w:val="bg-BG"/>
              </w:rPr>
            </w:pPr>
          </w:p>
        </w:tc>
        <w:tc>
          <w:tcPr>
            <w:tcW w:w="625" w:type="pct"/>
          </w:tcPr>
          <w:p w14:paraId="335D05E5" w14:textId="19A889BE" w:rsidR="009C2CD6"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83</w:t>
            </w:r>
          </w:p>
        </w:tc>
        <w:tc>
          <w:tcPr>
            <w:tcW w:w="625" w:type="pct"/>
          </w:tcPr>
          <w:p w14:paraId="0A2070F2" w14:textId="4F27BC8D"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1BB10764" w14:textId="45EE7692"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6EB54147" w14:textId="5294D4B6"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22788D63" w14:textId="532743DF"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0.25</w:t>
            </w:r>
          </w:p>
        </w:tc>
      </w:tr>
      <w:tr w:rsidR="009C2CD6" w:rsidRPr="006F3533" w14:paraId="6198F2EE" w14:textId="77777777" w:rsidTr="00552DC2">
        <w:trPr>
          <w:trHeight w:val="300"/>
        </w:trPr>
        <w:tc>
          <w:tcPr>
            <w:tcW w:w="463" w:type="pct"/>
          </w:tcPr>
          <w:p w14:paraId="2A7AFBD5" w14:textId="77777777" w:rsidR="009C2CD6" w:rsidRPr="006F3533" w:rsidRDefault="009C2CD6" w:rsidP="00077D42">
            <w:pPr>
              <w:jc w:val="both"/>
              <w:rPr>
                <w:rFonts w:eastAsia="Times New Roman" w:cs="Times New Roman"/>
                <w:szCs w:val="24"/>
                <w:lang w:val="bg-BG"/>
              </w:rPr>
            </w:pPr>
          </w:p>
        </w:tc>
        <w:tc>
          <w:tcPr>
            <w:tcW w:w="787" w:type="pct"/>
          </w:tcPr>
          <w:p w14:paraId="1A438566" w14:textId="60D019CF" w:rsidR="009C2CD6" w:rsidRPr="006F3533" w:rsidRDefault="009C2CD6" w:rsidP="00077D42">
            <w:pPr>
              <w:jc w:val="both"/>
              <w:rPr>
                <w:rFonts w:eastAsia="Times New Roman" w:cs="Times New Roman"/>
                <w:szCs w:val="24"/>
                <w:lang w:val="bg-BG"/>
              </w:rPr>
            </w:pPr>
            <w:proofErr w:type="spellStart"/>
            <w:r w:rsidRPr="006F3533">
              <w:rPr>
                <w:rFonts w:eastAsia="Times New Roman" w:cs="Times New Roman"/>
                <w:szCs w:val="24"/>
                <w:lang w:val="bg-BG"/>
              </w:rPr>
              <w:t>Multi-family</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505CB15C" w14:textId="53CF98ED" w:rsidR="009C2CD6" w:rsidRPr="006F3533" w:rsidRDefault="009C2CD6" w:rsidP="00077D42">
            <w:pPr>
              <w:jc w:val="both"/>
              <w:rPr>
                <w:rFonts w:eastAsia="Times New Roman" w:cs="Times New Roman"/>
                <w:szCs w:val="24"/>
                <w:lang w:val="bg-BG"/>
              </w:rPr>
            </w:pPr>
          </w:p>
        </w:tc>
        <w:tc>
          <w:tcPr>
            <w:tcW w:w="625" w:type="pct"/>
          </w:tcPr>
          <w:p w14:paraId="7F26C1A0" w14:textId="639ED8EC" w:rsidR="009C2CD6"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90</w:t>
            </w:r>
          </w:p>
        </w:tc>
        <w:tc>
          <w:tcPr>
            <w:tcW w:w="625" w:type="pct"/>
          </w:tcPr>
          <w:p w14:paraId="557093FF" w14:textId="46D0784E"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1905073C" w14:textId="68479F78"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629E650E" w14:textId="7D2AB837"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0A960320" w14:textId="6AEA0EB0"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0.25</w:t>
            </w:r>
          </w:p>
        </w:tc>
      </w:tr>
      <w:tr w:rsidR="009C2CD6" w:rsidRPr="006F3533" w14:paraId="6135B5DF" w14:textId="77777777" w:rsidTr="00552DC2">
        <w:trPr>
          <w:trHeight w:val="300"/>
        </w:trPr>
        <w:tc>
          <w:tcPr>
            <w:tcW w:w="463" w:type="pct"/>
          </w:tcPr>
          <w:p w14:paraId="6E7D0F3C" w14:textId="77777777" w:rsidR="009C2CD6" w:rsidRPr="006F3533" w:rsidRDefault="009C2CD6" w:rsidP="00077D42">
            <w:pPr>
              <w:jc w:val="both"/>
              <w:rPr>
                <w:rFonts w:eastAsia="Times New Roman" w:cs="Times New Roman"/>
                <w:szCs w:val="24"/>
                <w:lang w:val="bg-BG"/>
              </w:rPr>
            </w:pPr>
          </w:p>
        </w:tc>
        <w:tc>
          <w:tcPr>
            <w:tcW w:w="787" w:type="pct"/>
          </w:tcPr>
          <w:p w14:paraId="7D1F190D" w14:textId="2C7A64E2"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 xml:space="preserve">Office </w:t>
            </w:r>
            <w:proofErr w:type="spellStart"/>
            <w:r w:rsidRPr="006F3533">
              <w:rPr>
                <w:rFonts w:eastAsia="Times New Roman" w:cs="Times New Roman"/>
                <w:szCs w:val="24"/>
                <w:lang w:val="bg-BG"/>
              </w:rPr>
              <w:t>buildings</w:t>
            </w:r>
            <w:proofErr w:type="spellEnd"/>
          </w:p>
        </w:tc>
        <w:tc>
          <w:tcPr>
            <w:tcW w:w="625" w:type="pct"/>
          </w:tcPr>
          <w:p w14:paraId="025EF25C" w14:textId="78CEF1A2" w:rsidR="009C2CD6" w:rsidRPr="006F3533" w:rsidRDefault="009C2CD6" w:rsidP="00077D42">
            <w:pPr>
              <w:jc w:val="both"/>
              <w:rPr>
                <w:rFonts w:eastAsia="Times New Roman" w:cs="Times New Roman"/>
                <w:szCs w:val="24"/>
                <w:lang w:val="bg-BG"/>
              </w:rPr>
            </w:pPr>
          </w:p>
        </w:tc>
        <w:tc>
          <w:tcPr>
            <w:tcW w:w="625" w:type="pct"/>
          </w:tcPr>
          <w:p w14:paraId="00714109" w14:textId="23DCAD0E" w:rsidR="009C2CD6"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134</w:t>
            </w:r>
          </w:p>
        </w:tc>
        <w:tc>
          <w:tcPr>
            <w:tcW w:w="625" w:type="pct"/>
          </w:tcPr>
          <w:p w14:paraId="670EB3A5" w14:textId="11FC5990"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6DA49A82" w14:textId="1EBDB608"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5EEBEC55" w14:textId="304267C1"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2B1B9666" w14:textId="7E932DA7" w:rsidR="009C2CD6" w:rsidRPr="006F3533" w:rsidRDefault="009C2CD6"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02CCA9C7" w14:textId="77777777" w:rsidTr="00552DC2">
        <w:trPr>
          <w:trHeight w:val="300"/>
        </w:trPr>
        <w:tc>
          <w:tcPr>
            <w:tcW w:w="463" w:type="pct"/>
          </w:tcPr>
          <w:p w14:paraId="4A830C5E" w14:textId="77777777" w:rsidR="002233A5" w:rsidRPr="006F3533" w:rsidRDefault="002233A5" w:rsidP="00077D42">
            <w:pPr>
              <w:jc w:val="both"/>
              <w:rPr>
                <w:rFonts w:eastAsia="Times New Roman" w:cs="Times New Roman"/>
                <w:szCs w:val="24"/>
                <w:lang w:val="bg-BG"/>
              </w:rPr>
            </w:pPr>
          </w:p>
        </w:tc>
        <w:tc>
          <w:tcPr>
            <w:tcW w:w="787" w:type="pct"/>
          </w:tcPr>
          <w:p w14:paraId="207E5056" w14:textId="70D4C68F"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Schools</w:t>
            </w:r>
            <w:proofErr w:type="spellEnd"/>
          </w:p>
        </w:tc>
        <w:tc>
          <w:tcPr>
            <w:tcW w:w="625" w:type="pct"/>
          </w:tcPr>
          <w:p w14:paraId="28DCB315" w14:textId="77777777" w:rsidR="002233A5" w:rsidRPr="006F3533" w:rsidRDefault="002233A5" w:rsidP="00077D42">
            <w:pPr>
              <w:jc w:val="both"/>
              <w:rPr>
                <w:rFonts w:eastAsia="Times New Roman" w:cs="Times New Roman"/>
                <w:szCs w:val="24"/>
                <w:lang w:val="bg-BG"/>
              </w:rPr>
            </w:pPr>
          </w:p>
        </w:tc>
        <w:tc>
          <w:tcPr>
            <w:tcW w:w="625" w:type="pct"/>
          </w:tcPr>
          <w:p w14:paraId="35CEFD2E" w14:textId="4C9B8AE2"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35</w:t>
            </w:r>
          </w:p>
        </w:tc>
        <w:tc>
          <w:tcPr>
            <w:tcW w:w="625" w:type="pct"/>
          </w:tcPr>
          <w:p w14:paraId="60D38B4D" w14:textId="77777777" w:rsidR="002233A5" w:rsidRPr="006F3533" w:rsidRDefault="002233A5" w:rsidP="00077D42">
            <w:pPr>
              <w:jc w:val="both"/>
              <w:rPr>
                <w:rFonts w:eastAsia="Times New Roman" w:cs="Times New Roman"/>
                <w:szCs w:val="24"/>
                <w:lang w:val="bg-BG"/>
              </w:rPr>
            </w:pPr>
          </w:p>
        </w:tc>
        <w:tc>
          <w:tcPr>
            <w:tcW w:w="625" w:type="pct"/>
          </w:tcPr>
          <w:p w14:paraId="2E93EEA7" w14:textId="77777777" w:rsidR="002233A5" w:rsidRPr="006F3533" w:rsidRDefault="002233A5" w:rsidP="00077D42">
            <w:pPr>
              <w:jc w:val="both"/>
              <w:rPr>
                <w:rFonts w:eastAsia="Times New Roman" w:cs="Times New Roman"/>
                <w:szCs w:val="24"/>
                <w:lang w:val="bg-BG"/>
              </w:rPr>
            </w:pPr>
          </w:p>
        </w:tc>
        <w:tc>
          <w:tcPr>
            <w:tcW w:w="625" w:type="pct"/>
          </w:tcPr>
          <w:p w14:paraId="7C3742CC" w14:textId="77777777" w:rsidR="002233A5" w:rsidRPr="006F3533" w:rsidRDefault="002233A5" w:rsidP="00077D42">
            <w:pPr>
              <w:jc w:val="both"/>
              <w:rPr>
                <w:rFonts w:eastAsia="Times New Roman" w:cs="Times New Roman"/>
                <w:szCs w:val="24"/>
                <w:lang w:val="bg-BG"/>
              </w:rPr>
            </w:pPr>
          </w:p>
        </w:tc>
        <w:tc>
          <w:tcPr>
            <w:tcW w:w="625" w:type="pct"/>
          </w:tcPr>
          <w:p w14:paraId="6F0A8CE9" w14:textId="77777777" w:rsidR="002233A5" w:rsidRPr="006F3533" w:rsidRDefault="002233A5" w:rsidP="00077D42">
            <w:pPr>
              <w:jc w:val="both"/>
              <w:rPr>
                <w:rFonts w:eastAsia="Times New Roman" w:cs="Times New Roman"/>
                <w:szCs w:val="24"/>
                <w:lang w:val="bg-BG"/>
              </w:rPr>
            </w:pPr>
          </w:p>
        </w:tc>
      </w:tr>
      <w:tr w:rsidR="002233A5" w:rsidRPr="006F3533" w14:paraId="51069B8B" w14:textId="77777777" w:rsidTr="00552DC2">
        <w:trPr>
          <w:trHeight w:val="300"/>
        </w:trPr>
        <w:tc>
          <w:tcPr>
            <w:tcW w:w="463" w:type="pct"/>
          </w:tcPr>
          <w:p w14:paraId="6876AF03" w14:textId="77777777" w:rsidR="002233A5" w:rsidRPr="006F3533" w:rsidRDefault="002233A5" w:rsidP="00077D42">
            <w:pPr>
              <w:jc w:val="both"/>
              <w:rPr>
                <w:rFonts w:eastAsia="Times New Roman" w:cs="Times New Roman"/>
                <w:szCs w:val="24"/>
                <w:lang w:val="bg-BG"/>
              </w:rPr>
            </w:pPr>
          </w:p>
        </w:tc>
        <w:tc>
          <w:tcPr>
            <w:tcW w:w="787" w:type="pct"/>
          </w:tcPr>
          <w:p w14:paraId="2C24E254" w14:textId="5CC6A30B"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Universities</w:t>
            </w:r>
            <w:proofErr w:type="spellEnd"/>
          </w:p>
        </w:tc>
        <w:tc>
          <w:tcPr>
            <w:tcW w:w="625" w:type="pct"/>
          </w:tcPr>
          <w:p w14:paraId="1E0B7AFF" w14:textId="77777777" w:rsidR="002233A5" w:rsidRPr="006F3533" w:rsidRDefault="002233A5" w:rsidP="00077D42">
            <w:pPr>
              <w:jc w:val="both"/>
              <w:rPr>
                <w:rFonts w:eastAsia="Times New Roman" w:cs="Times New Roman"/>
                <w:szCs w:val="24"/>
                <w:lang w:val="bg-BG"/>
              </w:rPr>
            </w:pPr>
          </w:p>
        </w:tc>
        <w:tc>
          <w:tcPr>
            <w:tcW w:w="625" w:type="pct"/>
          </w:tcPr>
          <w:p w14:paraId="397A513E" w14:textId="5D62CC8E"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85</w:t>
            </w:r>
          </w:p>
        </w:tc>
        <w:tc>
          <w:tcPr>
            <w:tcW w:w="625" w:type="pct"/>
          </w:tcPr>
          <w:p w14:paraId="248B91BD" w14:textId="77777777" w:rsidR="002233A5" w:rsidRPr="006F3533" w:rsidRDefault="002233A5" w:rsidP="00077D42">
            <w:pPr>
              <w:jc w:val="both"/>
              <w:rPr>
                <w:rFonts w:eastAsia="Times New Roman" w:cs="Times New Roman"/>
                <w:szCs w:val="24"/>
                <w:lang w:val="bg-BG"/>
              </w:rPr>
            </w:pPr>
          </w:p>
        </w:tc>
        <w:tc>
          <w:tcPr>
            <w:tcW w:w="625" w:type="pct"/>
          </w:tcPr>
          <w:p w14:paraId="1962CDD0" w14:textId="77777777" w:rsidR="002233A5" w:rsidRPr="006F3533" w:rsidRDefault="002233A5" w:rsidP="00077D42">
            <w:pPr>
              <w:jc w:val="both"/>
              <w:rPr>
                <w:rFonts w:eastAsia="Times New Roman" w:cs="Times New Roman"/>
                <w:szCs w:val="24"/>
                <w:lang w:val="bg-BG"/>
              </w:rPr>
            </w:pPr>
          </w:p>
        </w:tc>
        <w:tc>
          <w:tcPr>
            <w:tcW w:w="625" w:type="pct"/>
          </w:tcPr>
          <w:p w14:paraId="7E7E6958" w14:textId="77777777" w:rsidR="002233A5" w:rsidRPr="006F3533" w:rsidRDefault="002233A5" w:rsidP="00077D42">
            <w:pPr>
              <w:jc w:val="both"/>
              <w:rPr>
                <w:rFonts w:eastAsia="Times New Roman" w:cs="Times New Roman"/>
                <w:szCs w:val="24"/>
                <w:lang w:val="bg-BG"/>
              </w:rPr>
            </w:pPr>
          </w:p>
        </w:tc>
        <w:tc>
          <w:tcPr>
            <w:tcW w:w="625" w:type="pct"/>
          </w:tcPr>
          <w:p w14:paraId="529C4B6E" w14:textId="77777777" w:rsidR="002233A5" w:rsidRPr="006F3533" w:rsidRDefault="002233A5" w:rsidP="00077D42">
            <w:pPr>
              <w:jc w:val="both"/>
              <w:rPr>
                <w:rFonts w:eastAsia="Times New Roman" w:cs="Times New Roman"/>
                <w:szCs w:val="24"/>
                <w:lang w:val="bg-BG"/>
              </w:rPr>
            </w:pPr>
          </w:p>
        </w:tc>
      </w:tr>
      <w:tr w:rsidR="002233A5" w:rsidRPr="006F3533" w14:paraId="3BBFCE76" w14:textId="77777777" w:rsidTr="00552DC2">
        <w:trPr>
          <w:trHeight w:val="300"/>
        </w:trPr>
        <w:tc>
          <w:tcPr>
            <w:tcW w:w="463" w:type="pct"/>
          </w:tcPr>
          <w:p w14:paraId="330ADD9F" w14:textId="77777777" w:rsidR="002233A5" w:rsidRPr="006F3533" w:rsidRDefault="002233A5" w:rsidP="00077D42">
            <w:pPr>
              <w:jc w:val="both"/>
              <w:rPr>
                <w:rFonts w:eastAsia="Times New Roman" w:cs="Times New Roman"/>
                <w:szCs w:val="24"/>
                <w:lang w:val="bg-BG"/>
              </w:rPr>
            </w:pPr>
          </w:p>
        </w:tc>
        <w:tc>
          <w:tcPr>
            <w:tcW w:w="787" w:type="pct"/>
          </w:tcPr>
          <w:p w14:paraId="1167F2CE" w14:textId="0F42E68B"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Kindergartens</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nurseries</w:t>
            </w:r>
            <w:proofErr w:type="spellEnd"/>
          </w:p>
        </w:tc>
        <w:tc>
          <w:tcPr>
            <w:tcW w:w="625" w:type="pct"/>
          </w:tcPr>
          <w:p w14:paraId="031C9116" w14:textId="3618C020" w:rsidR="002233A5" w:rsidRPr="006F3533" w:rsidRDefault="002233A5" w:rsidP="00077D42">
            <w:pPr>
              <w:jc w:val="both"/>
              <w:rPr>
                <w:rFonts w:eastAsia="Times New Roman" w:cs="Times New Roman"/>
                <w:szCs w:val="24"/>
                <w:lang w:val="bg-BG"/>
              </w:rPr>
            </w:pPr>
          </w:p>
        </w:tc>
        <w:tc>
          <w:tcPr>
            <w:tcW w:w="625" w:type="pct"/>
          </w:tcPr>
          <w:p w14:paraId="0100061A" w14:textId="007D1A6B"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60</w:t>
            </w:r>
          </w:p>
        </w:tc>
        <w:tc>
          <w:tcPr>
            <w:tcW w:w="625" w:type="pct"/>
          </w:tcPr>
          <w:p w14:paraId="7973BB90" w14:textId="7A9E4B8A"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73732539" w14:textId="6EFD18E9"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3C35A297" w14:textId="6F4B5800"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765C1B37" w14:textId="387BED6A"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479F463A" w14:textId="77777777" w:rsidTr="00552DC2">
        <w:trPr>
          <w:trHeight w:val="300"/>
        </w:trPr>
        <w:tc>
          <w:tcPr>
            <w:tcW w:w="463" w:type="pct"/>
          </w:tcPr>
          <w:p w14:paraId="61355E62" w14:textId="77777777" w:rsidR="002233A5" w:rsidRPr="006F3533" w:rsidRDefault="002233A5" w:rsidP="00077D42">
            <w:pPr>
              <w:jc w:val="both"/>
              <w:rPr>
                <w:rFonts w:eastAsia="Times New Roman" w:cs="Times New Roman"/>
                <w:szCs w:val="24"/>
                <w:lang w:val="bg-BG"/>
              </w:rPr>
            </w:pPr>
          </w:p>
        </w:tc>
        <w:tc>
          <w:tcPr>
            <w:tcW w:w="787" w:type="pct"/>
            <w:tcBorders>
              <w:bottom w:val="single" w:sz="4" w:space="0" w:color="auto"/>
            </w:tcBorders>
          </w:tcPr>
          <w:p w14:paraId="5772D009" w14:textId="5ECE54EA"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Hospitals</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healthcare</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6AA3BB77" w14:textId="6E8F513B" w:rsidR="002233A5" w:rsidRPr="006F3533" w:rsidRDefault="002233A5" w:rsidP="00077D42">
            <w:pPr>
              <w:jc w:val="both"/>
              <w:rPr>
                <w:rFonts w:eastAsia="Times New Roman" w:cs="Times New Roman"/>
                <w:szCs w:val="24"/>
                <w:lang w:val="bg-BG"/>
              </w:rPr>
            </w:pPr>
          </w:p>
        </w:tc>
        <w:tc>
          <w:tcPr>
            <w:tcW w:w="625" w:type="pct"/>
          </w:tcPr>
          <w:p w14:paraId="265BA809" w14:textId="29398883"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135</w:t>
            </w:r>
          </w:p>
        </w:tc>
        <w:tc>
          <w:tcPr>
            <w:tcW w:w="625" w:type="pct"/>
          </w:tcPr>
          <w:p w14:paraId="254A3903" w14:textId="02876440"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2B79F677" w14:textId="7EB191D6"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00F10CEC" w14:textId="054FC744"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3A897D78" w14:textId="609C2151"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4971C5F2" w14:textId="77777777" w:rsidTr="00552DC2">
        <w:trPr>
          <w:trHeight w:val="300"/>
        </w:trPr>
        <w:tc>
          <w:tcPr>
            <w:tcW w:w="463" w:type="pct"/>
          </w:tcPr>
          <w:p w14:paraId="0AE5BDC8" w14:textId="77777777" w:rsidR="002233A5" w:rsidRPr="006F3533" w:rsidRDefault="002233A5" w:rsidP="00077D42">
            <w:pPr>
              <w:jc w:val="both"/>
              <w:rPr>
                <w:rFonts w:eastAsia="Times New Roman" w:cs="Times New Roman"/>
                <w:szCs w:val="24"/>
                <w:lang w:val="bg-BG"/>
              </w:rPr>
            </w:pPr>
          </w:p>
        </w:tc>
        <w:tc>
          <w:tcPr>
            <w:tcW w:w="787" w:type="pct"/>
            <w:tcBorders>
              <w:top w:val="single" w:sz="4" w:space="0" w:color="auto"/>
              <w:left w:val="nil"/>
              <w:bottom w:val="single" w:sz="4" w:space="0" w:color="auto"/>
              <w:right w:val="nil"/>
            </w:tcBorders>
            <w:vAlign w:val="bottom"/>
          </w:tcPr>
          <w:p w14:paraId="2AAE51D6" w14:textId="28D9368F"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hotels</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restaurants</w:t>
            </w:r>
            <w:proofErr w:type="spellEnd"/>
          </w:p>
        </w:tc>
        <w:tc>
          <w:tcPr>
            <w:tcW w:w="625" w:type="pct"/>
          </w:tcPr>
          <w:p w14:paraId="7C8650B6" w14:textId="77777777" w:rsidR="002233A5" w:rsidRPr="006F3533" w:rsidRDefault="002233A5" w:rsidP="00077D42">
            <w:pPr>
              <w:jc w:val="both"/>
              <w:rPr>
                <w:rFonts w:eastAsia="Times New Roman" w:cs="Times New Roman"/>
                <w:szCs w:val="24"/>
                <w:lang w:val="bg-BG"/>
              </w:rPr>
            </w:pPr>
          </w:p>
        </w:tc>
        <w:tc>
          <w:tcPr>
            <w:tcW w:w="625" w:type="pct"/>
          </w:tcPr>
          <w:p w14:paraId="47D34B61" w14:textId="50C4F160"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165</w:t>
            </w:r>
          </w:p>
        </w:tc>
        <w:tc>
          <w:tcPr>
            <w:tcW w:w="625" w:type="pct"/>
          </w:tcPr>
          <w:p w14:paraId="0FFFAC6C" w14:textId="3EC742A7"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5E865917" w14:textId="7D54E5F8"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6314A77D" w14:textId="3D074B1D"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2A6A41F9" w14:textId="5BD9604A"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199DEA0B" w14:textId="77777777" w:rsidTr="00552DC2">
        <w:trPr>
          <w:trHeight w:val="300"/>
        </w:trPr>
        <w:tc>
          <w:tcPr>
            <w:tcW w:w="463" w:type="pct"/>
          </w:tcPr>
          <w:p w14:paraId="2CC3C29C" w14:textId="77777777" w:rsidR="002233A5" w:rsidRPr="006F3533" w:rsidRDefault="002233A5" w:rsidP="00077D42">
            <w:pPr>
              <w:jc w:val="both"/>
              <w:rPr>
                <w:rFonts w:eastAsia="Times New Roman" w:cs="Times New Roman"/>
                <w:szCs w:val="24"/>
                <w:lang w:val="bg-BG"/>
              </w:rPr>
            </w:pPr>
          </w:p>
        </w:tc>
        <w:tc>
          <w:tcPr>
            <w:tcW w:w="787" w:type="pct"/>
            <w:tcBorders>
              <w:top w:val="single" w:sz="4" w:space="0" w:color="auto"/>
              <w:left w:val="nil"/>
              <w:bottom w:val="single" w:sz="4" w:space="0" w:color="auto"/>
              <w:right w:val="nil"/>
            </w:tcBorders>
            <w:vAlign w:val="bottom"/>
          </w:tcPr>
          <w:p w14:paraId="6D0DB183" w14:textId="300ECF03"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wholesale</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retail</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trade</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services</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415FDC6F" w14:textId="77777777" w:rsidR="002233A5" w:rsidRPr="006F3533" w:rsidRDefault="002233A5" w:rsidP="00077D42">
            <w:pPr>
              <w:jc w:val="both"/>
              <w:rPr>
                <w:rFonts w:eastAsia="Times New Roman" w:cs="Times New Roman"/>
                <w:szCs w:val="24"/>
                <w:lang w:val="bg-BG"/>
              </w:rPr>
            </w:pPr>
          </w:p>
        </w:tc>
        <w:tc>
          <w:tcPr>
            <w:tcW w:w="625" w:type="pct"/>
          </w:tcPr>
          <w:p w14:paraId="15987341" w14:textId="170D8D37"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275</w:t>
            </w:r>
          </w:p>
        </w:tc>
        <w:tc>
          <w:tcPr>
            <w:tcW w:w="625" w:type="pct"/>
          </w:tcPr>
          <w:p w14:paraId="148A51CB" w14:textId="3D4FDF09"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19708FAC" w14:textId="3C2C222E"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0E44726F" w14:textId="04280440"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72E6C198" w14:textId="0E37ADF2"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0A3E562C" w14:textId="77777777" w:rsidTr="00552DC2">
        <w:trPr>
          <w:trHeight w:val="300"/>
        </w:trPr>
        <w:tc>
          <w:tcPr>
            <w:tcW w:w="463" w:type="pct"/>
          </w:tcPr>
          <w:p w14:paraId="412C6AC1" w14:textId="77777777" w:rsidR="002233A5" w:rsidRPr="006F3533" w:rsidRDefault="002233A5" w:rsidP="00077D42">
            <w:pPr>
              <w:jc w:val="both"/>
              <w:rPr>
                <w:rFonts w:eastAsia="Times New Roman" w:cs="Times New Roman"/>
                <w:szCs w:val="24"/>
                <w:lang w:val="bg-BG"/>
              </w:rPr>
            </w:pPr>
          </w:p>
        </w:tc>
        <w:tc>
          <w:tcPr>
            <w:tcW w:w="787" w:type="pct"/>
            <w:tcBorders>
              <w:top w:val="single" w:sz="4" w:space="0" w:color="auto"/>
              <w:left w:val="nil"/>
              <w:bottom w:val="single" w:sz="4" w:space="0" w:color="auto"/>
              <w:right w:val="nil"/>
            </w:tcBorders>
            <w:vAlign w:val="bottom"/>
          </w:tcPr>
          <w:p w14:paraId="6008531D" w14:textId="43286F5F"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sport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facilities</w:t>
            </w:r>
            <w:proofErr w:type="spellEnd"/>
          </w:p>
        </w:tc>
        <w:tc>
          <w:tcPr>
            <w:tcW w:w="625" w:type="pct"/>
          </w:tcPr>
          <w:p w14:paraId="3A697A0B" w14:textId="77777777" w:rsidR="002233A5" w:rsidRPr="006F3533" w:rsidRDefault="002233A5" w:rsidP="00077D42">
            <w:pPr>
              <w:jc w:val="both"/>
              <w:rPr>
                <w:rFonts w:eastAsia="Times New Roman" w:cs="Times New Roman"/>
                <w:szCs w:val="24"/>
                <w:lang w:val="bg-BG"/>
              </w:rPr>
            </w:pPr>
          </w:p>
        </w:tc>
        <w:tc>
          <w:tcPr>
            <w:tcW w:w="625" w:type="pct"/>
          </w:tcPr>
          <w:p w14:paraId="7B7BD128" w14:textId="1B318610"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175</w:t>
            </w:r>
          </w:p>
        </w:tc>
        <w:tc>
          <w:tcPr>
            <w:tcW w:w="625" w:type="pct"/>
          </w:tcPr>
          <w:p w14:paraId="5813F194" w14:textId="0918D437"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102792F6" w14:textId="1891F768"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593D92D3" w14:textId="32CD17D0"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2A368FFB" w14:textId="011767E6"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2EA13346" w14:textId="77777777" w:rsidTr="00552DC2">
        <w:trPr>
          <w:trHeight w:val="300"/>
        </w:trPr>
        <w:tc>
          <w:tcPr>
            <w:tcW w:w="463" w:type="pct"/>
          </w:tcPr>
          <w:p w14:paraId="21BC8BEA" w14:textId="77777777" w:rsidR="002233A5" w:rsidRPr="006F3533" w:rsidRDefault="002233A5" w:rsidP="00077D42">
            <w:pPr>
              <w:jc w:val="both"/>
              <w:rPr>
                <w:rFonts w:eastAsia="Times New Roman" w:cs="Times New Roman"/>
                <w:szCs w:val="24"/>
                <w:lang w:val="bg-BG"/>
              </w:rPr>
            </w:pPr>
          </w:p>
        </w:tc>
        <w:tc>
          <w:tcPr>
            <w:tcW w:w="787" w:type="pct"/>
            <w:tcBorders>
              <w:top w:val="single" w:sz="4" w:space="0" w:color="auto"/>
              <w:left w:val="nil"/>
              <w:bottom w:val="single" w:sz="4" w:space="0" w:color="auto"/>
              <w:right w:val="nil"/>
            </w:tcBorders>
            <w:vAlign w:val="bottom"/>
          </w:tcPr>
          <w:p w14:paraId="59505384" w14:textId="01455BB8"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culture</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art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79A0E20A" w14:textId="77777777" w:rsidR="002233A5" w:rsidRPr="006F3533" w:rsidRDefault="002233A5" w:rsidP="00077D42">
            <w:pPr>
              <w:jc w:val="both"/>
              <w:rPr>
                <w:rFonts w:eastAsia="Times New Roman" w:cs="Times New Roman"/>
                <w:szCs w:val="24"/>
                <w:lang w:val="bg-BG"/>
              </w:rPr>
            </w:pPr>
          </w:p>
        </w:tc>
        <w:tc>
          <w:tcPr>
            <w:tcW w:w="625" w:type="pct"/>
          </w:tcPr>
          <w:p w14:paraId="2C0C99D6" w14:textId="2565F5EF"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110</w:t>
            </w:r>
          </w:p>
        </w:tc>
        <w:tc>
          <w:tcPr>
            <w:tcW w:w="625" w:type="pct"/>
          </w:tcPr>
          <w:p w14:paraId="7A76787C" w14:textId="79F99427"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2DF933C5" w14:textId="76B5A5CF"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4C43D6D2" w14:textId="31A6F581"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6195105A" w14:textId="6D2520B7"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794E926A" w14:textId="77777777" w:rsidTr="00552DC2">
        <w:trPr>
          <w:trHeight w:val="300"/>
        </w:trPr>
        <w:tc>
          <w:tcPr>
            <w:tcW w:w="463" w:type="pct"/>
          </w:tcPr>
          <w:p w14:paraId="1F279AD4" w14:textId="7D49DFFB"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EXISTING</w:t>
            </w:r>
          </w:p>
        </w:tc>
        <w:tc>
          <w:tcPr>
            <w:tcW w:w="787" w:type="pct"/>
          </w:tcPr>
          <w:p w14:paraId="31F36CAB" w14:textId="11A67C7F"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Single</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family</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227B525D" w14:textId="53CF98ED" w:rsidR="002233A5" w:rsidRPr="006F3533" w:rsidRDefault="002233A5" w:rsidP="00077D42">
            <w:pPr>
              <w:jc w:val="both"/>
              <w:rPr>
                <w:rFonts w:eastAsia="Times New Roman" w:cs="Times New Roman"/>
                <w:szCs w:val="24"/>
                <w:lang w:val="bg-BG"/>
              </w:rPr>
            </w:pPr>
          </w:p>
        </w:tc>
        <w:tc>
          <w:tcPr>
            <w:tcW w:w="625" w:type="pct"/>
          </w:tcPr>
          <w:p w14:paraId="200B89FE" w14:textId="74B2780C"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166</w:t>
            </w:r>
          </w:p>
        </w:tc>
        <w:tc>
          <w:tcPr>
            <w:tcW w:w="625" w:type="pct"/>
          </w:tcPr>
          <w:p w14:paraId="5FF39E66" w14:textId="3294897D"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0E8508B7" w14:textId="68FEB925"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0FDFF14D" w14:textId="66DA21FC"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35EA691D" w14:textId="5956B1FD"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188C9B0E" w14:textId="77777777" w:rsidTr="00552DC2">
        <w:trPr>
          <w:trHeight w:val="300"/>
        </w:trPr>
        <w:tc>
          <w:tcPr>
            <w:tcW w:w="463" w:type="pct"/>
          </w:tcPr>
          <w:p w14:paraId="1D884438" w14:textId="77777777" w:rsidR="002233A5" w:rsidRPr="006F3533" w:rsidRDefault="002233A5" w:rsidP="00077D42">
            <w:pPr>
              <w:jc w:val="both"/>
              <w:rPr>
                <w:rFonts w:eastAsia="Times New Roman" w:cs="Times New Roman"/>
                <w:szCs w:val="24"/>
                <w:lang w:val="bg-BG"/>
              </w:rPr>
            </w:pPr>
          </w:p>
        </w:tc>
        <w:tc>
          <w:tcPr>
            <w:tcW w:w="787" w:type="pct"/>
          </w:tcPr>
          <w:p w14:paraId="0FADD2A5" w14:textId="66844E1A"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Multi-family</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1A76B433" w14:textId="77777777" w:rsidR="002233A5" w:rsidRPr="006F3533" w:rsidRDefault="002233A5" w:rsidP="00077D42">
            <w:pPr>
              <w:jc w:val="both"/>
              <w:rPr>
                <w:rFonts w:eastAsia="Times New Roman" w:cs="Times New Roman"/>
                <w:szCs w:val="24"/>
                <w:lang w:val="bg-BG"/>
              </w:rPr>
            </w:pPr>
          </w:p>
        </w:tc>
        <w:tc>
          <w:tcPr>
            <w:tcW w:w="625" w:type="pct"/>
          </w:tcPr>
          <w:p w14:paraId="56EBBB1A" w14:textId="66CB804C"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180</w:t>
            </w:r>
          </w:p>
        </w:tc>
        <w:tc>
          <w:tcPr>
            <w:tcW w:w="625" w:type="pct"/>
          </w:tcPr>
          <w:p w14:paraId="2C75C597" w14:textId="5BEBAC03"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3D29EFF9" w14:textId="0F11B3C2"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0CE7ED31" w14:textId="6DF710E6"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38831A16" w14:textId="3A50272A"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4EF72338" w14:textId="77777777" w:rsidTr="00552DC2">
        <w:trPr>
          <w:trHeight w:val="300"/>
        </w:trPr>
        <w:tc>
          <w:tcPr>
            <w:tcW w:w="463" w:type="pct"/>
          </w:tcPr>
          <w:p w14:paraId="2580E22A" w14:textId="77777777" w:rsidR="002233A5" w:rsidRPr="006F3533" w:rsidRDefault="002233A5" w:rsidP="00077D42">
            <w:pPr>
              <w:jc w:val="both"/>
              <w:rPr>
                <w:rFonts w:eastAsia="Times New Roman" w:cs="Times New Roman"/>
                <w:szCs w:val="24"/>
                <w:lang w:val="bg-BG"/>
              </w:rPr>
            </w:pPr>
          </w:p>
        </w:tc>
        <w:tc>
          <w:tcPr>
            <w:tcW w:w="787" w:type="pct"/>
          </w:tcPr>
          <w:p w14:paraId="660B85C4" w14:textId="46DF1FAC"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 xml:space="preserve">Office </w:t>
            </w:r>
            <w:proofErr w:type="spellStart"/>
            <w:r w:rsidRPr="006F3533">
              <w:rPr>
                <w:rFonts w:eastAsia="Times New Roman" w:cs="Times New Roman"/>
                <w:szCs w:val="24"/>
                <w:lang w:val="bg-BG"/>
              </w:rPr>
              <w:t>buildings</w:t>
            </w:r>
            <w:proofErr w:type="spellEnd"/>
          </w:p>
        </w:tc>
        <w:tc>
          <w:tcPr>
            <w:tcW w:w="625" w:type="pct"/>
          </w:tcPr>
          <w:p w14:paraId="34F638A3" w14:textId="3619DF54"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140,31</w:t>
            </w:r>
          </w:p>
        </w:tc>
        <w:tc>
          <w:tcPr>
            <w:tcW w:w="625" w:type="pct"/>
          </w:tcPr>
          <w:p w14:paraId="54CF50C4" w14:textId="47A57EBA"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268</w:t>
            </w:r>
          </w:p>
        </w:tc>
        <w:tc>
          <w:tcPr>
            <w:tcW w:w="625" w:type="pct"/>
          </w:tcPr>
          <w:p w14:paraId="273E5878" w14:textId="5F5C59F1"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1A435AA4" w14:textId="3529E1DC"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0296F5C8" w14:textId="2FFB4768"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76A41970" w14:textId="55EF2FC1"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2E13EB57" w14:textId="77777777" w:rsidTr="00552DC2">
        <w:trPr>
          <w:trHeight w:val="300"/>
        </w:trPr>
        <w:tc>
          <w:tcPr>
            <w:tcW w:w="463" w:type="pct"/>
          </w:tcPr>
          <w:p w14:paraId="5BACF007" w14:textId="77777777" w:rsidR="002233A5" w:rsidRPr="006F3533" w:rsidRDefault="002233A5" w:rsidP="00077D42">
            <w:pPr>
              <w:jc w:val="both"/>
              <w:rPr>
                <w:rFonts w:eastAsia="Times New Roman" w:cs="Times New Roman"/>
                <w:szCs w:val="24"/>
                <w:lang w:val="bg-BG"/>
              </w:rPr>
            </w:pPr>
          </w:p>
        </w:tc>
        <w:tc>
          <w:tcPr>
            <w:tcW w:w="787" w:type="pct"/>
          </w:tcPr>
          <w:p w14:paraId="14811E2D" w14:textId="36E3C687"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Schools</w:t>
            </w:r>
            <w:proofErr w:type="spellEnd"/>
          </w:p>
        </w:tc>
        <w:tc>
          <w:tcPr>
            <w:tcW w:w="625" w:type="pct"/>
          </w:tcPr>
          <w:p w14:paraId="386F71D3" w14:textId="5B440654"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43,97</w:t>
            </w:r>
          </w:p>
        </w:tc>
        <w:tc>
          <w:tcPr>
            <w:tcW w:w="625" w:type="pct"/>
          </w:tcPr>
          <w:p w14:paraId="266E7E73" w14:textId="740656D1"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70</w:t>
            </w:r>
          </w:p>
        </w:tc>
        <w:tc>
          <w:tcPr>
            <w:tcW w:w="625" w:type="pct"/>
          </w:tcPr>
          <w:p w14:paraId="77F5D099" w14:textId="77777777" w:rsidR="002233A5" w:rsidRPr="006F3533" w:rsidRDefault="002233A5" w:rsidP="00077D42">
            <w:pPr>
              <w:jc w:val="both"/>
              <w:rPr>
                <w:rFonts w:eastAsia="Times New Roman" w:cs="Times New Roman"/>
                <w:szCs w:val="24"/>
                <w:lang w:val="bg-BG"/>
              </w:rPr>
            </w:pPr>
          </w:p>
        </w:tc>
        <w:tc>
          <w:tcPr>
            <w:tcW w:w="625" w:type="pct"/>
          </w:tcPr>
          <w:p w14:paraId="2C508115" w14:textId="77777777" w:rsidR="002233A5" w:rsidRPr="006F3533" w:rsidRDefault="002233A5" w:rsidP="00077D42">
            <w:pPr>
              <w:jc w:val="both"/>
              <w:rPr>
                <w:rFonts w:eastAsia="Times New Roman" w:cs="Times New Roman"/>
                <w:szCs w:val="24"/>
                <w:lang w:val="bg-BG"/>
              </w:rPr>
            </w:pPr>
          </w:p>
        </w:tc>
        <w:tc>
          <w:tcPr>
            <w:tcW w:w="625" w:type="pct"/>
          </w:tcPr>
          <w:p w14:paraId="2774D414" w14:textId="77777777" w:rsidR="002233A5" w:rsidRPr="006F3533" w:rsidRDefault="002233A5" w:rsidP="00077D42">
            <w:pPr>
              <w:jc w:val="both"/>
              <w:rPr>
                <w:rFonts w:eastAsia="Times New Roman" w:cs="Times New Roman"/>
                <w:szCs w:val="24"/>
                <w:lang w:val="bg-BG"/>
              </w:rPr>
            </w:pPr>
          </w:p>
        </w:tc>
        <w:tc>
          <w:tcPr>
            <w:tcW w:w="625" w:type="pct"/>
          </w:tcPr>
          <w:p w14:paraId="47F8C7C0" w14:textId="77777777" w:rsidR="002233A5" w:rsidRPr="006F3533" w:rsidRDefault="002233A5" w:rsidP="00077D42">
            <w:pPr>
              <w:jc w:val="both"/>
              <w:rPr>
                <w:rFonts w:eastAsia="Times New Roman" w:cs="Times New Roman"/>
                <w:szCs w:val="24"/>
                <w:lang w:val="bg-BG"/>
              </w:rPr>
            </w:pPr>
          </w:p>
        </w:tc>
      </w:tr>
      <w:tr w:rsidR="002233A5" w:rsidRPr="006F3533" w14:paraId="5878C3D3" w14:textId="77777777" w:rsidTr="00552DC2">
        <w:trPr>
          <w:trHeight w:val="300"/>
        </w:trPr>
        <w:tc>
          <w:tcPr>
            <w:tcW w:w="463" w:type="pct"/>
          </w:tcPr>
          <w:p w14:paraId="0DC72164" w14:textId="77777777" w:rsidR="002233A5" w:rsidRPr="006F3533" w:rsidRDefault="002233A5" w:rsidP="00077D42">
            <w:pPr>
              <w:jc w:val="both"/>
              <w:rPr>
                <w:rFonts w:eastAsia="Times New Roman" w:cs="Times New Roman"/>
                <w:szCs w:val="24"/>
                <w:lang w:val="bg-BG"/>
              </w:rPr>
            </w:pPr>
          </w:p>
        </w:tc>
        <w:tc>
          <w:tcPr>
            <w:tcW w:w="787" w:type="pct"/>
          </w:tcPr>
          <w:p w14:paraId="2B58A0BE" w14:textId="5AD7053D"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Universities</w:t>
            </w:r>
            <w:proofErr w:type="spellEnd"/>
          </w:p>
        </w:tc>
        <w:tc>
          <w:tcPr>
            <w:tcW w:w="625" w:type="pct"/>
          </w:tcPr>
          <w:p w14:paraId="021B6155" w14:textId="5F3B8A71" w:rsidR="002233A5" w:rsidRPr="006F3533" w:rsidRDefault="002233A5" w:rsidP="00077D42">
            <w:pPr>
              <w:jc w:val="both"/>
              <w:rPr>
                <w:rFonts w:eastAsia="Times New Roman" w:cs="Times New Roman"/>
                <w:szCs w:val="24"/>
                <w:lang w:val="bg-BG"/>
              </w:rPr>
            </w:pPr>
          </w:p>
        </w:tc>
        <w:tc>
          <w:tcPr>
            <w:tcW w:w="625" w:type="pct"/>
          </w:tcPr>
          <w:p w14:paraId="6F71B837" w14:textId="5D2D29DD"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170</w:t>
            </w:r>
          </w:p>
        </w:tc>
        <w:tc>
          <w:tcPr>
            <w:tcW w:w="625" w:type="pct"/>
          </w:tcPr>
          <w:p w14:paraId="78B51AFA" w14:textId="73AC0D35"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56D8E979" w14:textId="22CA7A3C"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5A819C26" w14:textId="5407EA2F"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39504BCD" w14:textId="4EAFFC91"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2D4F4866" w14:textId="77777777" w:rsidTr="00552DC2">
        <w:trPr>
          <w:trHeight w:val="300"/>
        </w:trPr>
        <w:tc>
          <w:tcPr>
            <w:tcW w:w="463" w:type="pct"/>
          </w:tcPr>
          <w:p w14:paraId="2BF056F2" w14:textId="77777777" w:rsidR="002233A5" w:rsidRPr="006F3533" w:rsidRDefault="002233A5" w:rsidP="00077D42">
            <w:pPr>
              <w:jc w:val="both"/>
              <w:rPr>
                <w:rFonts w:eastAsia="Times New Roman" w:cs="Times New Roman"/>
                <w:szCs w:val="24"/>
                <w:lang w:val="bg-BG"/>
              </w:rPr>
            </w:pPr>
          </w:p>
        </w:tc>
        <w:tc>
          <w:tcPr>
            <w:tcW w:w="787" w:type="pct"/>
          </w:tcPr>
          <w:p w14:paraId="3E443DEF" w14:textId="5D05770A"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Kindergartens</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nurseries</w:t>
            </w:r>
            <w:proofErr w:type="spellEnd"/>
          </w:p>
        </w:tc>
        <w:tc>
          <w:tcPr>
            <w:tcW w:w="625" w:type="pct"/>
          </w:tcPr>
          <w:p w14:paraId="5B08C041" w14:textId="35B4B345"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83,89</w:t>
            </w:r>
          </w:p>
        </w:tc>
        <w:tc>
          <w:tcPr>
            <w:tcW w:w="625" w:type="pct"/>
          </w:tcPr>
          <w:p w14:paraId="79C473EC" w14:textId="433644D2"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120</w:t>
            </w:r>
          </w:p>
        </w:tc>
        <w:tc>
          <w:tcPr>
            <w:tcW w:w="625" w:type="pct"/>
          </w:tcPr>
          <w:p w14:paraId="00A01DAC" w14:textId="70ED6680"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199F098E" w14:textId="4CC003F2"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053E5DAA" w14:textId="50792B4E"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449BEFE7" w14:textId="537F2700"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474024EB" w14:textId="77777777" w:rsidTr="00552DC2">
        <w:trPr>
          <w:trHeight w:val="300"/>
        </w:trPr>
        <w:tc>
          <w:tcPr>
            <w:tcW w:w="463" w:type="pct"/>
          </w:tcPr>
          <w:p w14:paraId="3148432A" w14:textId="77777777" w:rsidR="002233A5" w:rsidRPr="006F3533" w:rsidRDefault="002233A5" w:rsidP="00077D42">
            <w:pPr>
              <w:jc w:val="both"/>
              <w:rPr>
                <w:rFonts w:eastAsia="Times New Roman" w:cs="Times New Roman"/>
                <w:szCs w:val="24"/>
                <w:lang w:val="bg-BG"/>
              </w:rPr>
            </w:pPr>
          </w:p>
        </w:tc>
        <w:tc>
          <w:tcPr>
            <w:tcW w:w="787" w:type="pct"/>
          </w:tcPr>
          <w:p w14:paraId="3C457F8B" w14:textId="35F8A943"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Hospitals</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healthcare</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513AD6CE" w14:textId="44E366CD"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166,98</w:t>
            </w:r>
          </w:p>
        </w:tc>
        <w:tc>
          <w:tcPr>
            <w:tcW w:w="625" w:type="pct"/>
          </w:tcPr>
          <w:p w14:paraId="594F7879" w14:textId="28BE364D"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270</w:t>
            </w:r>
          </w:p>
        </w:tc>
        <w:tc>
          <w:tcPr>
            <w:tcW w:w="625" w:type="pct"/>
          </w:tcPr>
          <w:p w14:paraId="58CD996A" w14:textId="1E99DE01"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62836114" w14:textId="7D6444EF"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0.26</w:t>
            </w:r>
          </w:p>
        </w:tc>
        <w:tc>
          <w:tcPr>
            <w:tcW w:w="625" w:type="pct"/>
          </w:tcPr>
          <w:p w14:paraId="653039D8" w14:textId="500818C5"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c>
          <w:tcPr>
            <w:tcW w:w="625" w:type="pct"/>
          </w:tcPr>
          <w:p w14:paraId="0627FDCC" w14:textId="61AB1B60" w:rsidR="002233A5" w:rsidRPr="006F3533" w:rsidRDefault="002233A5" w:rsidP="00077D42">
            <w:pPr>
              <w:jc w:val="both"/>
              <w:rPr>
                <w:rFonts w:eastAsia="Times New Roman" w:cs="Times New Roman"/>
                <w:szCs w:val="24"/>
                <w:lang w:val="bg-BG"/>
              </w:rPr>
            </w:pPr>
            <w:r w:rsidRPr="006F3533">
              <w:rPr>
                <w:rFonts w:eastAsia="Times New Roman" w:cs="Times New Roman"/>
                <w:szCs w:val="24"/>
                <w:lang w:val="bg-BG"/>
              </w:rPr>
              <w:t>0.25</w:t>
            </w:r>
          </w:p>
        </w:tc>
      </w:tr>
      <w:tr w:rsidR="002233A5" w:rsidRPr="006F3533" w14:paraId="7BEEF86A" w14:textId="77777777" w:rsidTr="00552DC2">
        <w:trPr>
          <w:trHeight w:val="300"/>
        </w:trPr>
        <w:tc>
          <w:tcPr>
            <w:tcW w:w="463" w:type="pct"/>
          </w:tcPr>
          <w:p w14:paraId="50A44CEA" w14:textId="77777777" w:rsidR="002233A5" w:rsidRPr="006F3533" w:rsidRDefault="002233A5" w:rsidP="00077D42">
            <w:pPr>
              <w:jc w:val="both"/>
              <w:rPr>
                <w:rFonts w:eastAsia="Times New Roman" w:cs="Times New Roman"/>
                <w:szCs w:val="24"/>
                <w:lang w:val="bg-BG"/>
              </w:rPr>
            </w:pPr>
          </w:p>
        </w:tc>
        <w:tc>
          <w:tcPr>
            <w:tcW w:w="787" w:type="pct"/>
            <w:tcBorders>
              <w:top w:val="single" w:sz="4" w:space="0" w:color="auto"/>
              <w:left w:val="nil"/>
              <w:bottom w:val="single" w:sz="4" w:space="0" w:color="auto"/>
              <w:right w:val="nil"/>
            </w:tcBorders>
            <w:vAlign w:val="bottom"/>
          </w:tcPr>
          <w:p w14:paraId="4A279502" w14:textId="189FA7BB"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hotels</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restaurants</w:t>
            </w:r>
            <w:proofErr w:type="spellEnd"/>
          </w:p>
        </w:tc>
        <w:tc>
          <w:tcPr>
            <w:tcW w:w="625" w:type="pct"/>
          </w:tcPr>
          <w:p w14:paraId="6B8C4C0F" w14:textId="77777777" w:rsidR="002233A5" w:rsidRPr="006F3533" w:rsidRDefault="002233A5" w:rsidP="00077D42">
            <w:pPr>
              <w:jc w:val="both"/>
              <w:rPr>
                <w:rFonts w:eastAsia="Times New Roman" w:cs="Times New Roman"/>
                <w:szCs w:val="24"/>
                <w:lang w:val="bg-BG"/>
              </w:rPr>
            </w:pPr>
          </w:p>
        </w:tc>
        <w:tc>
          <w:tcPr>
            <w:tcW w:w="625" w:type="pct"/>
          </w:tcPr>
          <w:p w14:paraId="004ECF98" w14:textId="3F7EDAB5"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330</w:t>
            </w:r>
          </w:p>
        </w:tc>
        <w:tc>
          <w:tcPr>
            <w:tcW w:w="625" w:type="pct"/>
          </w:tcPr>
          <w:p w14:paraId="6A7E9C4F" w14:textId="77777777" w:rsidR="002233A5" w:rsidRPr="006F3533" w:rsidRDefault="002233A5" w:rsidP="00077D42">
            <w:pPr>
              <w:jc w:val="both"/>
              <w:rPr>
                <w:rFonts w:eastAsia="Times New Roman" w:cs="Times New Roman"/>
                <w:szCs w:val="24"/>
                <w:lang w:val="bg-BG"/>
              </w:rPr>
            </w:pPr>
          </w:p>
        </w:tc>
        <w:tc>
          <w:tcPr>
            <w:tcW w:w="625" w:type="pct"/>
          </w:tcPr>
          <w:p w14:paraId="163F7558" w14:textId="77777777" w:rsidR="002233A5" w:rsidRPr="006F3533" w:rsidRDefault="002233A5" w:rsidP="00077D42">
            <w:pPr>
              <w:jc w:val="both"/>
              <w:rPr>
                <w:rFonts w:eastAsia="Times New Roman" w:cs="Times New Roman"/>
                <w:szCs w:val="24"/>
                <w:lang w:val="bg-BG"/>
              </w:rPr>
            </w:pPr>
          </w:p>
        </w:tc>
        <w:tc>
          <w:tcPr>
            <w:tcW w:w="625" w:type="pct"/>
          </w:tcPr>
          <w:p w14:paraId="1B856F63" w14:textId="77777777" w:rsidR="002233A5" w:rsidRPr="006F3533" w:rsidRDefault="002233A5" w:rsidP="00077D42">
            <w:pPr>
              <w:jc w:val="both"/>
              <w:rPr>
                <w:rFonts w:eastAsia="Times New Roman" w:cs="Times New Roman"/>
                <w:szCs w:val="24"/>
                <w:lang w:val="bg-BG"/>
              </w:rPr>
            </w:pPr>
          </w:p>
        </w:tc>
        <w:tc>
          <w:tcPr>
            <w:tcW w:w="625" w:type="pct"/>
          </w:tcPr>
          <w:p w14:paraId="690EE834" w14:textId="77777777" w:rsidR="002233A5" w:rsidRPr="006F3533" w:rsidRDefault="002233A5" w:rsidP="00077D42">
            <w:pPr>
              <w:jc w:val="both"/>
              <w:rPr>
                <w:rFonts w:eastAsia="Times New Roman" w:cs="Times New Roman"/>
                <w:szCs w:val="24"/>
                <w:lang w:val="bg-BG"/>
              </w:rPr>
            </w:pPr>
          </w:p>
        </w:tc>
      </w:tr>
      <w:tr w:rsidR="002233A5" w:rsidRPr="006F3533" w14:paraId="4C950E26" w14:textId="77777777" w:rsidTr="00552DC2">
        <w:trPr>
          <w:trHeight w:val="300"/>
        </w:trPr>
        <w:tc>
          <w:tcPr>
            <w:tcW w:w="463" w:type="pct"/>
          </w:tcPr>
          <w:p w14:paraId="19BCFF6F" w14:textId="77777777" w:rsidR="002233A5" w:rsidRPr="006F3533" w:rsidRDefault="002233A5" w:rsidP="00077D42">
            <w:pPr>
              <w:jc w:val="both"/>
              <w:rPr>
                <w:rFonts w:eastAsia="Times New Roman" w:cs="Times New Roman"/>
                <w:szCs w:val="24"/>
                <w:lang w:val="bg-BG"/>
              </w:rPr>
            </w:pPr>
          </w:p>
        </w:tc>
        <w:tc>
          <w:tcPr>
            <w:tcW w:w="787" w:type="pct"/>
            <w:tcBorders>
              <w:top w:val="single" w:sz="4" w:space="0" w:color="auto"/>
              <w:left w:val="nil"/>
              <w:bottom w:val="single" w:sz="4" w:space="0" w:color="auto"/>
              <w:right w:val="nil"/>
            </w:tcBorders>
            <w:vAlign w:val="bottom"/>
          </w:tcPr>
          <w:p w14:paraId="02A001CC" w14:textId="3FF265E9"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wholesale</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retail</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trade</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services</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4F7192A0" w14:textId="77777777" w:rsidR="002233A5" w:rsidRPr="006F3533" w:rsidRDefault="002233A5" w:rsidP="00077D42">
            <w:pPr>
              <w:jc w:val="both"/>
              <w:rPr>
                <w:rFonts w:eastAsia="Times New Roman" w:cs="Times New Roman"/>
                <w:szCs w:val="24"/>
                <w:lang w:val="bg-BG"/>
              </w:rPr>
            </w:pPr>
          </w:p>
        </w:tc>
        <w:tc>
          <w:tcPr>
            <w:tcW w:w="625" w:type="pct"/>
          </w:tcPr>
          <w:p w14:paraId="5312E1B6" w14:textId="3C35D1D4"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550</w:t>
            </w:r>
          </w:p>
        </w:tc>
        <w:tc>
          <w:tcPr>
            <w:tcW w:w="625" w:type="pct"/>
          </w:tcPr>
          <w:p w14:paraId="1669EEF1" w14:textId="77777777" w:rsidR="002233A5" w:rsidRPr="006F3533" w:rsidRDefault="002233A5" w:rsidP="00077D42">
            <w:pPr>
              <w:jc w:val="both"/>
              <w:rPr>
                <w:rFonts w:eastAsia="Times New Roman" w:cs="Times New Roman"/>
                <w:szCs w:val="24"/>
                <w:lang w:val="bg-BG"/>
              </w:rPr>
            </w:pPr>
          </w:p>
        </w:tc>
        <w:tc>
          <w:tcPr>
            <w:tcW w:w="625" w:type="pct"/>
          </w:tcPr>
          <w:p w14:paraId="790055A2" w14:textId="77777777" w:rsidR="002233A5" w:rsidRPr="006F3533" w:rsidRDefault="002233A5" w:rsidP="00077D42">
            <w:pPr>
              <w:jc w:val="both"/>
              <w:rPr>
                <w:rFonts w:eastAsia="Times New Roman" w:cs="Times New Roman"/>
                <w:szCs w:val="24"/>
                <w:lang w:val="bg-BG"/>
              </w:rPr>
            </w:pPr>
          </w:p>
        </w:tc>
        <w:tc>
          <w:tcPr>
            <w:tcW w:w="625" w:type="pct"/>
          </w:tcPr>
          <w:p w14:paraId="1CE23000" w14:textId="77777777" w:rsidR="002233A5" w:rsidRPr="006F3533" w:rsidRDefault="002233A5" w:rsidP="00077D42">
            <w:pPr>
              <w:jc w:val="both"/>
              <w:rPr>
                <w:rFonts w:eastAsia="Times New Roman" w:cs="Times New Roman"/>
                <w:szCs w:val="24"/>
                <w:lang w:val="bg-BG"/>
              </w:rPr>
            </w:pPr>
          </w:p>
        </w:tc>
        <w:tc>
          <w:tcPr>
            <w:tcW w:w="625" w:type="pct"/>
          </w:tcPr>
          <w:p w14:paraId="2C582520" w14:textId="77777777" w:rsidR="002233A5" w:rsidRPr="006F3533" w:rsidRDefault="002233A5" w:rsidP="00077D42">
            <w:pPr>
              <w:jc w:val="both"/>
              <w:rPr>
                <w:rFonts w:eastAsia="Times New Roman" w:cs="Times New Roman"/>
                <w:szCs w:val="24"/>
                <w:lang w:val="bg-BG"/>
              </w:rPr>
            </w:pPr>
          </w:p>
        </w:tc>
      </w:tr>
      <w:tr w:rsidR="002233A5" w:rsidRPr="006F3533" w14:paraId="79A21E92" w14:textId="77777777" w:rsidTr="00552DC2">
        <w:trPr>
          <w:trHeight w:val="300"/>
        </w:trPr>
        <w:tc>
          <w:tcPr>
            <w:tcW w:w="463" w:type="pct"/>
          </w:tcPr>
          <w:p w14:paraId="00A7B49C" w14:textId="77777777" w:rsidR="002233A5" w:rsidRPr="006F3533" w:rsidRDefault="002233A5" w:rsidP="00077D42">
            <w:pPr>
              <w:jc w:val="both"/>
              <w:rPr>
                <w:rFonts w:eastAsia="Times New Roman" w:cs="Times New Roman"/>
                <w:szCs w:val="24"/>
                <w:lang w:val="bg-BG"/>
              </w:rPr>
            </w:pPr>
          </w:p>
        </w:tc>
        <w:tc>
          <w:tcPr>
            <w:tcW w:w="787" w:type="pct"/>
            <w:tcBorders>
              <w:top w:val="single" w:sz="4" w:space="0" w:color="auto"/>
              <w:left w:val="nil"/>
              <w:bottom w:val="single" w:sz="4" w:space="0" w:color="auto"/>
              <w:right w:val="nil"/>
            </w:tcBorders>
            <w:vAlign w:val="bottom"/>
          </w:tcPr>
          <w:p w14:paraId="3CC87154" w14:textId="513C5F3B"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sport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facilities</w:t>
            </w:r>
            <w:proofErr w:type="spellEnd"/>
          </w:p>
        </w:tc>
        <w:tc>
          <w:tcPr>
            <w:tcW w:w="625" w:type="pct"/>
          </w:tcPr>
          <w:p w14:paraId="70B0873E" w14:textId="77777777" w:rsidR="002233A5" w:rsidRPr="006F3533" w:rsidRDefault="002233A5" w:rsidP="00077D42">
            <w:pPr>
              <w:jc w:val="both"/>
              <w:rPr>
                <w:rFonts w:eastAsia="Times New Roman" w:cs="Times New Roman"/>
                <w:szCs w:val="24"/>
                <w:lang w:val="bg-BG"/>
              </w:rPr>
            </w:pPr>
          </w:p>
        </w:tc>
        <w:tc>
          <w:tcPr>
            <w:tcW w:w="625" w:type="pct"/>
          </w:tcPr>
          <w:p w14:paraId="3F415820" w14:textId="0418F921"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350</w:t>
            </w:r>
          </w:p>
        </w:tc>
        <w:tc>
          <w:tcPr>
            <w:tcW w:w="625" w:type="pct"/>
          </w:tcPr>
          <w:p w14:paraId="48DE8E2E" w14:textId="77777777" w:rsidR="002233A5" w:rsidRPr="006F3533" w:rsidRDefault="002233A5" w:rsidP="00077D42">
            <w:pPr>
              <w:jc w:val="both"/>
              <w:rPr>
                <w:rFonts w:eastAsia="Times New Roman" w:cs="Times New Roman"/>
                <w:szCs w:val="24"/>
                <w:lang w:val="bg-BG"/>
              </w:rPr>
            </w:pPr>
          </w:p>
        </w:tc>
        <w:tc>
          <w:tcPr>
            <w:tcW w:w="625" w:type="pct"/>
          </w:tcPr>
          <w:p w14:paraId="1D014A4A" w14:textId="77777777" w:rsidR="002233A5" w:rsidRPr="006F3533" w:rsidRDefault="002233A5" w:rsidP="00077D42">
            <w:pPr>
              <w:jc w:val="both"/>
              <w:rPr>
                <w:rFonts w:eastAsia="Times New Roman" w:cs="Times New Roman"/>
                <w:szCs w:val="24"/>
                <w:lang w:val="bg-BG"/>
              </w:rPr>
            </w:pPr>
          </w:p>
        </w:tc>
        <w:tc>
          <w:tcPr>
            <w:tcW w:w="625" w:type="pct"/>
          </w:tcPr>
          <w:p w14:paraId="558BA89C" w14:textId="77777777" w:rsidR="002233A5" w:rsidRPr="006F3533" w:rsidRDefault="002233A5" w:rsidP="00077D42">
            <w:pPr>
              <w:jc w:val="both"/>
              <w:rPr>
                <w:rFonts w:eastAsia="Times New Roman" w:cs="Times New Roman"/>
                <w:szCs w:val="24"/>
                <w:lang w:val="bg-BG"/>
              </w:rPr>
            </w:pPr>
          </w:p>
        </w:tc>
        <w:tc>
          <w:tcPr>
            <w:tcW w:w="625" w:type="pct"/>
          </w:tcPr>
          <w:p w14:paraId="69D05D8F" w14:textId="77777777" w:rsidR="002233A5" w:rsidRPr="006F3533" w:rsidRDefault="002233A5" w:rsidP="00077D42">
            <w:pPr>
              <w:jc w:val="both"/>
              <w:rPr>
                <w:rFonts w:eastAsia="Times New Roman" w:cs="Times New Roman"/>
                <w:szCs w:val="24"/>
                <w:lang w:val="bg-BG"/>
              </w:rPr>
            </w:pPr>
          </w:p>
        </w:tc>
      </w:tr>
      <w:tr w:rsidR="002233A5" w:rsidRPr="006F3533" w14:paraId="38A54F7F" w14:textId="77777777" w:rsidTr="00552DC2">
        <w:trPr>
          <w:trHeight w:val="300"/>
        </w:trPr>
        <w:tc>
          <w:tcPr>
            <w:tcW w:w="463" w:type="pct"/>
          </w:tcPr>
          <w:p w14:paraId="63EBD471" w14:textId="77777777" w:rsidR="002233A5" w:rsidRPr="006F3533" w:rsidRDefault="002233A5" w:rsidP="00077D42">
            <w:pPr>
              <w:jc w:val="both"/>
              <w:rPr>
                <w:rFonts w:eastAsia="Times New Roman" w:cs="Times New Roman"/>
                <w:szCs w:val="24"/>
                <w:lang w:val="bg-BG"/>
              </w:rPr>
            </w:pPr>
          </w:p>
        </w:tc>
        <w:tc>
          <w:tcPr>
            <w:tcW w:w="787" w:type="pct"/>
            <w:tcBorders>
              <w:top w:val="single" w:sz="4" w:space="0" w:color="auto"/>
              <w:left w:val="nil"/>
              <w:bottom w:val="single" w:sz="4" w:space="0" w:color="auto"/>
              <w:right w:val="nil"/>
            </w:tcBorders>
            <w:vAlign w:val="bottom"/>
          </w:tcPr>
          <w:p w14:paraId="6941CF6F" w14:textId="141E2E22" w:rsidR="002233A5" w:rsidRPr="006F3533" w:rsidRDefault="002233A5" w:rsidP="00077D42">
            <w:pPr>
              <w:jc w:val="both"/>
              <w:rPr>
                <w:rFonts w:eastAsia="Times New Roman" w:cs="Times New Roman"/>
                <w:szCs w:val="24"/>
                <w:lang w:val="bg-BG"/>
              </w:rPr>
            </w:pPr>
            <w:proofErr w:type="spellStart"/>
            <w:r w:rsidRPr="006F3533">
              <w:rPr>
                <w:rFonts w:eastAsia="Times New Roman" w:cs="Times New Roman"/>
                <w:szCs w:val="24"/>
                <w:lang w:val="bg-BG"/>
              </w:rPr>
              <w:t>culture</w:t>
            </w:r>
            <w:proofErr w:type="spellEnd"/>
            <w:r w:rsidRPr="006F3533">
              <w:rPr>
                <w:rFonts w:eastAsia="Times New Roman" w:cs="Times New Roman"/>
                <w:szCs w:val="24"/>
                <w:lang w:val="bg-BG"/>
              </w:rPr>
              <w:t xml:space="preserve"> and </w:t>
            </w:r>
            <w:proofErr w:type="spellStart"/>
            <w:r w:rsidRPr="006F3533">
              <w:rPr>
                <w:rFonts w:eastAsia="Times New Roman" w:cs="Times New Roman"/>
                <w:szCs w:val="24"/>
                <w:lang w:val="bg-BG"/>
              </w:rPr>
              <w:t>art</w:t>
            </w:r>
            <w:proofErr w:type="spellEnd"/>
            <w:r w:rsidRPr="006F3533">
              <w:rPr>
                <w:rFonts w:eastAsia="Times New Roman" w:cs="Times New Roman"/>
                <w:szCs w:val="24"/>
                <w:lang w:val="bg-BG"/>
              </w:rPr>
              <w:t xml:space="preserve"> </w:t>
            </w:r>
            <w:proofErr w:type="spellStart"/>
            <w:r w:rsidRPr="006F3533">
              <w:rPr>
                <w:rFonts w:eastAsia="Times New Roman" w:cs="Times New Roman"/>
                <w:szCs w:val="24"/>
                <w:lang w:val="bg-BG"/>
              </w:rPr>
              <w:t>buildings</w:t>
            </w:r>
            <w:proofErr w:type="spellEnd"/>
          </w:p>
        </w:tc>
        <w:tc>
          <w:tcPr>
            <w:tcW w:w="625" w:type="pct"/>
          </w:tcPr>
          <w:p w14:paraId="1CBFD41B" w14:textId="77777777" w:rsidR="002233A5" w:rsidRPr="006F3533" w:rsidRDefault="002233A5" w:rsidP="00077D42">
            <w:pPr>
              <w:jc w:val="both"/>
              <w:rPr>
                <w:rFonts w:eastAsia="Times New Roman" w:cs="Times New Roman"/>
                <w:szCs w:val="24"/>
                <w:lang w:val="bg-BG"/>
              </w:rPr>
            </w:pPr>
          </w:p>
        </w:tc>
        <w:tc>
          <w:tcPr>
            <w:tcW w:w="625" w:type="pct"/>
          </w:tcPr>
          <w:p w14:paraId="0638D02D" w14:textId="01796CFC" w:rsidR="002233A5" w:rsidRPr="006F3533" w:rsidRDefault="00990B39" w:rsidP="00077D42">
            <w:pPr>
              <w:jc w:val="both"/>
              <w:rPr>
                <w:rFonts w:eastAsia="Times New Roman" w:cs="Times New Roman"/>
                <w:szCs w:val="24"/>
                <w:lang w:val="bg-BG"/>
              </w:rPr>
            </w:pPr>
            <w:r w:rsidRPr="006F3533">
              <w:rPr>
                <w:rFonts w:eastAsia="Times New Roman" w:cs="Times New Roman"/>
                <w:szCs w:val="24"/>
                <w:lang w:val="bg-BG"/>
              </w:rPr>
              <w:t>220</w:t>
            </w:r>
          </w:p>
        </w:tc>
        <w:tc>
          <w:tcPr>
            <w:tcW w:w="625" w:type="pct"/>
          </w:tcPr>
          <w:p w14:paraId="4C9702F2" w14:textId="77777777" w:rsidR="002233A5" w:rsidRPr="006F3533" w:rsidRDefault="002233A5" w:rsidP="00077D42">
            <w:pPr>
              <w:jc w:val="both"/>
              <w:rPr>
                <w:rFonts w:eastAsia="Times New Roman" w:cs="Times New Roman"/>
                <w:szCs w:val="24"/>
                <w:lang w:val="bg-BG"/>
              </w:rPr>
            </w:pPr>
          </w:p>
        </w:tc>
        <w:tc>
          <w:tcPr>
            <w:tcW w:w="625" w:type="pct"/>
          </w:tcPr>
          <w:p w14:paraId="5858EB62" w14:textId="77777777" w:rsidR="002233A5" w:rsidRPr="006F3533" w:rsidRDefault="002233A5" w:rsidP="00077D42">
            <w:pPr>
              <w:jc w:val="both"/>
              <w:rPr>
                <w:rFonts w:eastAsia="Times New Roman" w:cs="Times New Roman"/>
                <w:szCs w:val="24"/>
                <w:lang w:val="bg-BG"/>
              </w:rPr>
            </w:pPr>
          </w:p>
        </w:tc>
        <w:tc>
          <w:tcPr>
            <w:tcW w:w="625" w:type="pct"/>
          </w:tcPr>
          <w:p w14:paraId="664AF6E6" w14:textId="77777777" w:rsidR="002233A5" w:rsidRPr="006F3533" w:rsidRDefault="002233A5" w:rsidP="00077D42">
            <w:pPr>
              <w:jc w:val="both"/>
              <w:rPr>
                <w:rFonts w:eastAsia="Times New Roman" w:cs="Times New Roman"/>
                <w:szCs w:val="24"/>
                <w:lang w:val="bg-BG"/>
              </w:rPr>
            </w:pPr>
          </w:p>
        </w:tc>
        <w:tc>
          <w:tcPr>
            <w:tcW w:w="625" w:type="pct"/>
          </w:tcPr>
          <w:p w14:paraId="64EECFC3" w14:textId="77777777" w:rsidR="002233A5" w:rsidRPr="006F3533" w:rsidRDefault="002233A5" w:rsidP="00077D42">
            <w:pPr>
              <w:jc w:val="both"/>
              <w:rPr>
                <w:rFonts w:eastAsia="Times New Roman" w:cs="Times New Roman"/>
                <w:szCs w:val="24"/>
                <w:lang w:val="bg-BG"/>
              </w:rPr>
            </w:pPr>
          </w:p>
        </w:tc>
      </w:tr>
    </w:tbl>
    <w:p w14:paraId="79CF5ACC" w14:textId="77777777" w:rsidR="002233A5" w:rsidRPr="006F3533" w:rsidRDefault="002233A5" w:rsidP="00077D42">
      <w:pPr>
        <w:jc w:val="both"/>
        <w:rPr>
          <w:rFonts w:cs="Times New Roman"/>
          <w:szCs w:val="24"/>
          <w:lang w:val="bg-BG"/>
        </w:rPr>
      </w:pPr>
    </w:p>
    <w:p w14:paraId="69375F13" w14:textId="64DC7DB4" w:rsidR="00701E7F" w:rsidRPr="006F3533" w:rsidRDefault="00701E7F" w:rsidP="00077D42">
      <w:pPr>
        <w:jc w:val="both"/>
        <w:rPr>
          <w:rFonts w:cs="Times New Roman"/>
          <w:szCs w:val="24"/>
          <w:lang w:val="bg-BG"/>
        </w:rPr>
      </w:pPr>
      <w:r w:rsidRPr="006F3533">
        <w:rPr>
          <w:rFonts w:cs="Times New Roman"/>
          <w:szCs w:val="24"/>
          <w:lang w:val="bg-BG"/>
        </w:rPr>
        <w:br w:type="page"/>
      </w:r>
    </w:p>
    <w:p w14:paraId="2662AC63" w14:textId="242320DC" w:rsidR="00AC2FEA" w:rsidRPr="006F3533" w:rsidRDefault="009721A1" w:rsidP="00077D42">
      <w:pPr>
        <w:pStyle w:val="Heading1"/>
        <w:jc w:val="both"/>
        <w:rPr>
          <w:lang w:val="bg-BG"/>
        </w:rPr>
      </w:pPr>
      <w:bookmarkStart w:id="168" w:name="_Toc217888806"/>
      <w:r w:rsidRPr="006F3533">
        <w:rPr>
          <w:lang w:val="bg-BG"/>
        </w:rPr>
        <w:lastRenderedPageBreak/>
        <w:t>Пътна карта за</w:t>
      </w:r>
      <w:r w:rsidR="002C7B36" w:rsidRPr="006F3533">
        <w:rPr>
          <w:lang w:val="bg-BG"/>
        </w:rPr>
        <w:t xml:space="preserve"> 2030, 2040 </w:t>
      </w:r>
      <w:r w:rsidRPr="006F3533">
        <w:rPr>
          <w:lang w:val="bg-BG"/>
        </w:rPr>
        <w:t>и</w:t>
      </w:r>
      <w:r w:rsidR="002C7B36" w:rsidRPr="006F3533">
        <w:rPr>
          <w:lang w:val="bg-BG"/>
        </w:rPr>
        <w:t xml:space="preserve"> 2050</w:t>
      </w:r>
      <w:r w:rsidRPr="006F3533">
        <w:rPr>
          <w:lang w:val="bg-BG"/>
        </w:rPr>
        <w:t xml:space="preserve"> г.</w:t>
      </w:r>
      <w:bookmarkEnd w:id="168"/>
      <w:r w:rsidRPr="006F3533">
        <w:rPr>
          <w:lang w:val="bg-BG"/>
        </w:rPr>
        <w:t xml:space="preserve"> </w:t>
      </w:r>
    </w:p>
    <w:p w14:paraId="2A9A7ECB" w14:textId="77777777" w:rsidR="002A265A" w:rsidRPr="006F3533" w:rsidRDefault="002A265A" w:rsidP="002A265A">
      <w:pPr>
        <w:spacing w:before="100" w:beforeAutospacing="1" w:after="100" w:afterAutospacing="1" w:line="240" w:lineRule="auto"/>
        <w:jc w:val="both"/>
        <w:rPr>
          <w:rFonts w:eastAsia="Times New Roman" w:cs="Times New Roman"/>
          <w:szCs w:val="24"/>
          <w:lang w:val="bg-BG" w:eastAsia="en-GB"/>
        </w:rPr>
      </w:pPr>
      <w:bookmarkStart w:id="169" w:name="_Toc217837155"/>
      <w:r w:rsidRPr="006F3533">
        <w:rPr>
          <w:rFonts w:eastAsia="Times New Roman" w:cs="Times New Roman"/>
          <w:b/>
          <w:bCs/>
          <w:sz w:val="28"/>
          <w:szCs w:val="28"/>
          <w:lang w:val="bg-BG"/>
        </w:rPr>
        <w:t>Очаквани спестявания на крайна и първична енергия от обновяването на нежилищния сграден фонд – по типове сгради</w:t>
      </w:r>
      <w:bookmarkEnd w:id="169"/>
      <w:r w:rsidRPr="006F3533">
        <w:rPr>
          <w:rFonts w:eastAsia="Times New Roman" w:cs="Times New Roman"/>
          <w:szCs w:val="24"/>
          <w:lang w:val="bg-BG" w:eastAsia="en-GB"/>
        </w:rPr>
        <w:t xml:space="preserve"> </w:t>
      </w:r>
    </w:p>
    <w:p w14:paraId="4EB61089" w14:textId="10DDDE01" w:rsidR="002A265A" w:rsidRPr="006F3533" w:rsidRDefault="002A265A" w:rsidP="002A265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Настоящата точка представя очакваните спестявания на крайна и първична енергия за нежилищния и жилищния сграден фонд в България в периода до 2030 г., с междинна перспектива към 2040 г. и дългосрочна цел до 2050 г. </w:t>
      </w:r>
    </w:p>
    <w:p w14:paraId="39A5270B" w14:textId="77777777" w:rsidR="002A265A" w:rsidRPr="006F3533" w:rsidRDefault="002A265A" w:rsidP="002A265A">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Нежилищни сгради</w:t>
      </w:r>
    </w:p>
    <w:p w14:paraId="0FD7B195" w14:textId="77777777" w:rsidR="002A265A" w:rsidRPr="006F3533" w:rsidRDefault="002A265A" w:rsidP="002A265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Изчисляването на спестяванията е извършено поетапно, като основен обект на анализа е крайното енергийно потребление, а първичната енергия е изведена като производна величина. Първоначално са определени целевите стойности за крайно годишно потребление на енергия</w:t>
      </w:r>
      <w:r w:rsidRPr="006F3533">
        <w:rPr>
          <w:rFonts w:eastAsia="Times New Roman" w:cs="Times New Roman"/>
          <w:b/>
          <w:bCs/>
          <w:szCs w:val="24"/>
          <w:lang w:val="bg-BG" w:eastAsia="en-GB"/>
        </w:rPr>
        <w:t xml:space="preserve"> </w:t>
      </w:r>
      <w:r w:rsidRPr="006F3533">
        <w:rPr>
          <w:rFonts w:eastAsia="Times New Roman" w:cs="Times New Roman"/>
          <w:szCs w:val="24"/>
          <w:lang w:val="bg-BG" w:eastAsia="en-GB"/>
        </w:rPr>
        <w:t>(</w:t>
      </w:r>
      <w:proofErr w:type="spellStart"/>
      <w:r w:rsidRPr="006F3533">
        <w:rPr>
          <w:rFonts w:eastAsia="Times New Roman" w:cs="Times New Roman"/>
          <w:szCs w:val="24"/>
          <w:lang w:val="bg-BG" w:eastAsia="en-GB"/>
        </w:rPr>
        <w:t>ktoe</w:t>
      </w:r>
      <w:proofErr w:type="spellEnd"/>
      <w:r w:rsidRPr="006F3533">
        <w:rPr>
          <w:rFonts w:eastAsia="Times New Roman" w:cs="Times New Roman"/>
          <w:szCs w:val="24"/>
          <w:lang w:val="bg-BG" w:eastAsia="en-GB"/>
        </w:rPr>
        <w:t>) за нежилищните сгради, въз основа на очакваното изменение в разпределението на сградния фонд по енергийни класове (Таблица 15b), което е съобразено с обновената площ (Таблица 15a). На следващ етап, върху получените стойности за крайна енергия са приложени фактори за първична енергия, с което са изчислени съответните стойности за първична енергия, представени в по-нататък в Таблица 17.</w:t>
      </w:r>
    </w:p>
    <w:p w14:paraId="60C459C6" w14:textId="77777777" w:rsidR="002A265A" w:rsidRPr="006F3533" w:rsidRDefault="002A265A" w:rsidP="002A265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Очакваното крайно енергийно потребление за съответните години е изчислено въз основа на прогнозното разпределение на площта по енергийни класове и характерните нива на специфично потребление на енергия за всеки клас. Получените стойности отразяват нетния ефект от обновяването на съществуващия сграден фонд, въвеждането на нови високоефективни сгради и извеждането от експлоатация на част от стария фонд.</w:t>
      </w:r>
    </w:p>
    <w:p w14:paraId="67B4E70E" w14:textId="77777777" w:rsidR="002A265A" w:rsidRPr="006F3533" w:rsidRDefault="002A265A" w:rsidP="002A265A">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Жилищни сгради</w:t>
      </w:r>
    </w:p>
    <w:p w14:paraId="2210F408" w14:textId="77777777" w:rsidR="002A265A" w:rsidRPr="006F3533" w:rsidRDefault="002A265A" w:rsidP="002A265A">
      <w:pPr>
        <w:spacing w:after="0"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За жилищните сгради водещо е изискването на Директива (ЕС) 2024/1275 на Европейския парламент и на Съвета от 24 април 2024 година относно енергийните характеристики на сградите (преработен текст) и по-конкретно член 9 ал.2 за намаление на средното потребление на първична енергия в </w:t>
      </w:r>
      <w:proofErr w:type="spellStart"/>
      <w:r w:rsidRPr="006F3533">
        <w:rPr>
          <w:rFonts w:eastAsia="Times New Roman" w:cs="Times New Roman"/>
          <w:szCs w:val="24"/>
          <w:lang w:val="bg-BG" w:eastAsia="en-GB"/>
        </w:rPr>
        <w:t>kWh</w:t>
      </w:r>
      <w:proofErr w:type="spellEnd"/>
      <w:r w:rsidRPr="006F3533">
        <w:rPr>
          <w:rFonts w:eastAsia="Times New Roman" w:cs="Times New Roman"/>
          <w:szCs w:val="24"/>
          <w:lang w:val="bg-BG" w:eastAsia="en-GB"/>
        </w:rPr>
        <w:t>/(m2.г.) на целия жилищен сграден фонд:</w:t>
      </w:r>
    </w:p>
    <w:p w14:paraId="7F6E989D" w14:textId="77777777" w:rsidR="002A265A" w:rsidRPr="006F3533" w:rsidRDefault="002A265A" w:rsidP="00551FED">
      <w:pPr>
        <w:numPr>
          <w:ilvl w:val="0"/>
          <w:numId w:val="119"/>
        </w:numPr>
        <w:spacing w:after="0" w:line="240" w:lineRule="auto"/>
        <w:contextualSpacing/>
        <w:jc w:val="both"/>
        <w:rPr>
          <w:rFonts w:eastAsia="Times New Roman" w:cs="Times New Roman"/>
          <w:szCs w:val="24"/>
          <w:lang w:val="bg-BG" w:eastAsia="en-GB"/>
        </w:rPr>
      </w:pPr>
      <w:r w:rsidRPr="006F3533">
        <w:rPr>
          <w:rFonts w:eastAsia="Times New Roman" w:cs="Times New Roman"/>
          <w:szCs w:val="24"/>
          <w:lang w:val="bg-BG" w:eastAsia="en-GB"/>
        </w:rPr>
        <w:t>с най-малко 16 % до 2030 г. в сравнение с 2020 г.;</w:t>
      </w:r>
    </w:p>
    <w:p w14:paraId="50E1CAB3" w14:textId="77777777" w:rsidR="002A265A" w:rsidRPr="006F3533" w:rsidRDefault="002A265A" w:rsidP="00551FED">
      <w:pPr>
        <w:numPr>
          <w:ilvl w:val="0"/>
          <w:numId w:val="119"/>
        </w:numPr>
        <w:spacing w:after="0" w:line="240" w:lineRule="auto"/>
        <w:contextualSpacing/>
        <w:jc w:val="both"/>
        <w:rPr>
          <w:rFonts w:eastAsia="Times New Roman" w:cs="Times New Roman"/>
          <w:szCs w:val="24"/>
          <w:lang w:val="bg-BG" w:eastAsia="en-GB"/>
        </w:rPr>
      </w:pPr>
      <w:r w:rsidRPr="006F3533">
        <w:rPr>
          <w:rFonts w:eastAsia="Times New Roman" w:cs="Times New Roman"/>
          <w:szCs w:val="24"/>
          <w:lang w:val="bg-BG" w:eastAsia="en-GB"/>
        </w:rPr>
        <w:t>с най-малко 20—22 % до 2035 г. в сравнение с 2020 г..</w:t>
      </w:r>
    </w:p>
    <w:p w14:paraId="012A250D" w14:textId="77777777" w:rsidR="002A265A" w:rsidRPr="006F3533" w:rsidRDefault="002A265A" w:rsidP="002A265A">
      <w:pPr>
        <w:autoSpaceDE w:val="0"/>
        <w:autoSpaceDN w:val="0"/>
        <w:adjustRightInd w:val="0"/>
        <w:spacing w:after="0" w:line="240" w:lineRule="auto"/>
        <w:jc w:val="both"/>
        <w:rPr>
          <w:rFonts w:ascii="Calibri" w:eastAsia="Times New Roman" w:hAnsi="Calibri" w:cs="Times New Roman"/>
          <w:color w:val="000000"/>
          <w:szCs w:val="24"/>
          <w:lang w:val="bg-BG" w:eastAsia="en-GB"/>
        </w:rPr>
      </w:pPr>
      <w:r w:rsidRPr="006F3533">
        <w:rPr>
          <w:rFonts w:eastAsia="Times New Roman" w:cs="Times New Roman"/>
          <w:szCs w:val="24"/>
          <w:lang w:val="bg-BG" w:eastAsia="en-GB"/>
        </w:rPr>
        <w:t xml:space="preserve">Потреблението на първична енергия (ПЕП) на сектор Домакинства за 2020 г. възлиза на 4 137,12 </w:t>
      </w:r>
      <w:proofErr w:type="spellStart"/>
      <w:r w:rsidRPr="006F3533">
        <w:rPr>
          <w:rFonts w:eastAsia="Times New Roman" w:cs="Times New Roman"/>
          <w:szCs w:val="24"/>
          <w:lang w:val="bg-BG" w:eastAsia="en-GB"/>
        </w:rPr>
        <w:t>ktoe</w:t>
      </w:r>
      <w:proofErr w:type="spellEnd"/>
      <w:r w:rsidRPr="006F3533">
        <w:rPr>
          <w:rFonts w:eastAsia="Times New Roman" w:cs="Times New Roman"/>
          <w:szCs w:val="24"/>
          <w:lang w:val="bg-BG" w:eastAsia="en-GB"/>
        </w:rPr>
        <w:t xml:space="preserve">, като очакваните спестявания в резултат от планираното саниране на националния жилищен фонд възлизат на 663 </w:t>
      </w:r>
      <w:proofErr w:type="spellStart"/>
      <w:r w:rsidRPr="006F3533">
        <w:rPr>
          <w:rFonts w:eastAsia="Times New Roman" w:cs="Times New Roman"/>
          <w:szCs w:val="24"/>
          <w:lang w:val="bg-BG" w:eastAsia="en-GB"/>
        </w:rPr>
        <w:t>ktoe</w:t>
      </w:r>
      <w:proofErr w:type="spellEnd"/>
      <w:r w:rsidRPr="006F3533">
        <w:rPr>
          <w:rFonts w:eastAsia="Times New Roman" w:cs="Times New Roman"/>
          <w:szCs w:val="24"/>
          <w:lang w:val="bg-BG" w:eastAsia="en-GB"/>
        </w:rPr>
        <w:t xml:space="preserve">. Преобразуването към крайно енергийно потребление е извършено чрез прилагане на съотношението между КЕП и ПЕП от 57,4 % за 2023 г., съгласно публикувания през март 2025 г. от АУЕР Анализ на </w:t>
      </w:r>
      <w:r w:rsidRPr="006F3533">
        <w:rPr>
          <w:rFonts w:ascii="Calibri" w:eastAsia="Times New Roman" w:hAnsi="Calibri" w:cs="Times New Roman"/>
          <w:szCs w:val="24"/>
          <w:lang w:val="bg-BG" w:eastAsia="en-GB"/>
        </w:rPr>
        <w:t>състоянието на енергийната ефективност в страната и на годишния напредък по изпълнението на политиката и мерките за повишаване на енергийната ефективност през 2024 г. в България.</w:t>
      </w:r>
      <w:r w:rsidRPr="006F3533">
        <w:rPr>
          <w:rFonts w:ascii="Calibri" w:hAnsi="Calibri" w:cs="Calibri"/>
          <w:color w:val="313D4F"/>
          <w:sz w:val="52"/>
          <w:szCs w:val="52"/>
          <w:lang w:val="bg-BG"/>
        </w:rPr>
        <w:t xml:space="preserve"> </w:t>
      </w:r>
    </w:p>
    <w:p w14:paraId="48DC060A" w14:textId="77777777" w:rsidR="002A265A" w:rsidRPr="006F3533" w:rsidRDefault="002A265A" w:rsidP="002A265A">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p>
    <w:p w14:paraId="3BE08ED1" w14:textId="77777777" w:rsidR="002A265A" w:rsidRPr="006F3533" w:rsidRDefault="002A265A" w:rsidP="007C37A7">
      <w:pPr>
        <w:spacing w:line="240" w:lineRule="auto"/>
        <w:contextualSpacing/>
        <w:jc w:val="both"/>
        <w:rPr>
          <w:rFonts w:cs="Times New Roman"/>
          <w:i/>
          <w:iCs/>
          <w:color w:val="4472C4" w:themeColor="accent1"/>
          <w:szCs w:val="24"/>
          <w:lang w:val="bg-BG"/>
        </w:rPr>
      </w:pPr>
      <w:r w:rsidRPr="006F3533">
        <w:rPr>
          <w:rFonts w:cs="Times New Roman"/>
          <w:i/>
          <w:iCs/>
          <w:color w:val="4472C4" w:themeColor="accent1"/>
          <w:szCs w:val="24"/>
          <w:lang w:val="bg-BG"/>
        </w:rPr>
        <w:lastRenderedPageBreak/>
        <w:t>Таблица 15. Цели за очакваното първично и крайно потребление на енергия в сградите за периода 2030-2050 г. – разпределение по типове сгради</w:t>
      </w:r>
    </w:p>
    <w:p w14:paraId="08DEBD72" w14:textId="77777777" w:rsidR="007C37A7" w:rsidRPr="006F3533" w:rsidRDefault="007C37A7" w:rsidP="007C37A7">
      <w:pPr>
        <w:spacing w:line="240" w:lineRule="auto"/>
        <w:contextualSpacing/>
        <w:jc w:val="both"/>
        <w:rPr>
          <w:rFonts w:cs="Times New Roman"/>
          <w:i/>
          <w:iCs/>
          <w:szCs w:val="24"/>
          <w:lang w:val="bg-BG"/>
        </w:rPr>
      </w:pPr>
    </w:p>
    <w:tbl>
      <w:tblPr>
        <w:tblStyle w:val="TableGrid"/>
        <w:tblW w:w="5000" w:type="pct"/>
        <w:tblLook w:val="04A0" w:firstRow="1" w:lastRow="0" w:firstColumn="1" w:lastColumn="0" w:noHBand="0" w:noVBand="1"/>
      </w:tblPr>
      <w:tblGrid>
        <w:gridCol w:w="675"/>
        <w:gridCol w:w="2203"/>
        <w:gridCol w:w="660"/>
        <w:gridCol w:w="991"/>
        <w:gridCol w:w="830"/>
        <w:gridCol w:w="830"/>
        <w:gridCol w:w="991"/>
        <w:gridCol w:w="941"/>
        <w:gridCol w:w="941"/>
      </w:tblGrid>
      <w:tr w:rsidR="002A265A" w:rsidRPr="006F3533" w14:paraId="7BFC83B1" w14:textId="77777777" w:rsidTr="007C37A7">
        <w:trPr>
          <w:trHeight w:val="300"/>
        </w:trPr>
        <w:tc>
          <w:tcPr>
            <w:tcW w:w="380" w:type="pct"/>
            <w:vMerge w:val="restart"/>
            <w:shd w:val="clear" w:color="auto" w:fill="D9D9D9" w:themeFill="background1" w:themeFillShade="D9"/>
          </w:tcPr>
          <w:p w14:paraId="30D3BD6C" w14:textId="77777777" w:rsidR="002A265A" w:rsidRPr="006F3533" w:rsidRDefault="002A265A" w:rsidP="00541E06">
            <w:pPr>
              <w:contextualSpacing/>
              <w:jc w:val="center"/>
              <w:rPr>
                <w:rFonts w:cs="Times New Roman"/>
                <w:sz w:val="22"/>
                <w:lang w:val="bg-BG"/>
              </w:rPr>
            </w:pPr>
            <w:proofErr w:type="spellStart"/>
            <w:r w:rsidRPr="006F3533">
              <w:rPr>
                <w:rFonts w:cs="Times New Roman"/>
                <w:sz w:val="22"/>
                <w:lang w:val="bg-BG"/>
              </w:rPr>
              <w:t>Code</w:t>
            </w:r>
            <w:proofErr w:type="spellEnd"/>
          </w:p>
        </w:tc>
        <w:tc>
          <w:tcPr>
            <w:tcW w:w="1292" w:type="pct"/>
            <w:vMerge w:val="restart"/>
            <w:shd w:val="clear" w:color="auto" w:fill="D9D9D9" w:themeFill="background1" w:themeFillShade="D9"/>
          </w:tcPr>
          <w:p w14:paraId="46169560"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Building</w:t>
            </w:r>
          </w:p>
          <w:p w14:paraId="6B6D661B" w14:textId="77777777" w:rsidR="002A265A" w:rsidRPr="006F3533" w:rsidRDefault="002A265A" w:rsidP="00541E06">
            <w:pPr>
              <w:contextualSpacing/>
              <w:jc w:val="center"/>
              <w:rPr>
                <w:rFonts w:cs="Times New Roman"/>
                <w:sz w:val="22"/>
                <w:lang w:val="bg-BG"/>
              </w:rPr>
            </w:pPr>
            <w:proofErr w:type="spellStart"/>
            <w:r w:rsidRPr="006F3533">
              <w:rPr>
                <w:rFonts w:cs="Times New Roman"/>
                <w:sz w:val="22"/>
                <w:lang w:val="bg-BG"/>
              </w:rPr>
              <w:t>Type</w:t>
            </w:r>
            <w:proofErr w:type="spellEnd"/>
          </w:p>
        </w:tc>
        <w:tc>
          <w:tcPr>
            <w:tcW w:w="380" w:type="pct"/>
            <w:vMerge w:val="restart"/>
            <w:shd w:val="clear" w:color="auto" w:fill="D9D9D9" w:themeFill="background1" w:themeFillShade="D9"/>
          </w:tcPr>
          <w:p w14:paraId="5EF2F8AB"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M/</w:t>
            </w:r>
          </w:p>
          <w:p w14:paraId="2A3A9077" w14:textId="77777777" w:rsidR="002A265A" w:rsidRPr="006F3533" w:rsidRDefault="002A265A" w:rsidP="00541E06">
            <w:pPr>
              <w:contextualSpacing/>
              <w:jc w:val="center"/>
              <w:rPr>
                <w:rFonts w:cs="Times New Roman"/>
                <w:sz w:val="22"/>
                <w:lang w:val="bg-BG"/>
              </w:rPr>
            </w:pPr>
            <w:proofErr w:type="spellStart"/>
            <w:r w:rsidRPr="006F3533">
              <w:rPr>
                <w:rFonts w:cs="Times New Roman"/>
                <w:sz w:val="22"/>
                <w:lang w:val="bg-BG"/>
              </w:rPr>
              <w:t>Miav</w:t>
            </w:r>
            <w:proofErr w:type="spellEnd"/>
          </w:p>
        </w:tc>
        <w:tc>
          <w:tcPr>
            <w:tcW w:w="1444" w:type="pct"/>
            <w:gridSpan w:val="3"/>
            <w:shd w:val="clear" w:color="auto" w:fill="D9D9D9" w:themeFill="background1" w:themeFillShade="D9"/>
          </w:tcPr>
          <w:p w14:paraId="23C4DEA1" w14:textId="3A9EF638" w:rsidR="002A265A" w:rsidRPr="006F3533" w:rsidRDefault="002A265A" w:rsidP="00541E06">
            <w:pPr>
              <w:contextualSpacing/>
              <w:jc w:val="center"/>
              <w:rPr>
                <w:rFonts w:cs="Times New Roman"/>
                <w:sz w:val="22"/>
                <w:lang w:val="bg-BG"/>
              </w:rPr>
            </w:pPr>
            <w:proofErr w:type="spellStart"/>
            <w:r w:rsidRPr="006F3533">
              <w:rPr>
                <w:rFonts w:cs="Times New Roman"/>
                <w:sz w:val="22"/>
                <w:lang w:val="bg-BG"/>
              </w:rPr>
              <w:t>Final</w:t>
            </w:r>
            <w:proofErr w:type="spellEnd"/>
            <w:r w:rsidRPr="006F3533">
              <w:rPr>
                <w:rFonts w:cs="Times New Roman"/>
                <w:sz w:val="22"/>
                <w:lang w:val="bg-BG"/>
              </w:rPr>
              <w:t xml:space="preserve"> </w:t>
            </w:r>
            <w:proofErr w:type="spellStart"/>
            <w:r w:rsidRPr="006F3533">
              <w:rPr>
                <w:rFonts w:cs="Times New Roman"/>
                <w:sz w:val="22"/>
                <w:lang w:val="bg-BG"/>
              </w:rPr>
              <w:t>energy</w:t>
            </w:r>
            <w:proofErr w:type="spellEnd"/>
            <w:r w:rsidRPr="006F3533">
              <w:rPr>
                <w:rFonts w:cs="Times New Roman"/>
                <w:sz w:val="22"/>
                <w:lang w:val="bg-BG"/>
              </w:rPr>
              <w:t xml:space="preserve"> </w:t>
            </w:r>
            <w:proofErr w:type="spellStart"/>
            <w:r w:rsidRPr="006F3533">
              <w:rPr>
                <w:rFonts w:cs="Times New Roman"/>
                <w:sz w:val="22"/>
                <w:lang w:val="bg-BG"/>
              </w:rPr>
              <w:t>consumption</w:t>
            </w:r>
            <w:proofErr w:type="spellEnd"/>
            <w:r w:rsidRPr="006F3533">
              <w:rPr>
                <w:rFonts w:cs="Times New Roman"/>
                <w:sz w:val="22"/>
                <w:lang w:val="bg-BG"/>
              </w:rPr>
              <w:t xml:space="preserve"> </w:t>
            </w:r>
            <w:proofErr w:type="spellStart"/>
            <w:r w:rsidRPr="006F3533">
              <w:rPr>
                <w:rFonts w:cs="Times New Roman"/>
                <w:sz w:val="22"/>
                <w:lang w:val="bg-BG"/>
              </w:rPr>
              <w:t>targeted</w:t>
            </w:r>
            <w:proofErr w:type="spellEnd"/>
            <w:r w:rsidRPr="006F3533">
              <w:rPr>
                <w:rFonts w:cs="Times New Roman"/>
                <w:sz w:val="22"/>
                <w:lang w:val="bg-BG"/>
              </w:rPr>
              <w:t xml:space="preserve"> </w:t>
            </w:r>
            <w:proofErr w:type="spellStart"/>
            <w:r w:rsidRPr="006F3533">
              <w:rPr>
                <w:rFonts w:cs="Times New Roman"/>
                <w:sz w:val="22"/>
                <w:lang w:val="bg-BG"/>
              </w:rPr>
              <w:t>in</w:t>
            </w:r>
            <w:proofErr w:type="spellEnd"/>
            <w:r w:rsidRPr="006F3533">
              <w:rPr>
                <w:rFonts w:cs="Times New Roman"/>
                <w:sz w:val="22"/>
                <w:lang w:val="bg-BG"/>
              </w:rPr>
              <w:t xml:space="preserve"> 2030, 2040 and 2050</w:t>
            </w:r>
          </w:p>
          <w:p w14:paraId="529D7F35" w14:textId="77777777" w:rsidR="002A265A" w:rsidRPr="006F3533" w:rsidRDefault="002A265A" w:rsidP="00541E06">
            <w:pPr>
              <w:contextualSpacing/>
              <w:jc w:val="center"/>
              <w:rPr>
                <w:rFonts w:cs="Times New Roman"/>
                <w:sz w:val="22"/>
                <w:lang w:val="bg-BG"/>
              </w:rPr>
            </w:pPr>
            <w:proofErr w:type="spellStart"/>
            <w:r w:rsidRPr="006F3533">
              <w:rPr>
                <w:rFonts w:cs="Times New Roman"/>
                <w:sz w:val="22"/>
                <w:lang w:val="bg-BG"/>
              </w:rPr>
              <w:t>ktoe</w:t>
            </w:r>
            <w:proofErr w:type="spellEnd"/>
          </w:p>
        </w:tc>
        <w:tc>
          <w:tcPr>
            <w:tcW w:w="1504" w:type="pct"/>
            <w:gridSpan w:val="3"/>
            <w:shd w:val="clear" w:color="auto" w:fill="D9D9D9" w:themeFill="background1" w:themeFillShade="D9"/>
          </w:tcPr>
          <w:p w14:paraId="7F260159" w14:textId="77777777" w:rsidR="002A265A" w:rsidRPr="006F3533" w:rsidRDefault="002A265A" w:rsidP="00541E06">
            <w:pPr>
              <w:contextualSpacing/>
              <w:jc w:val="center"/>
              <w:rPr>
                <w:rFonts w:cs="Times New Roman"/>
                <w:sz w:val="22"/>
                <w:lang w:val="bg-BG"/>
              </w:rPr>
            </w:pPr>
            <w:proofErr w:type="spellStart"/>
            <w:r w:rsidRPr="006F3533">
              <w:rPr>
                <w:rFonts w:cs="Times New Roman"/>
                <w:sz w:val="22"/>
                <w:lang w:val="bg-BG"/>
              </w:rPr>
              <w:t>Primary</w:t>
            </w:r>
            <w:proofErr w:type="spellEnd"/>
            <w:r w:rsidRPr="006F3533">
              <w:rPr>
                <w:rFonts w:cs="Times New Roman"/>
                <w:sz w:val="22"/>
                <w:lang w:val="bg-BG"/>
              </w:rPr>
              <w:t xml:space="preserve"> </w:t>
            </w:r>
            <w:proofErr w:type="spellStart"/>
            <w:r w:rsidRPr="006F3533">
              <w:rPr>
                <w:rFonts w:cs="Times New Roman"/>
                <w:sz w:val="22"/>
                <w:lang w:val="bg-BG"/>
              </w:rPr>
              <w:t>energy</w:t>
            </w:r>
            <w:proofErr w:type="spellEnd"/>
            <w:r w:rsidRPr="006F3533">
              <w:rPr>
                <w:rFonts w:cs="Times New Roman"/>
                <w:sz w:val="22"/>
                <w:lang w:val="bg-BG"/>
              </w:rPr>
              <w:t xml:space="preserve"> </w:t>
            </w:r>
            <w:proofErr w:type="spellStart"/>
            <w:r w:rsidRPr="006F3533">
              <w:rPr>
                <w:rFonts w:cs="Times New Roman"/>
                <w:sz w:val="22"/>
                <w:lang w:val="bg-BG"/>
              </w:rPr>
              <w:t>consumption</w:t>
            </w:r>
            <w:proofErr w:type="spellEnd"/>
            <w:r w:rsidRPr="006F3533">
              <w:rPr>
                <w:rFonts w:cs="Times New Roman"/>
                <w:sz w:val="22"/>
                <w:lang w:val="bg-BG"/>
              </w:rPr>
              <w:t xml:space="preserve"> </w:t>
            </w:r>
            <w:proofErr w:type="spellStart"/>
            <w:r w:rsidRPr="006F3533">
              <w:rPr>
                <w:rFonts w:cs="Times New Roman"/>
                <w:sz w:val="22"/>
                <w:lang w:val="bg-BG"/>
              </w:rPr>
              <w:t>targeted</w:t>
            </w:r>
            <w:proofErr w:type="spellEnd"/>
            <w:r w:rsidRPr="006F3533">
              <w:rPr>
                <w:rFonts w:cs="Times New Roman"/>
                <w:sz w:val="22"/>
                <w:lang w:val="bg-BG"/>
              </w:rPr>
              <w:t xml:space="preserve"> </w:t>
            </w:r>
            <w:proofErr w:type="spellStart"/>
            <w:r w:rsidRPr="006F3533">
              <w:rPr>
                <w:rFonts w:cs="Times New Roman"/>
                <w:sz w:val="22"/>
                <w:lang w:val="bg-BG"/>
              </w:rPr>
              <w:t>in</w:t>
            </w:r>
            <w:proofErr w:type="spellEnd"/>
            <w:r w:rsidRPr="006F3533">
              <w:rPr>
                <w:rFonts w:cs="Times New Roman"/>
                <w:sz w:val="22"/>
                <w:lang w:val="bg-BG"/>
              </w:rPr>
              <w:t xml:space="preserve"> 2030, 2040 and 2050</w:t>
            </w:r>
            <w:r w:rsidRPr="006F3533">
              <w:rPr>
                <w:rFonts w:cs="Times New Roman"/>
                <w:sz w:val="22"/>
                <w:vertAlign w:val="superscript"/>
                <w:lang w:val="bg-BG"/>
              </w:rPr>
              <w:fldChar w:fldCharType="begin"/>
            </w:r>
            <w:r w:rsidRPr="006F3533">
              <w:rPr>
                <w:rFonts w:cs="Times New Roman"/>
                <w:sz w:val="22"/>
                <w:vertAlign w:val="superscript"/>
                <w:lang w:val="bg-BG"/>
              </w:rPr>
              <w:instrText xml:space="preserve"> NOTEREF _Ref182752805 \h  \* MERGEFORMAT </w:instrText>
            </w:r>
            <w:r w:rsidRPr="006F3533">
              <w:rPr>
                <w:rFonts w:cs="Times New Roman"/>
                <w:sz w:val="22"/>
                <w:vertAlign w:val="superscript"/>
                <w:lang w:val="bg-BG"/>
              </w:rPr>
            </w:r>
            <w:r w:rsidRPr="006F3533">
              <w:rPr>
                <w:rFonts w:cs="Times New Roman"/>
                <w:sz w:val="22"/>
                <w:vertAlign w:val="superscript"/>
                <w:lang w:val="bg-BG"/>
              </w:rPr>
              <w:fldChar w:fldCharType="separate"/>
            </w:r>
            <w:r w:rsidRPr="006F3533">
              <w:rPr>
                <w:rFonts w:cs="Times New Roman"/>
                <w:sz w:val="22"/>
                <w:vertAlign w:val="superscript"/>
                <w:lang w:val="bg-BG"/>
              </w:rPr>
              <w:t>27</w:t>
            </w:r>
            <w:r w:rsidRPr="006F3533">
              <w:rPr>
                <w:rFonts w:cs="Times New Roman"/>
                <w:sz w:val="22"/>
                <w:vertAlign w:val="superscript"/>
                <w:lang w:val="bg-BG"/>
              </w:rPr>
              <w:fldChar w:fldCharType="end"/>
            </w:r>
          </w:p>
          <w:p w14:paraId="700E9F27"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 xml:space="preserve"> </w:t>
            </w:r>
            <w:proofErr w:type="spellStart"/>
            <w:r w:rsidRPr="006F3533">
              <w:rPr>
                <w:rFonts w:cs="Times New Roman"/>
                <w:sz w:val="22"/>
                <w:lang w:val="bg-BG"/>
              </w:rPr>
              <w:t>ktoe</w:t>
            </w:r>
            <w:proofErr w:type="spellEnd"/>
          </w:p>
        </w:tc>
      </w:tr>
      <w:tr w:rsidR="002A265A" w:rsidRPr="006F3533" w14:paraId="495F490A" w14:textId="77777777" w:rsidTr="007C37A7">
        <w:trPr>
          <w:trHeight w:val="300"/>
        </w:trPr>
        <w:tc>
          <w:tcPr>
            <w:tcW w:w="380" w:type="pct"/>
            <w:vMerge/>
            <w:shd w:val="clear" w:color="auto" w:fill="D9D9D9" w:themeFill="background1" w:themeFillShade="D9"/>
          </w:tcPr>
          <w:p w14:paraId="21550621" w14:textId="77777777" w:rsidR="002A265A" w:rsidRPr="006F3533" w:rsidRDefault="002A265A" w:rsidP="00541E06">
            <w:pPr>
              <w:contextualSpacing/>
              <w:jc w:val="center"/>
              <w:rPr>
                <w:rFonts w:cs="Times New Roman"/>
                <w:sz w:val="22"/>
                <w:lang w:val="bg-BG"/>
              </w:rPr>
            </w:pPr>
          </w:p>
        </w:tc>
        <w:tc>
          <w:tcPr>
            <w:tcW w:w="1292" w:type="pct"/>
            <w:vMerge/>
            <w:shd w:val="clear" w:color="auto" w:fill="D9D9D9" w:themeFill="background1" w:themeFillShade="D9"/>
          </w:tcPr>
          <w:p w14:paraId="55D8D7F5" w14:textId="77777777" w:rsidR="002A265A" w:rsidRPr="006F3533" w:rsidRDefault="002A265A" w:rsidP="00541E06">
            <w:pPr>
              <w:jc w:val="both"/>
              <w:rPr>
                <w:rFonts w:cs="Times New Roman"/>
                <w:sz w:val="22"/>
                <w:lang w:val="bg-BG"/>
              </w:rPr>
            </w:pPr>
          </w:p>
        </w:tc>
        <w:tc>
          <w:tcPr>
            <w:tcW w:w="380" w:type="pct"/>
            <w:vMerge/>
            <w:shd w:val="clear" w:color="auto" w:fill="D9D9D9" w:themeFill="background1" w:themeFillShade="D9"/>
          </w:tcPr>
          <w:p w14:paraId="7AE1C624" w14:textId="77777777" w:rsidR="002A265A" w:rsidRPr="006F3533" w:rsidRDefault="002A265A" w:rsidP="00541E06">
            <w:pPr>
              <w:contextualSpacing/>
              <w:jc w:val="center"/>
              <w:rPr>
                <w:rFonts w:cs="Times New Roman"/>
                <w:sz w:val="22"/>
                <w:lang w:val="bg-BG"/>
              </w:rPr>
            </w:pPr>
          </w:p>
        </w:tc>
        <w:tc>
          <w:tcPr>
            <w:tcW w:w="532" w:type="pct"/>
            <w:shd w:val="clear" w:color="auto" w:fill="D9D9D9" w:themeFill="background1" w:themeFillShade="D9"/>
          </w:tcPr>
          <w:p w14:paraId="427B41BF" w14:textId="77777777" w:rsidR="002A265A" w:rsidRPr="006F3533" w:rsidRDefault="002A265A" w:rsidP="00541E06">
            <w:pPr>
              <w:jc w:val="center"/>
              <w:rPr>
                <w:rFonts w:cs="Times New Roman"/>
                <w:sz w:val="22"/>
                <w:lang w:val="bg-BG"/>
              </w:rPr>
            </w:pPr>
            <w:r w:rsidRPr="006F3533">
              <w:rPr>
                <w:rFonts w:cs="Times New Roman"/>
                <w:sz w:val="22"/>
                <w:lang w:val="bg-BG"/>
              </w:rPr>
              <w:t>2030</w:t>
            </w:r>
          </w:p>
        </w:tc>
        <w:tc>
          <w:tcPr>
            <w:tcW w:w="456" w:type="pct"/>
            <w:shd w:val="clear" w:color="auto" w:fill="D9D9D9" w:themeFill="background1" w:themeFillShade="D9"/>
          </w:tcPr>
          <w:p w14:paraId="0D96212B" w14:textId="77777777" w:rsidR="002A265A" w:rsidRPr="006F3533" w:rsidRDefault="002A265A" w:rsidP="00541E06">
            <w:pPr>
              <w:jc w:val="center"/>
              <w:rPr>
                <w:rFonts w:cs="Times New Roman"/>
                <w:sz w:val="22"/>
                <w:lang w:val="bg-BG"/>
              </w:rPr>
            </w:pPr>
            <w:r w:rsidRPr="006F3533">
              <w:rPr>
                <w:rFonts w:cs="Times New Roman"/>
                <w:sz w:val="22"/>
                <w:lang w:val="bg-BG"/>
              </w:rPr>
              <w:t>2040</w:t>
            </w:r>
          </w:p>
        </w:tc>
        <w:tc>
          <w:tcPr>
            <w:tcW w:w="456" w:type="pct"/>
            <w:shd w:val="clear" w:color="auto" w:fill="D9D9D9" w:themeFill="background1" w:themeFillShade="D9"/>
          </w:tcPr>
          <w:p w14:paraId="53832DDC" w14:textId="77777777" w:rsidR="002A265A" w:rsidRPr="006F3533" w:rsidRDefault="002A265A" w:rsidP="00541E06">
            <w:pPr>
              <w:jc w:val="center"/>
              <w:rPr>
                <w:rFonts w:cs="Times New Roman"/>
                <w:sz w:val="22"/>
                <w:lang w:val="bg-BG"/>
              </w:rPr>
            </w:pPr>
            <w:r w:rsidRPr="006F3533">
              <w:rPr>
                <w:rFonts w:cs="Times New Roman"/>
                <w:sz w:val="22"/>
                <w:lang w:val="bg-BG"/>
              </w:rPr>
              <w:t>2050</w:t>
            </w:r>
          </w:p>
        </w:tc>
        <w:tc>
          <w:tcPr>
            <w:tcW w:w="532" w:type="pct"/>
            <w:shd w:val="clear" w:color="auto" w:fill="D9D9D9" w:themeFill="background1" w:themeFillShade="D9"/>
          </w:tcPr>
          <w:p w14:paraId="6A833673" w14:textId="77777777" w:rsidR="002A265A" w:rsidRPr="006F3533" w:rsidRDefault="002A265A" w:rsidP="00541E06">
            <w:pPr>
              <w:jc w:val="center"/>
              <w:rPr>
                <w:rFonts w:cs="Times New Roman"/>
                <w:sz w:val="22"/>
                <w:lang w:val="bg-BG"/>
              </w:rPr>
            </w:pPr>
            <w:r w:rsidRPr="006F3533">
              <w:rPr>
                <w:rFonts w:cs="Times New Roman"/>
                <w:sz w:val="22"/>
                <w:lang w:val="bg-BG"/>
              </w:rPr>
              <w:t>2030</w:t>
            </w:r>
          </w:p>
        </w:tc>
        <w:tc>
          <w:tcPr>
            <w:tcW w:w="496" w:type="pct"/>
            <w:shd w:val="clear" w:color="auto" w:fill="D9D9D9" w:themeFill="background1" w:themeFillShade="D9"/>
          </w:tcPr>
          <w:p w14:paraId="46CCB856" w14:textId="77777777" w:rsidR="002A265A" w:rsidRPr="006F3533" w:rsidRDefault="002A265A" w:rsidP="00541E06">
            <w:pPr>
              <w:jc w:val="center"/>
              <w:rPr>
                <w:rFonts w:cs="Times New Roman"/>
                <w:sz w:val="22"/>
                <w:lang w:val="bg-BG"/>
              </w:rPr>
            </w:pPr>
            <w:r w:rsidRPr="006F3533">
              <w:rPr>
                <w:rFonts w:cs="Times New Roman"/>
                <w:sz w:val="22"/>
                <w:lang w:val="bg-BG"/>
              </w:rPr>
              <w:t>2040</w:t>
            </w:r>
          </w:p>
        </w:tc>
        <w:tc>
          <w:tcPr>
            <w:tcW w:w="477" w:type="pct"/>
            <w:shd w:val="clear" w:color="auto" w:fill="D9D9D9" w:themeFill="background1" w:themeFillShade="D9"/>
          </w:tcPr>
          <w:p w14:paraId="36C89DEC" w14:textId="77777777" w:rsidR="002A265A" w:rsidRPr="006F3533" w:rsidRDefault="002A265A" w:rsidP="00541E06">
            <w:pPr>
              <w:jc w:val="center"/>
              <w:rPr>
                <w:rFonts w:cs="Times New Roman"/>
                <w:sz w:val="22"/>
                <w:lang w:val="bg-BG"/>
              </w:rPr>
            </w:pPr>
            <w:r w:rsidRPr="006F3533">
              <w:rPr>
                <w:rFonts w:cs="Times New Roman"/>
                <w:sz w:val="22"/>
                <w:lang w:val="bg-BG"/>
              </w:rPr>
              <w:t>2050</w:t>
            </w:r>
          </w:p>
        </w:tc>
      </w:tr>
      <w:tr w:rsidR="002A265A" w:rsidRPr="006F3533" w14:paraId="7913B35E" w14:textId="77777777" w:rsidTr="007C37A7">
        <w:trPr>
          <w:trHeight w:val="300"/>
        </w:trPr>
        <w:tc>
          <w:tcPr>
            <w:tcW w:w="380" w:type="pct"/>
          </w:tcPr>
          <w:p w14:paraId="6781EA75"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 xml:space="preserve">R </w:t>
            </w:r>
          </w:p>
        </w:tc>
        <w:tc>
          <w:tcPr>
            <w:tcW w:w="1292" w:type="pct"/>
          </w:tcPr>
          <w:p w14:paraId="7E0C84EF" w14:textId="77777777" w:rsidR="002A265A" w:rsidRPr="006F3533" w:rsidRDefault="002A265A" w:rsidP="00541E06">
            <w:pPr>
              <w:jc w:val="both"/>
              <w:rPr>
                <w:rFonts w:cs="Times New Roman"/>
                <w:sz w:val="22"/>
                <w:lang w:val="bg-BG"/>
              </w:rPr>
            </w:pPr>
            <w:proofErr w:type="spellStart"/>
            <w:r w:rsidRPr="006F3533">
              <w:rPr>
                <w:rFonts w:cs="Times New Roman"/>
                <w:sz w:val="22"/>
                <w:lang w:val="bg-BG"/>
              </w:rPr>
              <w:t>Residential</w:t>
            </w:r>
            <w:proofErr w:type="spellEnd"/>
            <w:r w:rsidRPr="006F3533">
              <w:rPr>
                <w:rFonts w:cs="Times New Roman"/>
                <w:sz w:val="22"/>
                <w:lang w:val="bg-BG"/>
              </w:rPr>
              <w:t xml:space="preserve"> </w:t>
            </w:r>
          </w:p>
          <w:p w14:paraId="4154BD62" w14:textId="77777777" w:rsidR="002A265A" w:rsidRPr="006F3533" w:rsidRDefault="002A265A" w:rsidP="00541E06">
            <w:pPr>
              <w:jc w:val="both"/>
              <w:rPr>
                <w:rFonts w:cs="Times New Roman"/>
                <w:sz w:val="22"/>
                <w:lang w:val="bg-BG"/>
              </w:rPr>
            </w:pPr>
            <w:proofErr w:type="spellStart"/>
            <w:r w:rsidRPr="006F3533">
              <w:rPr>
                <w:rFonts w:cs="Times New Roman"/>
                <w:i/>
                <w:iCs/>
                <w:sz w:val="22"/>
                <w:lang w:val="bg-BG"/>
              </w:rPr>
              <w:t>Out</w:t>
            </w:r>
            <w:proofErr w:type="spellEnd"/>
            <w:r w:rsidRPr="006F3533">
              <w:rPr>
                <w:rFonts w:cs="Times New Roman"/>
                <w:i/>
                <w:iCs/>
                <w:sz w:val="22"/>
                <w:lang w:val="bg-BG"/>
              </w:rPr>
              <w:t xml:space="preserve"> </w:t>
            </w:r>
            <w:proofErr w:type="spellStart"/>
            <w:r w:rsidRPr="006F3533">
              <w:rPr>
                <w:rFonts w:cs="Times New Roman"/>
                <w:i/>
                <w:iCs/>
                <w:sz w:val="22"/>
                <w:lang w:val="bg-BG"/>
              </w:rPr>
              <w:t>of</w:t>
            </w:r>
            <w:proofErr w:type="spellEnd"/>
            <w:r w:rsidRPr="006F3533">
              <w:rPr>
                <w:rFonts w:cs="Times New Roman"/>
                <w:i/>
                <w:iCs/>
                <w:sz w:val="22"/>
                <w:lang w:val="bg-BG"/>
              </w:rPr>
              <w:t xml:space="preserve"> </w:t>
            </w:r>
            <w:proofErr w:type="spellStart"/>
            <w:r w:rsidRPr="006F3533">
              <w:rPr>
                <w:rFonts w:cs="Times New Roman"/>
                <w:i/>
                <w:iCs/>
                <w:sz w:val="22"/>
                <w:lang w:val="bg-BG"/>
              </w:rPr>
              <w:t>which</w:t>
            </w:r>
            <w:proofErr w:type="spellEnd"/>
          </w:p>
        </w:tc>
        <w:tc>
          <w:tcPr>
            <w:tcW w:w="380" w:type="pct"/>
          </w:tcPr>
          <w:p w14:paraId="6AF23C7B"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M</w:t>
            </w:r>
          </w:p>
        </w:tc>
        <w:tc>
          <w:tcPr>
            <w:tcW w:w="532" w:type="pct"/>
          </w:tcPr>
          <w:p w14:paraId="6A071964" w14:textId="77777777" w:rsidR="002A265A" w:rsidRPr="006F3533" w:rsidRDefault="002A265A" w:rsidP="00541E06">
            <w:pPr>
              <w:jc w:val="center"/>
              <w:rPr>
                <w:rFonts w:cs="Times New Roman"/>
                <w:sz w:val="22"/>
                <w:lang w:val="bg-BG"/>
              </w:rPr>
            </w:pPr>
            <w:r w:rsidRPr="006F3533">
              <w:rPr>
                <w:rFonts w:cs="Times New Roman"/>
                <w:sz w:val="22"/>
                <w:lang w:val="bg-BG"/>
              </w:rPr>
              <w:t>1 994</w:t>
            </w:r>
          </w:p>
        </w:tc>
        <w:tc>
          <w:tcPr>
            <w:tcW w:w="456" w:type="pct"/>
          </w:tcPr>
          <w:p w14:paraId="2D6601F2" w14:textId="77777777" w:rsidR="002A265A" w:rsidRPr="006F3533" w:rsidRDefault="002A265A" w:rsidP="00541E06">
            <w:pPr>
              <w:jc w:val="center"/>
              <w:rPr>
                <w:rFonts w:cs="Times New Roman"/>
                <w:sz w:val="22"/>
                <w:lang w:val="bg-BG"/>
              </w:rPr>
            </w:pPr>
            <w:proofErr w:type="spellStart"/>
            <w:r w:rsidRPr="006F3533">
              <w:rPr>
                <w:rFonts w:cs="Times New Roman"/>
                <w:sz w:val="22"/>
                <w:lang w:val="bg-BG"/>
              </w:rPr>
              <w:t>Or</w:t>
            </w:r>
            <w:proofErr w:type="spellEnd"/>
            <w:r w:rsidRPr="006F3533">
              <w:rPr>
                <w:rFonts w:cs="Times New Roman"/>
                <w:sz w:val="22"/>
                <w:lang w:val="bg-BG"/>
              </w:rPr>
              <w:t xml:space="preserve"> (a) + (b2)</w:t>
            </w:r>
          </w:p>
        </w:tc>
        <w:tc>
          <w:tcPr>
            <w:tcW w:w="456" w:type="pct"/>
          </w:tcPr>
          <w:p w14:paraId="3D657AFA" w14:textId="77777777" w:rsidR="002A265A" w:rsidRPr="006F3533" w:rsidRDefault="002A265A" w:rsidP="00541E06">
            <w:pPr>
              <w:jc w:val="center"/>
              <w:rPr>
                <w:rFonts w:cs="Times New Roman"/>
                <w:sz w:val="22"/>
                <w:lang w:val="bg-BG"/>
              </w:rPr>
            </w:pPr>
          </w:p>
        </w:tc>
        <w:tc>
          <w:tcPr>
            <w:tcW w:w="532" w:type="pct"/>
          </w:tcPr>
          <w:p w14:paraId="792BAF65" w14:textId="77777777" w:rsidR="002A265A" w:rsidRPr="006F3533" w:rsidRDefault="002A265A" w:rsidP="00541E06">
            <w:pPr>
              <w:jc w:val="center"/>
              <w:rPr>
                <w:rFonts w:cs="Times New Roman"/>
                <w:sz w:val="22"/>
                <w:lang w:val="bg-BG"/>
              </w:rPr>
            </w:pPr>
            <w:r w:rsidRPr="006F3533">
              <w:rPr>
                <w:rFonts w:cs="Times New Roman"/>
                <w:sz w:val="22"/>
                <w:lang w:val="bg-BG"/>
              </w:rPr>
              <w:t>3 474</w:t>
            </w:r>
          </w:p>
        </w:tc>
        <w:tc>
          <w:tcPr>
            <w:tcW w:w="496" w:type="pct"/>
          </w:tcPr>
          <w:p w14:paraId="1BF4A915" w14:textId="77777777" w:rsidR="002A265A" w:rsidRPr="006F3533" w:rsidRDefault="002A265A" w:rsidP="00541E06">
            <w:pPr>
              <w:jc w:val="center"/>
              <w:rPr>
                <w:rFonts w:cs="Times New Roman"/>
                <w:sz w:val="22"/>
                <w:lang w:val="bg-BG"/>
              </w:rPr>
            </w:pPr>
            <w:proofErr w:type="spellStart"/>
            <w:r w:rsidRPr="006F3533">
              <w:rPr>
                <w:rFonts w:cs="Times New Roman"/>
                <w:sz w:val="22"/>
                <w:lang w:val="bg-BG"/>
              </w:rPr>
              <w:t>Or</w:t>
            </w:r>
            <w:proofErr w:type="spellEnd"/>
            <w:r w:rsidRPr="006F3533">
              <w:rPr>
                <w:rFonts w:cs="Times New Roman"/>
                <w:sz w:val="22"/>
                <w:lang w:val="bg-BG"/>
              </w:rPr>
              <w:t xml:space="preserve"> (a) + (b2)</w:t>
            </w:r>
          </w:p>
        </w:tc>
        <w:tc>
          <w:tcPr>
            <w:tcW w:w="477" w:type="pct"/>
          </w:tcPr>
          <w:p w14:paraId="140759FB" w14:textId="77777777" w:rsidR="002A265A" w:rsidRPr="006F3533" w:rsidRDefault="002A265A" w:rsidP="00541E06">
            <w:pPr>
              <w:jc w:val="center"/>
              <w:rPr>
                <w:rFonts w:cs="Times New Roman"/>
                <w:sz w:val="22"/>
                <w:lang w:val="bg-BG"/>
              </w:rPr>
            </w:pPr>
          </w:p>
        </w:tc>
      </w:tr>
      <w:tr w:rsidR="002A265A" w:rsidRPr="006F3533" w14:paraId="56CFF320" w14:textId="77777777" w:rsidTr="007C37A7">
        <w:trPr>
          <w:trHeight w:val="300"/>
        </w:trPr>
        <w:tc>
          <w:tcPr>
            <w:tcW w:w="380" w:type="pct"/>
          </w:tcPr>
          <w:p w14:paraId="03D51E67" w14:textId="77777777" w:rsidR="002A265A" w:rsidRPr="006F3533" w:rsidRDefault="002A265A" w:rsidP="00541E06">
            <w:pPr>
              <w:jc w:val="right"/>
              <w:rPr>
                <w:rFonts w:cs="Times New Roman"/>
                <w:i/>
                <w:iCs/>
                <w:sz w:val="22"/>
                <w:lang w:val="bg-BG"/>
              </w:rPr>
            </w:pPr>
            <w:r w:rsidRPr="006F3533">
              <w:rPr>
                <w:rFonts w:cs="Times New Roman"/>
                <w:i/>
                <w:iCs/>
                <w:sz w:val="22"/>
                <w:lang w:val="bg-BG"/>
              </w:rPr>
              <w:t>(a)</w:t>
            </w:r>
          </w:p>
        </w:tc>
        <w:tc>
          <w:tcPr>
            <w:tcW w:w="1292" w:type="pct"/>
          </w:tcPr>
          <w:p w14:paraId="21FC15A2" w14:textId="77777777" w:rsidR="002A265A" w:rsidRPr="006F3533" w:rsidRDefault="002A265A" w:rsidP="00541E06">
            <w:pPr>
              <w:contextualSpacing/>
              <w:jc w:val="right"/>
              <w:rPr>
                <w:rFonts w:cs="Times New Roman"/>
                <w:i/>
                <w:iCs/>
                <w:sz w:val="22"/>
                <w:lang w:val="bg-BG"/>
              </w:rPr>
            </w:pPr>
            <w:proofErr w:type="spellStart"/>
            <w:r w:rsidRPr="006F3533">
              <w:rPr>
                <w:rFonts w:cs="Times New Roman"/>
                <w:i/>
                <w:iCs/>
                <w:sz w:val="22"/>
                <w:lang w:val="bg-BG"/>
              </w:rPr>
              <w:t>single-family</w:t>
            </w:r>
            <w:proofErr w:type="spellEnd"/>
            <w:r w:rsidRPr="006F3533">
              <w:rPr>
                <w:rFonts w:cs="Times New Roman"/>
                <w:i/>
                <w:iCs/>
                <w:sz w:val="22"/>
                <w:lang w:val="bg-BG"/>
              </w:rPr>
              <w:t xml:space="preserve"> </w:t>
            </w:r>
            <w:proofErr w:type="spellStart"/>
            <w:r w:rsidRPr="006F3533">
              <w:rPr>
                <w:rFonts w:cs="Times New Roman"/>
                <w:i/>
                <w:iCs/>
                <w:sz w:val="22"/>
                <w:lang w:val="bg-BG"/>
              </w:rPr>
              <w:t>houses</w:t>
            </w:r>
            <w:proofErr w:type="spellEnd"/>
          </w:p>
          <w:p w14:paraId="5ED6B4E0" w14:textId="77777777" w:rsidR="002A265A" w:rsidRPr="006F3533" w:rsidRDefault="002A265A" w:rsidP="00541E06">
            <w:pPr>
              <w:contextualSpacing/>
              <w:jc w:val="right"/>
              <w:rPr>
                <w:rFonts w:cs="Times New Roman"/>
                <w:i/>
                <w:iCs/>
                <w:sz w:val="22"/>
                <w:lang w:val="bg-BG"/>
              </w:rPr>
            </w:pPr>
            <w:proofErr w:type="spellStart"/>
            <w:r w:rsidRPr="006F3533">
              <w:rPr>
                <w:rFonts w:cs="Times New Roman"/>
                <w:i/>
                <w:iCs/>
                <w:sz w:val="22"/>
                <w:lang w:val="bg-BG"/>
              </w:rPr>
              <w:t>of</w:t>
            </w:r>
            <w:proofErr w:type="spellEnd"/>
            <w:r w:rsidRPr="006F3533">
              <w:rPr>
                <w:rFonts w:cs="Times New Roman"/>
                <w:i/>
                <w:iCs/>
                <w:sz w:val="22"/>
                <w:lang w:val="bg-BG"/>
              </w:rPr>
              <w:t xml:space="preserve"> </w:t>
            </w:r>
            <w:proofErr w:type="spellStart"/>
            <w:r w:rsidRPr="006F3533">
              <w:rPr>
                <w:rFonts w:cs="Times New Roman"/>
                <w:i/>
                <w:iCs/>
                <w:sz w:val="22"/>
                <w:lang w:val="bg-BG"/>
              </w:rPr>
              <w:t>different</w:t>
            </w:r>
            <w:proofErr w:type="spellEnd"/>
            <w:r w:rsidRPr="006F3533">
              <w:rPr>
                <w:rFonts w:cs="Times New Roman"/>
                <w:i/>
                <w:iCs/>
                <w:sz w:val="22"/>
                <w:lang w:val="bg-BG"/>
              </w:rPr>
              <w:t xml:space="preserve"> </w:t>
            </w:r>
            <w:proofErr w:type="spellStart"/>
            <w:r w:rsidRPr="006F3533">
              <w:rPr>
                <w:rFonts w:cs="Times New Roman"/>
                <w:i/>
                <w:iCs/>
                <w:sz w:val="22"/>
                <w:lang w:val="bg-BG"/>
              </w:rPr>
              <w:t>types</w:t>
            </w:r>
            <w:proofErr w:type="spellEnd"/>
          </w:p>
        </w:tc>
        <w:tc>
          <w:tcPr>
            <w:tcW w:w="380" w:type="pct"/>
          </w:tcPr>
          <w:p w14:paraId="6DE5EB16" w14:textId="77777777" w:rsidR="002A265A" w:rsidRPr="006F3533" w:rsidRDefault="002A265A" w:rsidP="00541E06">
            <w:pPr>
              <w:contextualSpacing/>
              <w:jc w:val="center"/>
              <w:rPr>
                <w:rFonts w:cs="Times New Roman"/>
                <w:sz w:val="22"/>
                <w:lang w:val="bg-BG"/>
              </w:rPr>
            </w:pPr>
            <w:proofErr w:type="spellStart"/>
            <w:r w:rsidRPr="006F3533">
              <w:rPr>
                <w:rFonts w:cs="Times New Roman"/>
                <w:sz w:val="22"/>
                <w:lang w:val="bg-BG"/>
              </w:rPr>
              <w:t>Miav</w:t>
            </w:r>
            <w:proofErr w:type="spellEnd"/>
          </w:p>
        </w:tc>
        <w:tc>
          <w:tcPr>
            <w:tcW w:w="532" w:type="pct"/>
          </w:tcPr>
          <w:p w14:paraId="2878928B" w14:textId="77777777" w:rsidR="002A265A" w:rsidRPr="006F3533" w:rsidRDefault="002A265A" w:rsidP="00541E06">
            <w:pPr>
              <w:contextualSpacing/>
              <w:jc w:val="both"/>
              <w:rPr>
                <w:rFonts w:cs="Times New Roman"/>
                <w:sz w:val="22"/>
                <w:lang w:val="bg-BG"/>
              </w:rPr>
            </w:pPr>
          </w:p>
        </w:tc>
        <w:tc>
          <w:tcPr>
            <w:tcW w:w="456" w:type="pct"/>
          </w:tcPr>
          <w:p w14:paraId="349AB989" w14:textId="77777777" w:rsidR="002A265A" w:rsidRPr="006F3533" w:rsidRDefault="002A265A" w:rsidP="00541E06">
            <w:pPr>
              <w:contextualSpacing/>
              <w:jc w:val="both"/>
              <w:rPr>
                <w:rFonts w:cs="Times New Roman"/>
                <w:sz w:val="22"/>
                <w:lang w:val="bg-BG"/>
              </w:rPr>
            </w:pPr>
          </w:p>
        </w:tc>
        <w:tc>
          <w:tcPr>
            <w:tcW w:w="456" w:type="pct"/>
          </w:tcPr>
          <w:p w14:paraId="2ECC8AD9" w14:textId="77777777" w:rsidR="002A265A" w:rsidRPr="006F3533" w:rsidRDefault="002A265A" w:rsidP="00541E06">
            <w:pPr>
              <w:contextualSpacing/>
              <w:jc w:val="both"/>
              <w:rPr>
                <w:rFonts w:cs="Times New Roman"/>
                <w:sz w:val="22"/>
                <w:lang w:val="bg-BG"/>
              </w:rPr>
            </w:pPr>
          </w:p>
        </w:tc>
        <w:tc>
          <w:tcPr>
            <w:tcW w:w="532" w:type="pct"/>
          </w:tcPr>
          <w:p w14:paraId="77F764A5" w14:textId="77777777" w:rsidR="002A265A" w:rsidRPr="006F3533" w:rsidRDefault="002A265A" w:rsidP="00541E06">
            <w:pPr>
              <w:contextualSpacing/>
              <w:jc w:val="both"/>
              <w:rPr>
                <w:rFonts w:cs="Times New Roman"/>
                <w:sz w:val="22"/>
                <w:lang w:val="bg-BG"/>
              </w:rPr>
            </w:pPr>
          </w:p>
        </w:tc>
        <w:tc>
          <w:tcPr>
            <w:tcW w:w="496" w:type="pct"/>
          </w:tcPr>
          <w:p w14:paraId="68DD0886" w14:textId="77777777" w:rsidR="002A265A" w:rsidRPr="006F3533" w:rsidRDefault="002A265A" w:rsidP="00541E06">
            <w:pPr>
              <w:contextualSpacing/>
              <w:jc w:val="both"/>
              <w:rPr>
                <w:rFonts w:cs="Times New Roman"/>
                <w:sz w:val="22"/>
                <w:lang w:val="bg-BG"/>
              </w:rPr>
            </w:pPr>
          </w:p>
        </w:tc>
        <w:tc>
          <w:tcPr>
            <w:tcW w:w="477" w:type="pct"/>
          </w:tcPr>
          <w:p w14:paraId="029CDCD1" w14:textId="77777777" w:rsidR="002A265A" w:rsidRPr="006F3533" w:rsidRDefault="002A265A" w:rsidP="00541E06">
            <w:pPr>
              <w:contextualSpacing/>
              <w:jc w:val="both"/>
              <w:rPr>
                <w:rFonts w:cs="Times New Roman"/>
                <w:sz w:val="22"/>
                <w:lang w:val="bg-BG"/>
              </w:rPr>
            </w:pPr>
          </w:p>
        </w:tc>
      </w:tr>
      <w:tr w:rsidR="002A265A" w:rsidRPr="006F3533" w14:paraId="79B959C5" w14:textId="77777777" w:rsidTr="007C37A7">
        <w:trPr>
          <w:trHeight w:val="300"/>
        </w:trPr>
        <w:tc>
          <w:tcPr>
            <w:tcW w:w="380" w:type="pct"/>
          </w:tcPr>
          <w:p w14:paraId="02AEEB1F" w14:textId="77777777" w:rsidR="002A265A" w:rsidRPr="006F3533" w:rsidRDefault="002A265A" w:rsidP="00541E06">
            <w:pPr>
              <w:contextualSpacing/>
              <w:jc w:val="right"/>
              <w:rPr>
                <w:rFonts w:cs="Times New Roman"/>
                <w:i/>
                <w:iCs/>
                <w:sz w:val="22"/>
                <w:lang w:val="bg-BG"/>
              </w:rPr>
            </w:pPr>
            <w:r w:rsidRPr="006F3533">
              <w:rPr>
                <w:rFonts w:cs="Times New Roman"/>
                <w:i/>
                <w:iCs/>
                <w:sz w:val="22"/>
                <w:lang w:val="bg-BG"/>
              </w:rPr>
              <w:t>(b1)</w:t>
            </w:r>
          </w:p>
          <w:p w14:paraId="0B7EBC3D" w14:textId="77777777" w:rsidR="002A265A" w:rsidRPr="006F3533" w:rsidRDefault="002A265A" w:rsidP="00541E06">
            <w:pPr>
              <w:contextualSpacing/>
              <w:jc w:val="right"/>
              <w:rPr>
                <w:rFonts w:cs="Times New Roman"/>
                <w:i/>
                <w:iCs/>
                <w:sz w:val="22"/>
                <w:lang w:val="bg-BG"/>
              </w:rPr>
            </w:pPr>
          </w:p>
          <w:p w14:paraId="18081794" w14:textId="77777777" w:rsidR="002A265A" w:rsidRPr="006F3533" w:rsidRDefault="002A265A" w:rsidP="00541E06">
            <w:pPr>
              <w:contextualSpacing/>
              <w:jc w:val="right"/>
              <w:rPr>
                <w:rFonts w:cs="Times New Roman"/>
                <w:i/>
                <w:iCs/>
                <w:sz w:val="22"/>
                <w:lang w:val="bg-BG"/>
              </w:rPr>
            </w:pPr>
          </w:p>
          <w:p w14:paraId="097D41B5" w14:textId="77777777" w:rsidR="002A265A" w:rsidRPr="006F3533" w:rsidRDefault="002A265A" w:rsidP="00541E06">
            <w:pPr>
              <w:contextualSpacing/>
              <w:jc w:val="right"/>
              <w:rPr>
                <w:rFonts w:cs="Times New Roman"/>
                <w:i/>
                <w:iCs/>
                <w:sz w:val="22"/>
                <w:lang w:val="bg-BG"/>
              </w:rPr>
            </w:pPr>
          </w:p>
        </w:tc>
        <w:tc>
          <w:tcPr>
            <w:tcW w:w="1292" w:type="pct"/>
          </w:tcPr>
          <w:p w14:paraId="254E62C8" w14:textId="77777777" w:rsidR="002A265A" w:rsidRPr="006F3533" w:rsidRDefault="002A265A" w:rsidP="00541E06">
            <w:pPr>
              <w:contextualSpacing/>
              <w:jc w:val="right"/>
              <w:rPr>
                <w:rFonts w:cs="Times New Roman"/>
                <w:i/>
                <w:iCs/>
                <w:sz w:val="22"/>
                <w:lang w:val="bg-BG"/>
              </w:rPr>
            </w:pPr>
            <w:proofErr w:type="spellStart"/>
            <w:r w:rsidRPr="006F3533">
              <w:rPr>
                <w:rFonts w:cs="Times New Roman"/>
                <w:i/>
                <w:iCs/>
                <w:sz w:val="22"/>
                <w:lang w:val="bg-BG"/>
              </w:rPr>
              <w:t>apartment</w:t>
            </w:r>
            <w:proofErr w:type="spellEnd"/>
            <w:r w:rsidRPr="006F3533">
              <w:rPr>
                <w:rFonts w:cs="Times New Roman"/>
                <w:i/>
                <w:iCs/>
                <w:sz w:val="22"/>
                <w:lang w:val="bg-BG"/>
              </w:rPr>
              <w:t xml:space="preserve"> </w:t>
            </w:r>
            <w:proofErr w:type="spellStart"/>
            <w:r w:rsidRPr="006F3533">
              <w:rPr>
                <w:rFonts w:cs="Times New Roman"/>
                <w:i/>
                <w:iCs/>
                <w:sz w:val="22"/>
                <w:lang w:val="bg-BG"/>
              </w:rPr>
              <w:t>blocks</w:t>
            </w:r>
            <w:proofErr w:type="spellEnd"/>
            <w:r w:rsidRPr="006F3533">
              <w:rPr>
                <w:rFonts w:cs="Times New Roman"/>
                <w:i/>
                <w:iCs/>
                <w:sz w:val="22"/>
                <w:lang w:val="bg-BG"/>
              </w:rPr>
              <w:t xml:space="preserve"> </w:t>
            </w:r>
            <w:proofErr w:type="spellStart"/>
            <w:r w:rsidRPr="006F3533">
              <w:rPr>
                <w:rFonts w:cs="Times New Roman"/>
                <w:i/>
                <w:iCs/>
                <w:sz w:val="22"/>
                <w:lang w:val="bg-BG"/>
              </w:rPr>
              <w:t>or</w:t>
            </w:r>
            <w:proofErr w:type="spellEnd"/>
            <w:r w:rsidRPr="006F3533">
              <w:rPr>
                <w:rFonts w:cs="Times New Roman"/>
                <w:i/>
                <w:iCs/>
                <w:sz w:val="22"/>
                <w:lang w:val="bg-BG"/>
              </w:rPr>
              <w:t xml:space="preserve"> </w:t>
            </w:r>
            <w:proofErr w:type="spellStart"/>
            <w:r w:rsidRPr="006F3533">
              <w:rPr>
                <w:rFonts w:cs="Times New Roman"/>
                <w:i/>
                <w:iCs/>
                <w:sz w:val="22"/>
                <w:lang w:val="bg-BG"/>
              </w:rPr>
              <w:t>multi-family</w:t>
            </w:r>
            <w:proofErr w:type="spellEnd"/>
            <w:r w:rsidRPr="006F3533">
              <w:rPr>
                <w:rFonts w:cs="Times New Roman"/>
                <w:i/>
                <w:iCs/>
                <w:sz w:val="22"/>
                <w:lang w:val="bg-BG"/>
              </w:rPr>
              <w:t xml:space="preserve"> </w:t>
            </w:r>
            <w:proofErr w:type="spellStart"/>
            <w:r w:rsidRPr="006F3533">
              <w:rPr>
                <w:rFonts w:cs="Times New Roman"/>
                <w:i/>
                <w:iCs/>
                <w:sz w:val="22"/>
                <w:lang w:val="bg-BG"/>
              </w:rPr>
              <w:t>buildings</w:t>
            </w:r>
            <w:proofErr w:type="spellEnd"/>
            <w:r w:rsidRPr="006F3533">
              <w:rPr>
                <w:rFonts w:cs="Times New Roman"/>
                <w:i/>
                <w:iCs/>
                <w:sz w:val="22"/>
                <w:lang w:val="bg-BG"/>
              </w:rPr>
              <w:t xml:space="preserve"> </w:t>
            </w:r>
          </w:p>
          <w:p w14:paraId="4B306052" w14:textId="77777777" w:rsidR="002A265A" w:rsidRPr="006F3533" w:rsidRDefault="002A265A" w:rsidP="00541E06">
            <w:pPr>
              <w:contextualSpacing/>
              <w:jc w:val="right"/>
              <w:rPr>
                <w:rFonts w:cs="Times New Roman"/>
                <w:i/>
                <w:iCs/>
                <w:sz w:val="22"/>
                <w:lang w:val="bg-BG"/>
              </w:rPr>
            </w:pPr>
          </w:p>
          <w:p w14:paraId="19EBFAD4" w14:textId="77777777" w:rsidR="002A265A" w:rsidRPr="006F3533" w:rsidRDefault="002A265A" w:rsidP="00541E06">
            <w:pPr>
              <w:contextualSpacing/>
              <w:jc w:val="right"/>
              <w:rPr>
                <w:rFonts w:cs="Times New Roman"/>
                <w:i/>
                <w:iCs/>
                <w:sz w:val="22"/>
                <w:lang w:val="bg-BG"/>
              </w:rPr>
            </w:pPr>
          </w:p>
        </w:tc>
        <w:tc>
          <w:tcPr>
            <w:tcW w:w="380" w:type="pct"/>
          </w:tcPr>
          <w:p w14:paraId="0D024852" w14:textId="77777777" w:rsidR="002A265A" w:rsidRPr="006F3533" w:rsidRDefault="002A265A" w:rsidP="00541E06">
            <w:pPr>
              <w:contextualSpacing/>
              <w:jc w:val="center"/>
              <w:rPr>
                <w:rFonts w:cs="Times New Roman"/>
                <w:sz w:val="22"/>
                <w:lang w:val="bg-BG"/>
              </w:rPr>
            </w:pPr>
            <w:proofErr w:type="spellStart"/>
            <w:r w:rsidRPr="006F3533">
              <w:rPr>
                <w:rFonts w:cs="Times New Roman"/>
                <w:sz w:val="22"/>
                <w:lang w:val="bg-BG"/>
              </w:rPr>
              <w:t>Miav</w:t>
            </w:r>
            <w:proofErr w:type="spellEnd"/>
          </w:p>
          <w:p w14:paraId="2B9D3933" w14:textId="77777777" w:rsidR="002A265A" w:rsidRPr="006F3533" w:rsidRDefault="002A265A" w:rsidP="00541E06">
            <w:pPr>
              <w:contextualSpacing/>
              <w:jc w:val="center"/>
              <w:rPr>
                <w:rFonts w:cs="Times New Roman"/>
                <w:sz w:val="22"/>
                <w:lang w:val="bg-BG"/>
              </w:rPr>
            </w:pPr>
          </w:p>
          <w:p w14:paraId="49A810F9" w14:textId="77777777" w:rsidR="002A265A" w:rsidRPr="006F3533" w:rsidRDefault="002A265A" w:rsidP="00541E06">
            <w:pPr>
              <w:contextualSpacing/>
              <w:jc w:val="center"/>
              <w:rPr>
                <w:rFonts w:cs="Times New Roman"/>
                <w:sz w:val="22"/>
                <w:lang w:val="bg-BG"/>
              </w:rPr>
            </w:pPr>
          </w:p>
          <w:p w14:paraId="4FA00A2E" w14:textId="77777777" w:rsidR="002A265A" w:rsidRPr="006F3533" w:rsidRDefault="002A265A" w:rsidP="00541E06">
            <w:pPr>
              <w:contextualSpacing/>
              <w:jc w:val="center"/>
              <w:rPr>
                <w:rFonts w:cs="Times New Roman"/>
                <w:sz w:val="22"/>
                <w:lang w:val="bg-BG"/>
              </w:rPr>
            </w:pPr>
          </w:p>
        </w:tc>
        <w:tc>
          <w:tcPr>
            <w:tcW w:w="532" w:type="pct"/>
          </w:tcPr>
          <w:p w14:paraId="49B36BDD" w14:textId="77777777" w:rsidR="002A265A" w:rsidRPr="006F3533" w:rsidRDefault="002A265A" w:rsidP="00541E06">
            <w:pPr>
              <w:contextualSpacing/>
              <w:jc w:val="both"/>
              <w:rPr>
                <w:rFonts w:cs="Times New Roman"/>
                <w:sz w:val="22"/>
                <w:lang w:val="bg-BG"/>
              </w:rPr>
            </w:pPr>
          </w:p>
        </w:tc>
        <w:tc>
          <w:tcPr>
            <w:tcW w:w="456" w:type="pct"/>
          </w:tcPr>
          <w:p w14:paraId="033DDF5F" w14:textId="77777777" w:rsidR="002A265A" w:rsidRPr="006F3533" w:rsidRDefault="002A265A" w:rsidP="00541E06">
            <w:pPr>
              <w:contextualSpacing/>
              <w:jc w:val="both"/>
              <w:rPr>
                <w:rFonts w:cs="Times New Roman"/>
                <w:sz w:val="22"/>
                <w:lang w:val="bg-BG"/>
              </w:rPr>
            </w:pPr>
          </w:p>
        </w:tc>
        <w:tc>
          <w:tcPr>
            <w:tcW w:w="456" w:type="pct"/>
          </w:tcPr>
          <w:p w14:paraId="77AEEA11" w14:textId="77777777" w:rsidR="002A265A" w:rsidRPr="006F3533" w:rsidRDefault="002A265A" w:rsidP="00541E06">
            <w:pPr>
              <w:contextualSpacing/>
              <w:jc w:val="both"/>
              <w:rPr>
                <w:rFonts w:cs="Times New Roman"/>
                <w:sz w:val="22"/>
                <w:lang w:val="bg-BG"/>
              </w:rPr>
            </w:pPr>
          </w:p>
        </w:tc>
        <w:tc>
          <w:tcPr>
            <w:tcW w:w="532" w:type="pct"/>
          </w:tcPr>
          <w:p w14:paraId="0C5694FA" w14:textId="77777777" w:rsidR="002A265A" w:rsidRPr="006F3533" w:rsidRDefault="002A265A" w:rsidP="00541E06">
            <w:pPr>
              <w:contextualSpacing/>
              <w:jc w:val="both"/>
              <w:rPr>
                <w:rFonts w:cs="Times New Roman"/>
                <w:sz w:val="22"/>
                <w:lang w:val="bg-BG"/>
              </w:rPr>
            </w:pPr>
          </w:p>
        </w:tc>
        <w:tc>
          <w:tcPr>
            <w:tcW w:w="496" w:type="pct"/>
          </w:tcPr>
          <w:p w14:paraId="709DFC88" w14:textId="77777777" w:rsidR="002A265A" w:rsidRPr="006F3533" w:rsidRDefault="002A265A" w:rsidP="00541E06">
            <w:pPr>
              <w:contextualSpacing/>
              <w:jc w:val="both"/>
              <w:rPr>
                <w:rFonts w:cs="Times New Roman"/>
                <w:sz w:val="22"/>
                <w:lang w:val="bg-BG"/>
              </w:rPr>
            </w:pPr>
          </w:p>
        </w:tc>
        <w:tc>
          <w:tcPr>
            <w:tcW w:w="477" w:type="pct"/>
          </w:tcPr>
          <w:p w14:paraId="77EDD2B5" w14:textId="77777777" w:rsidR="002A265A" w:rsidRPr="006F3533" w:rsidRDefault="002A265A" w:rsidP="00541E06">
            <w:pPr>
              <w:contextualSpacing/>
              <w:jc w:val="both"/>
              <w:rPr>
                <w:rFonts w:cs="Times New Roman"/>
                <w:sz w:val="22"/>
                <w:lang w:val="bg-BG"/>
              </w:rPr>
            </w:pPr>
          </w:p>
        </w:tc>
      </w:tr>
      <w:tr w:rsidR="002A265A" w:rsidRPr="006F3533" w14:paraId="5B2DBC0D" w14:textId="77777777" w:rsidTr="007C37A7">
        <w:trPr>
          <w:trHeight w:val="300"/>
        </w:trPr>
        <w:tc>
          <w:tcPr>
            <w:tcW w:w="380" w:type="pct"/>
          </w:tcPr>
          <w:p w14:paraId="56B5C9AF" w14:textId="77777777" w:rsidR="002A265A" w:rsidRPr="006F3533" w:rsidRDefault="002A265A" w:rsidP="00541E06">
            <w:pPr>
              <w:contextualSpacing/>
              <w:jc w:val="right"/>
              <w:rPr>
                <w:rFonts w:cs="Times New Roman"/>
                <w:i/>
                <w:iCs/>
                <w:sz w:val="22"/>
                <w:lang w:val="bg-BG"/>
              </w:rPr>
            </w:pPr>
            <w:r w:rsidRPr="006F3533">
              <w:rPr>
                <w:rFonts w:cs="Times New Roman"/>
                <w:i/>
                <w:iCs/>
                <w:sz w:val="22"/>
                <w:lang w:val="bg-BG"/>
              </w:rPr>
              <w:t>(b2)</w:t>
            </w:r>
          </w:p>
        </w:tc>
        <w:tc>
          <w:tcPr>
            <w:tcW w:w="1292" w:type="pct"/>
          </w:tcPr>
          <w:p w14:paraId="170726CD" w14:textId="77777777" w:rsidR="002A265A" w:rsidRPr="006F3533" w:rsidRDefault="002A265A" w:rsidP="00541E06">
            <w:pPr>
              <w:contextualSpacing/>
              <w:jc w:val="right"/>
              <w:rPr>
                <w:rFonts w:cs="Times New Roman"/>
                <w:i/>
                <w:iCs/>
                <w:sz w:val="22"/>
                <w:lang w:val="bg-BG"/>
              </w:rPr>
            </w:pPr>
            <w:proofErr w:type="spellStart"/>
            <w:r w:rsidRPr="006F3533">
              <w:rPr>
                <w:rFonts w:cs="Times New Roman"/>
                <w:i/>
                <w:iCs/>
                <w:sz w:val="22"/>
                <w:lang w:val="bg-BG"/>
              </w:rPr>
              <w:t>residential</w:t>
            </w:r>
            <w:proofErr w:type="spellEnd"/>
            <w:r w:rsidRPr="006F3533">
              <w:rPr>
                <w:rFonts w:cs="Times New Roman"/>
                <w:i/>
                <w:iCs/>
                <w:sz w:val="22"/>
                <w:lang w:val="bg-BG"/>
              </w:rPr>
              <w:t xml:space="preserve"> </w:t>
            </w:r>
            <w:proofErr w:type="spellStart"/>
            <w:r w:rsidRPr="006F3533">
              <w:rPr>
                <w:rFonts w:cs="Times New Roman"/>
                <w:i/>
                <w:iCs/>
                <w:sz w:val="22"/>
                <w:lang w:val="bg-BG"/>
              </w:rPr>
              <w:t>building</w:t>
            </w:r>
            <w:proofErr w:type="spellEnd"/>
            <w:r w:rsidRPr="006F3533">
              <w:rPr>
                <w:rFonts w:cs="Times New Roman"/>
                <w:i/>
                <w:iCs/>
                <w:sz w:val="22"/>
                <w:lang w:val="bg-BG"/>
              </w:rPr>
              <w:t xml:space="preserve"> </w:t>
            </w:r>
            <w:proofErr w:type="spellStart"/>
            <w:r w:rsidRPr="006F3533">
              <w:rPr>
                <w:rFonts w:cs="Times New Roman"/>
                <w:i/>
                <w:iCs/>
                <w:sz w:val="22"/>
                <w:lang w:val="bg-BG"/>
              </w:rPr>
              <w:t>unit</w:t>
            </w:r>
            <w:proofErr w:type="spellEnd"/>
            <w:r w:rsidRPr="006F3533">
              <w:rPr>
                <w:rFonts w:cs="Times New Roman"/>
                <w:i/>
                <w:iCs/>
                <w:sz w:val="22"/>
                <w:lang w:val="bg-BG"/>
              </w:rPr>
              <w:t xml:space="preserve"> </w:t>
            </w:r>
            <w:proofErr w:type="spellStart"/>
            <w:r w:rsidRPr="006F3533">
              <w:rPr>
                <w:rFonts w:cs="Times New Roman"/>
                <w:i/>
                <w:iCs/>
                <w:sz w:val="22"/>
                <w:lang w:val="bg-BG"/>
              </w:rPr>
              <w:t>in</w:t>
            </w:r>
            <w:proofErr w:type="spellEnd"/>
            <w:r w:rsidRPr="006F3533">
              <w:rPr>
                <w:rFonts w:cs="Times New Roman"/>
                <w:i/>
                <w:iCs/>
                <w:sz w:val="22"/>
                <w:lang w:val="bg-BG"/>
              </w:rPr>
              <w:t xml:space="preserve"> </w:t>
            </w:r>
            <w:proofErr w:type="spellStart"/>
            <w:r w:rsidRPr="006F3533">
              <w:rPr>
                <w:rFonts w:cs="Times New Roman"/>
                <w:i/>
                <w:iCs/>
                <w:sz w:val="22"/>
                <w:lang w:val="bg-BG"/>
              </w:rPr>
              <w:t>apartment</w:t>
            </w:r>
            <w:proofErr w:type="spellEnd"/>
            <w:r w:rsidRPr="006F3533">
              <w:rPr>
                <w:rFonts w:cs="Times New Roman"/>
                <w:i/>
                <w:iCs/>
                <w:sz w:val="22"/>
                <w:lang w:val="bg-BG"/>
              </w:rPr>
              <w:t xml:space="preserve"> </w:t>
            </w:r>
            <w:proofErr w:type="spellStart"/>
            <w:r w:rsidRPr="006F3533">
              <w:rPr>
                <w:rFonts w:cs="Times New Roman"/>
                <w:i/>
                <w:iCs/>
                <w:sz w:val="22"/>
                <w:lang w:val="bg-BG"/>
              </w:rPr>
              <w:t>blocks</w:t>
            </w:r>
            <w:proofErr w:type="spellEnd"/>
            <w:r w:rsidRPr="006F3533">
              <w:rPr>
                <w:rFonts w:cs="Times New Roman"/>
                <w:i/>
                <w:iCs/>
                <w:sz w:val="22"/>
                <w:lang w:val="bg-BG"/>
              </w:rPr>
              <w:t xml:space="preserve"> </w:t>
            </w:r>
            <w:proofErr w:type="spellStart"/>
            <w:r w:rsidRPr="006F3533">
              <w:rPr>
                <w:rFonts w:cs="Times New Roman"/>
                <w:i/>
                <w:iCs/>
                <w:sz w:val="22"/>
                <w:lang w:val="bg-BG"/>
              </w:rPr>
              <w:t>or</w:t>
            </w:r>
            <w:proofErr w:type="spellEnd"/>
            <w:r w:rsidRPr="006F3533">
              <w:rPr>
                <w:rFonts w:cs="Times New Roman"/>
                <w:i/>
                <w:iCs/>
                <w:sz w:val="22"/>
                <w:lang w:val="bg-BG"/>
              </w:rPr>
              <w:t xml:space="preserve"> </w:t>
            </w:r>
            <w:proofErr w:type="spellStart"/>
            <w:r w:rsidRPr="006F3533">
              <w:rPr>
                <w:rFonts w:cs="Times New Roman"/>
                <w:i/>
                <w:iCs/>
                <w:sz w:val="22"/>
                <w:lang w:val="bg-BG"/>
              </w:rPr>
              <w:t>multi-family</w:t>
            </w:r>
            <w:proofErr w:type="spellEnd"/>
            <w:r w:rsidRPr="006F3533">
              <w:rPr>
                <w:rFonts w:cs="Times New Roman"/>
                <w:i/>
                <w:iCs/>
                <w:sz w:val="22"/>
                <w:lang w:val="bg-BG"/>
              </w:rPr>
              <w:t xml:space="preserve"> </w:t>
            </w:r>
            <w:proofErr w:type="spellStart"/>
            <w:r w:rsidRPr="006F3533">
              <w:rPr>
                <w:rFonts w:cs="Times New Roman"/>
                <w:i/>
                <w:iCs/>
                <w:sz w:val="22"/>
                <w:lang w:val="bg-BG"/>
              </w:rPr>
              <w:t>buildings</w:t>
            </w:r>
            <w:proofErr w:type="spellEnd"/>
          </w:p>
        </w:tc>
        <w:tc>
          <w:tcPr>
            <w:tcW w:w="380" w:type="pct"/>
          </w:tcPr>
          <w:p w14:paraId="0868535A" w14:textId="77777777" w:rsidR="002A265A" w:rsidRPr="006F3533" w:rsidRDefault="002A265A" w:rsidP="00541E06">
            <w:pPr>
              <w:contextualSpacing/>
              <w:jc w:val="center"/>
              <w:rPr>
                <w:rFonts w:cs="Times New Roman"/>
                <w:sz w:val="22"/>
                <w:lang w:val="bg-BG"/>
              </w:rPr>
            </w:pPr>
            <w:proofErr w:type="spellStart"/>
            <w:r w:rsidRPr="006F3533">
              <w:rPr>
                <w:rFonts w:cs="Times New Roman"/>
                <w:sz w:val="22"/>
                <w:lang w:val="bg-BG"/>
              </w:rPr>
              <w:t>Miav</w:t>
            </w:r>
            <w:proofErr w:type="spellEnd"/>
          </w:p>
        </w:tc>
        <w:tc>
          <w:tcPr>
            <w:tcW w:w="532" w:type="pct"/>
          </w:tcPr>
          <w:p w14:paraId="2552651C" w14:textId="77777777" w:rsidR="002A265A" w:rsidRPr="006F3533" w:rsidRDefault="002A265A" w:rsidP="00541E06">
            <w:pPr>
              <w:contextualSpacing/>
              <w:jc w:val="both"/>
              <w:rPr>
                <w:rFonts w:cs="Times New Roman"/>
                <w:sz w:val="22"/>
                <w:lang w:val="bg-BG"/>
              </w:rPr>
            </w:pPr>
          </w:p>
        </w:tc>
        <w:tc>
          <w:tcPr>
            <w:tcW w:w="456" w:type="pct"/>
          </w:tcPr>
          <w:p w14:paraId="64FDAC9A" w14:textId="77777777" w:rsidR="002A265A" w:rsidRPr="006F3533" w:rsidRDefault="002A265A" w:rsidP="00541E06">
            <w:pPr>
              <w:contextualSpacing/>
              <w:jc w:val="both"/>
              <w:rPr>
                <w:rFonts w:cs="Times New Roman"/>
                <w:sz w:val="22"/>
                <w:lang w:val="bg-BG"/>
              </w:rPr>
            </w:pPr>
          </w:p>
        </w:tc>
        <w:tc>
          <w:tcPr>
            <w:tcW w:w="456" w:type="pct"/>
          </w:tcPr>
          <w:p w14:paraId="72D36A15" w14:textId="77777777" w:rsidR="002A265A" w:rsidRPr="006F3533" w:rsidRDefault="002A265A" w:rsidP="00541E06">
            <w:pPr>
              <w:contextualSpacing/>
              <w:jc w:val="both"/>
              <w:rPr>
                <w:rFonts w:cs="Times New Roman"/>
                <w:sz w:val="22"/>
                <w:lang w:val="bg-BG"/>
              </w:rPr>
            </w:pPr>
          </w:p>
        </w:tc>
        <w:tc>
          <w:tcPr>
            <w:tcW w:w="532" w:type="pct"/>
          </w:tcPr>
          <w:p w14:paraId="3399952D" w14:textId="77777777" w:rsidR="002A265A" w:rsidRPr="006F3533" w:rsidRDefault="002A265A" w:rsidP="00541E06">
            <w:pPr>
              <w:contextualSpacing/>
              <w:jc w:val="both"/>
              <w:rPr>
                <w:rFonts w:cs="Times New Roman"/>
                <w:sz w:val="22"/>
                <w:lang w:val="bg-BG"/>
              </w:rPr>
            </w:pPr>
          </w:p>
        </w:tc>
        <w:tc>
          <w:tcPr>
            <w:tcW w:w="496" w:type="pct"/>
          </w:tcPr>
          <w:p w14:paraId="25FCA868" w14:textId="77777777" w:rsidR="002A265A" w:rsidRPr="006F3533" w:rsidRDefault="002A265A" w:rsidP="00541E06">
            <w:pPr>
              <w:contextualSpacing/>
              <w:jc w:val="both"/>
              <w:rPr>
                <w:rFonts w:cs="Times New Roman"/>
                <w:sz w:val="22"/>
                <w:lang w:val="bg-BG"/>
              </w:rPr>
            </w:pPr>
          </w:p>
        </w:tc>
        <w:tc>
          <w:tcPr>
            <w:tcW w:w="477" w:type="pct"/>
          </w:tcPr>
          <w:p w14:paraId="68D55513" w14:textId="77777777" w:rsidR="002A265A" w:rsidRPr="006F3533" w:rsidRDefault="002A265A" w:rsidP="00541E06">
            <w:pPr>
              <w:contextualSpacing/>
              <w:jc w:val="both"/>
              <w:rPr>
                <w:rFonts w:cs="Times New Roman"/>
                <w:sz w:val="22"/>
                <w:lang w:val="bg-BG"/>
              </w:rPr>
            </w:pPr>
          </w:p>
        </w:tc>
      </w:tr>
      <w:tr w:rsidR="002A265A" w:rsidRPr="006F3533" w14:paraId="17BF36EA" w14:textId="77777777" w:rsidTr="007C37A7">
        <w:trPr>
          <w:trHeight w:val="300"/>
        </w:trPr>
        <w:tc>
          <w:tcPr>
            <w:tcW w:w="380" w:type="pct"/>
          </w:tcPr>
          <w:p w14:paraId="04942C1F"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NR</w:t>
            </w:r>
          </w:p>
        </w:tc>
        <w:tc>
          <w:tcPr>
            <w:tcW w:w="1292" w:type="pct"/>
          </w:tcPr>
          <w:p w14:paraId="436D5C3B" w14:textId="77777777" w:rsidR="002A265A" w:rsidRPr="006F3533" w:rsidRDefault="002A265A" w:rsidP="00541E06">
            <w:pPr>
              <w:rPr>
                <w:rFonts w:cs="Times New Roman"/>
                <w:sz w:val="22"/>
                <w:lang w:val="bg-BG"/>
              </w:rPr>
            </w:pPr>
            <w:proofErr w:type="spellStart"/>
            <w:r w:rsidRPr="006F3533">
              <w:rPr>
                <w:rFonts w:cs="Times New Roman"/>
                <w:sz w:val="22"/>
                <w:lang w:val="bg-BG"/>
              </w:rPr>
              <w:t>Non-residential</w:t>
            </w:r>
            <w:proofErr w:type="spellEnd"/>
          </w:p>
          <w:p w14:paraId="55781B66" w14:textId="77777777" w:rsidR="002A265A" w:rsidRPr="006F3533" w:rsidRDefault="002A265A" w:rsidP="00541E06">
            <w:pPr>
              <w:rPr>
                <w:rFonts w:cs="Times New Roman"/>
                <w:sz w:val="22"/>
                <w:lang w:val="bg-BG"/>
              </w:rPr>
            </w:pPr>
            <w:r w:rsidRPr="006F3533">
              <w:rPr>
                <w:rFonts w:cs="Times New Roman"/>
                <w:i/>
                <w:iCs/>
                <w:sz w:val="22"/>
                <w:lang w:val="bg-BG"/>
              </w:rPr>
              <w:t xml:space="preserve"> </w:t>
            </w:r>
            <w:proofErr w:type="spellStart"/>
            <w:r w:rsidRPr="006F3533">
              <w:rPr>
                <w:rFonts w:cs="Times New Roman"/>
                <w:i/>
                <w:iCs/>
                <w:sz w:val="22"/>
                <w:lang w:val="bg-BG"/>
              </w:rPr>
              <w:t>Out</w:t>
            </w:r>
            <w:proofErr w:type="spellEnd"/>
            <w:r w:rsidRPr="006F3533">
              <w:rPr>
                <w:rFonts w:cs="Times New Roman"/>
                <w:i/>
                <w:iCs/>
                <w:sz w:val="22"/>
                <w:lang w:val="bg-BG"/>
              </w:rPr>
              <w:t xml:space="preserve"> </w:t>
            </w:r>
            <w:proofErr w:type="spellStart"/>
            <w:r w:rsidRPr="006F3533">
              <w:rPr>
                <w:rFonts w:cs="Times New Roman"/>
                <w:i/>
                <w:iCs/>
                <w:sz w:val="22"/>
                <w:lang w:val="bg-BG"/>
              </w:rPr>
              <w:t>of</w:t>
            </w:r>
            <w:proofErr w:type="spellEnd"/>
            <w:r w:rsidRPr="006F3533">
              <w:rPr>
                <w:rFonts w:cs="Times New Roman"/>
                <w:i/>
                <w:iCs/>
                <w:sz w:val="22"/>
                <w:lang w:val="bg-BG"/>
              </w:rPr>
              <w:t xml:space="preserve"> </w:t>
            </w:r>
            <w:proofErr w:type="spellStart"/>
            <w:r w:rsidRPr="006F3533">
              <w:rPr>
                <w:rFonts w:cs="Times New Roman"/>
                <w:i/>
                <w:iCs/>
                <w:sz w:val="22"/>
                <w:lang w:val="bg-BG"/>
              </w:rPr>
              <w:t>which</w:t>
            </w:r>
            <w:proofErr w:type="spellEnd"/>
          </w:p>
        </w:tc>
        <w:tc>
          <w:tcPr>
            <w:tcW w:w="380" w:type="pct"/>
          </w:tcPr>
          <w:p w14:paraId="7BBFFB55"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M</w:t>
            </w:r>
          </w:p>
        </w:tc>
        <w:tc>
          <w:tcPr>
            <w:tcW w:w="532" w:type="pct"/>
          </w:tcPr>
          <w:p w14:paraId="0F19DF92"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1199.59</w:t>
            </w:r>
          </w:p>
          <w:p w14:paraId="6EA2A8E5" w14:textId="77777777" w:rsidR="002A265A" w:rsidRPr="006F3533" w:rsidRDefault="002A265A" w:rsidP="00541E06">
            <w:pPr>
              <w:contextualSpacing/>
              <w:jc w:val="center"/>
              <w:rPr>
                <w:rFonts w:cs="Times New Roman"/>
                <w:sz w:val="22"/>
                <w:lang w:val="bg-BG"/>
              </w:rPr>
            </w:pPr>
          </w:p>
        </w:tc>
        <w:tc>
          <w:tcPr>
            <w:tcW w:w="456" w:type="pct"/>
          </w:tcPr>
          <w:p w14:paraId="7136569E"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899.62</w:t>
            </w:r>
          </w:p>
        </w:tc>
        <w:tc>
          <w:tcPr>
            <w:tcW w:w="456" w:type="pct"/>
          </w:tcPr>
          <w:p w14:paraId="4CA5EE4C"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718.48</w:t>
            </w:r>
          </w:p>
        </w:tc>
        <w:tc>
          <w:tcPr>
            <w:tcW w:w="532" w:type="pct"/>
          </w:tcPr>
          <w:p w14:paraId="14B3C00A"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2284.01</w:t>
            </w:r>
          </w:p>
        </w:tc>
        <w:tc>
          <w:tcPr>
            <w:tcW w:w="496" w:type="pct"/>
          </w:tcPr>
          <w:p w14:paraId="4EDAFEB9" w14:textId="77777777" w:rsidR="002A265A" w:rsidRPr="006F3533" w:rsidRDefault="002A265A" w:rsidP="00541E06">
            <w:pPr>
              <w:ind w:right="-33"/>
              <w:contextualSpacing/>
              <w:jc w:val="center"/>
              <w:rPr>
                <w:rFonts w:cs="Times New Roman"/>
                <w:sz w:val="22"/>
                <w:lang w:val="bg-BG"/>
              </w:rPr>
            </w:pPr>
            <w:r w:rsidRPr="006F3533">
              <w:rPr>
                <w:rFonts w:cs="Times New Roman"/>
                <w:sz w:val="22"/>
                <w:lang w:val="bg-BG"/>
              </w:rPr>
              <w:t>1742.57</w:t>
            </w:r>
          </w:p>
        </w:tc>
        <w:tc>
          <w:tcPr>
            <w:tcW w:w="477" w:type="pct"/>
          </w:tcPr>
          <w:p w14:paraId="426AD6CC" w14:textId="77777777" w:rsidR="002A265A" w:rsidRPr="006F3533" w:rsidRDefault="002A265A" w:rsidP="00541E06">
            <w:pPr>
              <w:ind w:right="-138"/>
              <w:contextualSpacing/>
              <w:jc w:val="center"/>
              <w:rPr>
                <w:rFonts w:cs="Times New Roman"/>
                <w:sz w:val="22"/>
                <w:lang w:val="bg-BG"/>
              </w:rPr>
            </w:pPr>
            <w:r w:rsidRPr="006F3533">
              <w:rPr>
                <w:rFonts w:cs="Times New Roman"/>
                <w:sz w:val="22"/>
                <w:lang w:val="bg-BG"/>
              </w:rPr>
              <w:t>1376.61</w:t>
            </w:r>
          </w:p>
        </w:tc>
      </w:tr>
      <w:tr w:rsidR="002A265A" w:rsidRPr="006F3533" w14:paraId="181EB876" w14:textId="77777777" w:rsidTr="007C37A7">
        <w:trPr>
          <w:trHeight w:val="300"/>
        </w:trPr>
        <w:tc>
          <w:tcPr>
            <w:tcW w:w="380" w:type="pct"/>
          </w:tcPr>
          <w:p w14:paraId="1DAA6A94"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T</w:t>
            </w:r>
          </w:p>
        </w:tc>
        <w:tc>
          <w:tcPr>
            <w:tcW w:w="1292" w:type="pct"/>
          </w:tcPr>
          <w:p w14:paraId="2DC772C1"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Total</w:t>
            </w:r>
          </w:p>
        </w:tc>
        <w:tc>
          <w:tcPr>
            <w:tcW w:w="380" w:type="pct"/>
          </w:tcPr>
          <w:p w14:paraId="578A186C" w14:textId="77777777" w:rsidR="002A265A" w:rsidRPr="006F3533" w:rsidRDefault="002A265A" w:rsidP="00541E06">
            <w:pPr>
              <w:contextualSpacing/>
              <w:jc w:val="both"/>
              <w:rPr>
                <w:rFonts w:cs="Times New Roman"/>
                <w:sz w:val="22"/>
                <w:lang w:val="bg-BG"/>
              </w:rPr>
            </w:pPr>
          </w:p>
        </w:tc>
        <w:tc>
          <w:tcPr>
            <w:tcW w:w="532" w:type="pct"/>
          </w:tcPr>
          <w:p w14:paraId="67D7DDEB"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3 193.59</w:t>
            </w:r>
          </w:p>
        </w:tc>
        <w:tc>
          <w:tcPr>
            <w:tcW w:w="456" w:type="pct"/>
          </w:tcPr>
          <w:p w14:paraId="5F6975C8" w14:textId="77777777" w:rsidR="002A265A" w:rsidRPr="006F3533" w:rsidRDefault="002A265A" w:rsidP="00541E06">
            <w:pPr>
              <w:contextualSpacing/>
              <w:jc w:val="center"/>
              <w:rPr>
                <w:rFonts w:cs="Times New Roman"/>
                <w:sz w:val="22"/>
                <w:lang w:val="bg-BG"/>
              </w:rPr>
            </w:pPr>
          </w:p>
        </w:tc>
        <w:tc>
          <w:tcPr>
            <w:tcW w:w="456" w:type="pct"/>
          </w:tcPr>
          <w:p w14:paraId="6BD86BB2" w14:textId="77777777" w:rsidR="002A265A" w:rsidRPr="006F3533" w:rsidRDefault="002A265A" w:rsidP="00541E06">
            <w:pPr>
              <w:contextualSpacing/>
              <w:jc w:val="center"/>
              <w:rPr>
                <w:rFonts w:cs="Times New Roman"/>
                <w:sz w:val="22"/>
                <w:lang w:val="bg-BG"/>
              </w:rPr>
            </w:pPr>
          </w:p>
        </w:tc>
        <w:tc>
          <w:tcPr>
            <w:tcW w:w="532" w:type="pct"/>
          </w:tcPr>
          <w:p w14:paraId="68A87709" w14:textId="77777777" w:rsidR="002A265A" w:rsidRPr="006F3533" w:rsidRDefault="002A265A" w:rsidP="00541E06">
            <w:pPr>
              <w:contextualSpacing/>
              <w:jc w:val="center"/>
              <w:rPr>
                <w:rFonts w:cs="Times New Roman"/>
                <w:sz w:val="22"/>
                <w:lang w:val="bg-BG"/>
              </w:rPr>
            </w:pPr>
            <w:r w:rsidRPr="006F3533">
              <w:rPr>
                <w:rFonts w:cs="Times New Roman"/>
                <w:sz w:val="22"/>
                <w:lang w:val="bg-BG"/>
              </w:rPr>
              <w:t>5 758.01</w:t>
            </w:r>
          </w:p>
        </w:tc>
        <w:tc>
          <w:tcPr>
            <w:tcW w:w="496" w:type="pct"/>
          </w:tcPr>
          <w:p w14:paraId="21EB795A" w14:textId="77777777" w:rsidR="002A265A" w:rsidRPr="006F3533" w:rsidRDefault="002A265A" w:rsidP="00541E06">
            <w:pPr>
              <w:contextualSpacing/>
              <w:jc w:val="center"/>
              <w:rPr>
                <w:rFonts w:cs="Times New Roman"/>
                <w:sz w:val="22"/>
                <w:lang w:val="bg-BG"/>
              </w:rPr>
            </w:pPr>
          </w:p>
        </w:tc>
        <w:tc>
          <w:tcPr>
            <w:tcW w:w="477" w:type="pct"/>
          </w:tcPr>
          <w:p w14:paraId="619B2671" w14:textId="77777777" w:rsidR="002A265A" w:rsidRPr="006F3533" w:rsidRDefault="002A265A" w:rsidP="00541E06">
            <w:pPr>
              <w:contextualSpacing/>
              <w:jc w:val="center"/>
              <w:rPr>
                <w:rFonts w:cs="Times New Roman"/>
                <w:sz w:val="22"/>
                <w:lang w:val="bg-BG"/>
              </w:rPr>
            </w:pPr>
          </w:p>
        </w:tc>
      </w:tr>
    </w:tbl>
    <w:p w14:paraId="06540526" w14:textId="2FC68300" w:rsidR="002A265A" w:rsidRPr="006F3533" w:rsidRDefault="007C37A7" w:rsidP="006F0DA0">
      <w:pPr>
        <w:spacing w:before="100" w:beforeAutospacing="1" w:after="100" w:afterAutospacing="1" w:line="240" w:lineRule="auto"/>
        <w:jc w:val="both"/>
        <w:rPr>
          <w:rFonts w:eastAsia="Times New Roman" w:cs="Times New Roman"/>
          <w:b/>
          <w:bCs/>
          <w:sz w:val="28"/>
          <w:szCs w:val="28"/>
          <w:lang w:val="bg-BG"/>
        </w:rPr>
      </w:pPr>
      <w:r w:rsidRPr="006F3533">
        <w:rPr>
          <w:rFonts w:eastAsia="Times New Roman" w:cs="Times New Roman"/>
          <w:b/>
          <w:bCs/>
          <w:sz w:val="28"/>
          <w:szCs w:val="28"/>
          <w:lang w:val="bg-BG"/>
        </w:rPr>
        <w:t>Определяне на цели за обновена площ по типове сгради</w:t>
      </w:r>
    </w:p>
    <w:p w14:paraId="7E447503" w14:textId="77777777" w:rsidR="002A265A" w:rsidRPr="006F3533" w:rsidRDefault="002A265A" w:rsidP="002A265A">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Нежилищни сгради</w:t>
      </w:r>
    </w:p>
    <w:p w14:paraId="2349E336" w14:textId="0B258D00" w:rsidR="002A265A" w:rsidRPr="006F3533" w:rsidRDefault="002A265A" w:rsidP="002A265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При определянето на обновената площ (</w:t>
      </w:r>
      <w:r w:rsidR="007C37A7" w:rsidRPr="006F3533">
        <w:rPr>
          <w:rFonts w:eastAsia="Times New Roman" w:cs="Times New Roman"/>
          <w:szCs w:val="24"/>
          <w:lang w:val="bg-BG" w:eastAsia="en-GB"/>
        </w:rPr>
        <w:t>т</w:t>
      </w:r>
      <w:r w:rsidRPr="006F3533">
        <w:rPr>
          <w:rFonts w:eastAsia="Times New Roman" w:cs="Times New Roman"/>
          <w:szCs w:val="24"/>
          <w:lang w:val="bg-BG" w:eastAsia="en-GB"/>
        </w:rPr>
        <w:t>аблиц</w:t>
      </w:r>
      <w:r w:rsidR="007C37A7" w:rsidRPr="006F3533">
        <w:rPr>
          <w:rFonts w:eastAsia="Times New Roman" w:cs="Times New Roman"/>
          <w:szCs w:val="24"/>
          <w:lang w:val="bg-BG" w:eastAsia="en-GB"/>
        </w:rPr>
        <w:t>и</w:t>
      </w:r>
      <w:r w:rsidRPr="006F3533">
        <w:rPr>
          <w:rFonts w:eastAsia="Times New Roman" w:cs="Times New Roman"/>
          <w:szCs w:val="24"/>
          <w:lang w:val="bg-BG" w:eastAsia="en-GB"/>
        </w:rPr>
        <w:t xml:space="preserve"> 15a) са отчетени действащите и предстоящи изисквания на европейското законодателство, по-специално:</w:t>
      </w:r>
    </w:p>
    <w:p w14:paraId="649E507A" w14:textId="77777777" w:rsidR="002A265A" w:rsidRPr="006F3533" w:rsidRDefault="002A265A" w:rsidP="00551FED">
      <w:pPr>
        <w:numPr>
          <w:ilvl w:val="0"/>
          <w:numId w:val="88"/>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Годишен темп на обновяване от 3% за публичните сгради, съгласно изискванията на Директивата за енергийна ефективност (Директива (ЕС) 2023/1791, член 6), като обновяването се разглежда като цялостно (дълбоко) и водещо до значително подобряване на енергийните характеристики на сградите;</w:t>
      </w:r>
    </w:p>
    <w:p w14:paraId="28824B90" w14:textId="77777777" w:rsidR="002A265A" w:rsidRPr="006F3533" w:rsidRDefault="002A265A" w:rsidP="00551FED">
      <w:pPr>
        <w:numPr>
          <w:ilvl w:val="0"/>
          <w:numId w:val="88"/>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Минимални стандарти за енергийни характеристики (МСЕХ) за нежилищните сгради, съгласно Директивата за енергийните характеристики на сградите (Директива (ЕС) 2024/1275, член 9), включително задължението за обновяване на най-лошите 16% от нежилищния сграден фонд до 2030 г. и 26% до 2033 г., при национално определени прагове.</w:t>
      </w:r>
    </w:p>
    <w:p w14:paraId="299994BA" w14:textId="01FA1074" w:rsidR="002A265A" w:rsidRPr="006F3533" w:rsidRDefault="002A265A" w:rsidP="002A265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МСЕХ се прилагат за всички нежилищни сгради, независимо от формата на собственост. При изчисленията е отчетено припокриването между публичните сгради, обхванати от изискването за 3% годишен темп на обновяване, и сградите, попадащи в обхвата на МСЕХ, с цел избягване на двойно отчитане на ефекта от обновяването.</w:t>
      </w:r>
      <w:r w:rsidR="007C37A7" w:rsidRPr="006F3533">
        <w:rPr>
          <w:rFonts w:eastAsia="Times New Roman" w:cs="Times New Roman"/>
          <w:szCs w:val="24"/>
          <w:lang w:val="bg-BG" w:eastAsia="en-GB"/>
        </w:rPr>
        <w:t xml:space="preserve"> </w:t>
      </w:r>
      <w:r w:rsidRPr="006F3533">
        <w:rPr>
          <w:rFonts w:eastAsia="Times New Roman" w:cs="Times New Roman"/>
          <w:szCs w:val="24"/>
          <w:lang w:val="bg-BG" w:eastAsia="en-GB"/>
        </w:rPr>
        <w:t>Следвана е основно правило, при което се обновяват първи сградите с най-лоши характеристики, независимо дали с прилагане на цялостно или поетапно обновяване.</w:t>
      </w:r>
    </w:p>
    <w:p w14:paraId="03EB6D01" w14:textId="77777777" w:rsidR="002A265A" w:rsidRPr="006F3533" w:rsidRDefault="002A265A" w:rsidP="007C37A7">
      <w:pPr>
        <w:spacing w:line="240" w:lineRule="auto"/>
        <w:contextualSpacing/>
        <w:jc w:val="both"/>
        <w:rPr>
          <w:rFonts w:cs="Times New Roman"/>
          <w:i/>
          <w:iCs/>
          <w:color w:val="4472C4" w:themeColor="accent1"/>
          <w:szCs w:val="24"/>
          <w:lang w:val="bg-BG"/>
        </w:rPr>
      </w:pPr>
      <w:r w:rsidRPr="006F3533">
        <w:rPr>
          <w:rFonts w:cs="Times New Roman"/>
          <w:i/>
          <w:iCs/>
          <w:color w:val="4472C4" w:themeColor="accent1"/>
          <w:szCs w:val="24"/>
          <w:lang w:val="bg-BG"/>
        </w:rPr>
        <w:t>Таблица 15а. Цели за обновяване на нежилищни сгради за периода 2030-2050 г., m</w:t>
      </w:r>
      <w:r w:rsidRPr="006F3533">
        <w:rPr>
          <w:rFonts w:cs="Times New Roman"/>
          <w:i/>
          <w:iCs/>
          <w:color w:val="4472C4" w:themeColor="accent1"/>
          <w:szCs w:val="24"/>
          <w:vertAlign w:val="superscript"/>
          <w:lang w:val="bg-BG"/>
        </w:rPr>
        <w:t>2</w:t>
      </w:r>
      <w:r w:rsidRPr="006F3533">
        <w:rPr>
          <w:rFonts w:cs="Times New Roman"/>
          <w:i/>
          <w:iCs/>
          <w:color w:val="4472C4" w:themeColor="accent1"/>
          <w:szCs w:val="24"/>
          <w:lang w:val="bg-BG"/>
        </w:rPr>
        <w:t xml:space="preserve"> </w:t>
      </w:r>
    </w:p>
    <w:p w14:paraId="535538A9" w14:textId="77777777" w:rsidR="007C37A7" w:rsidRPr="006F3533" w:rsidRDefault="007C37A7" w:rsidP="007C37A7">
      <w:pPr>
        <w:spacing w:line="240" w:lineRule="auto"/>
        <w:contextualSpacing/>
        <w:jc w:val="both"/>
        <w:rPr>
          <w:rFonts w:cs="Times New Roman"/>
          <w:i/>
          <w:iCs/>
          <w:szCs w:val="24"/>
          <w:lang w:val="bg-BG"/>
        </w:rPr>
      </w:pPr>
    </w:p>
    <w:tbl>
      <w:tblPr>
        <w:tblW w:w="5000" w:type="pct"/>
        <w:tblLook w:val="04A0" w:firstRow="1" w:lastRow="0" w:firstColumn="1" w:lastColumn="0" w:noHBand="0" w:noVBand="1"/>
      </w:tblPr>
      <w:tblGrid>
        <w:gridCol w:w="4921"/>
        <w:gridCol w:w="1016"/>
        <w:gridCol w:w="1039"/>
        <w:gridCol w:w="1039"/>
        <w:gridCol w:w="1047"/>
      </w:tblGrid>
      <w:tr w:rsidR="002A265A" w:rsidRPr="006F3533" w14:paraId="731CD613" w14:textId="77777777" w:rsidTr="007C37A7">
        <w:trPr>
          <w:trHeight w:val="288"/>
        </w:trPr>
        <w:tc>
          <w:tcPr>
            <w:tcW w:w="2692" w:type="pct"/>
            <w:tcBorders>
              <w:top w:val="single" w:sz="4" w:space="0" w:color="auto"/>
              <w:left w:val="single" w:sz="4" w:space="0" w:color="auto"/>
              <w:bottom w:val="single" w:sz="4" w:space="0" w:color="auto"/>
              <w:right w:val="single" w:sz="4" w:space="0" w:color="auto"/>
            </w:tcBorders>
            <w:shd w:val="clear" w:color="000000" w:fill="D9D9D9"/>
            <w:noWrap/>
            <w:vAlign w:val="bottom"/>
          </w:tcPr>
          <w:p w14:paraId="79C17323"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Cs w:val="24"/>
                <w:lang w:val="bg-BG"/>
              </w:rPr>
              <w:t>Нежилищни сгради публична собственост</w:t>
            </w:r>
            <w:r w:rsidRPr="006F3533">
              <w:rPr>
                <w:rFonts w:eastAsia="Times New Roman" w:cs="Times New Roman"/>
                <w:b/>
                <w:bCs/>
                <w:sz w:val="22"/>
                <w:lang w:val="bg-BG"/>
              </w:rPr>
              <w:t>:</w:t>
            </w:r>
          </w:p>
        </w:tc>
        <w:tc>
          <w:tcPr>
            <w:tcW w:w="563" w:type="pct"/>
            <w:tcBorders>
              <w:top w:val="single" w:sz="4" w:space="0" w:color="auto"/>
              <w:left w:val="nil"/>
              <w:bottom w:val="single" w:sz="4" w:space="0" w:color="auto"/>
              <w:right w:val="single" w:sz="4" w:space="0" w:color="auto"/>
            </w:tcBorders>
            <w:shd w:val="clear" w:color="000000" w:fill="D9D9D9"/>
            <w:noWrap/>
            <w:vAlign w:val="bottom"/>
          </w:tcPr>
          <w:p w14:paraId="0D6AF343"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2025-2030</w:t>
            </w:r>
          </w:p>
        </w:tc>
        <w:tc>
          <w:tcPr>
            <w:tcW w:w="575" w:type="pct"/>
            <w:tcBorders>
              <w:top w:val="single" w:sz="4" w:space="0" w:color="auto"/>
              <w:left w:val="nil"/>
              <w:bottom w:val="single" w:sz="4" w:space="0" w:color="auto"/>
              <w:right w:val="single" w:sz="4" w:space="0" w:color="auto"/>
            </w:tcBorders>
            <w:shd w:val="clear" w:color="000000" w:fill="D9D9D9"/>
            <w:noWrap/>
            <w:vAlign w:val="bottom"/>
          </w:tcPr>
          <w:p w14:paraId="5B031A65"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2031-2033</w:t>
            </w:r>
          </w:p>
        </w:tc>
        <w:tc>
          <w:tcPr>
            <w:tcW w:w="575" w:type="pct"/>
            <w:tcBorders>
              <w:top w:val="single" w:sz="4" w:space="0" w:color="auto"/>
              <w:left w:val="nil"/>
              <w:bottom w:val="single" w:sz="4" w:space="0" w:color="auto"/>
              <w:right w:val="single" w:sz="4" w:space="0" w:color="auto"/>
            </w:tcBorders>
            <w:shd w:val="clear" w:color="000000" w:fill="D9D9D9"/>
            <w:noWrap/>
            <w:vAlign w:val="bottom"/>
          </w:tcPr>
          <w:p w14:paraId="2118725B"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2034-2040</w:t>
            </w:r>
          </w:p>
        </w:tc>
        <w:tc>
          <w:tcPr>
            <w:tcW w:w="595" w:type="pct"/>
            <w:tcBorders>
              <w:top w:val="single" w:sz="4" w:space="0" w:color="auto"/>
              <w:left w:val="nil"/>
              <w:bottom w:val="single" w:sz="4" w:space="0" w:color="auto"/>
              <w:right w:val="single" w:sz="4" w:space="0" w:color="auto"/>
            </w:tcBorders>
            <w:shd w:val="clear" w:color="000000" w:fill="D9D9D9"/>
            <w:noWrap/>
            <w:vAlign w:val="bottom"/>
          </w:tcPr>
          <w:p w14:paraId="41E7C27C"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2041-2050</w:t>
            </w:r>
          </w:p>
        </w:tc>
      </w:tr>
      <w:tr w:rsidR="002A265A" w:rsidRPr="006F3533" w14:paraId="2215A704"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344D9E99"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Цялостно обновяване до клас А</w:t>
            </w:r>
          </w:p>
        </w:tc>
        <w:tc>
          <w:tcPr>
            <w:tcW w:w="563" w:type="pct"/>
            <w:tcBorders>
              <w:top w:val="nil"/>
              <w:left w:val="nil"/>
              <w:bottom w:val="single" w:sz="4" w:space="0" w:color="auto"/>
              <w:right w:val="single" w:sz="4" w:space="0" w:color="auto"/>
            </w:tcBorders>
            <w:noWrap/>
            <w:vAlign w:val="bottom"/>
          </w:tcPr>
          <w:p w14:paraId="20CA2BA0"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428472</w:t>
            </w:r>
          </w:p>
        </w:tc>
        <w:tc>
          <w:tcPr>
            <w:tcW w:w="575" w:type="pct"/>
            <w:tcBorders>
              <w:top w:val="nil"/>
              <w:left w:val="nil"/>
              <w:bottom w:val="single" w:sz="4" w:space="0" w:color="auto"/>
              <w:right w:val="single" w:sz="4" w:space="0" w:color="auto"/>
            </w:tcBorders>
            <w:noWrap/>
            <w:vAlign w:val="bottom"/>
          </w:tcPr>
          <w:p w14:paraId="06F85D04"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0115054D"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1E78F9D8"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6A2B0141"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33B517BD"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Цялостно обновяване до клас В</w:t>
            </w:r>
          </w:p>
        </w:tc>
        <w:tc>
          <w:tcPr>
            <w:tcW w:w="563" w:type="pct"/>
            <w:tcBorders>
              <w:top w:val="nil"/>
              <w:left w:val="nil"/>
              <w:bottom w:val="single" w:sz="4" w:space="0" w:color="auto"/>
              <w:right w:val="single" w:sz="4" w:space="0" w:color="auto"/>
            </w:tcBorders>
            <w:noWrap/>
            <w:vAlign w:val="bottom"/>
          </w:tcPr>
          <w:p w14:paraId="455C703C"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2837612</w:t>
            </w:r>
          </w:p>
        </w:tc>
        <w:tc>
          <w:tcPr>
            <w:tcW w:w="575" w:type="pct"/>
            <w:tcBorders>
              <w:top w:val="nil"/>
              <w:left w:val="nil"/>
              <w:bottom w:val="single" w:sz="4" w:space="0" w:color="auto"/>
              <w:right w:val="single" w:sz="4" w:space="0" w:color="auto"/>
            </w:tcBorders>
            <w:noWrap/>
            <w:vAlign w:val="bottom"/>
          </w:tcPr>
          <w:p w14:paraId="064A8355"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739D0148"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69472A34"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7B571721"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0EDBF7D4"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до клас E (цел МСЕХ 2030)</w:t>
            </w:r>
          </w:p>
        </w:tc>
        <w:tc>
          <w:tcPr>
            <w:tcW w:w="563" w:type="pct"/>
            <w:tcBorders>
              <w:top w:val="nil"/>
              <w:left w:val="nil"/>
              <w:bottom w:val="single" w:sz="4" w:space="0" w:color="auto"/>
              <w:right w:val="single" w:sz="4" w:space="0" w:color="auto"/>
            </w:tcBorders>
            <w:noWrap/>
            <w:vAlign w:val="bottom"/>
          </w:tcPr>
          <w:p w14:paraId="27BF31FF"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6CEDBD08"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7779BAFD"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14076915"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02E17C7A"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571F3849"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до клас D (цел МСЕХ 2033)</w:t>
            </w:r>
          </w:p>
        </w:tc>
        <w:tc>
          <w:tcPr>
            <w:tcW w:w="563" w:type="pct"/>
            <w:tcBorders>
              <w:top w:val="nil"/>
              <w:left w:val="nil"/>
              <w:bottom w:val="single" w:sz="4" w:space="0" w:color="auto"/>
              <w:right w:val="single" w:sz="4" w:space="0" w:color="auto"/>
            </w:tcBorders>
            <w:noWrap/>
            <w:vAlign w:val="bottom"/>
          </w:tcPr>
          <w:p w14:paraId="63BF268D"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3736EDDA"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448026</w:t>
            </w:r>
          </w:p>
        </w:tc>
        <w:tc>
          <w:tcPr>
            <w:tcW w:w="575" w:type="pct"/>
            <w:tcBorders>
              <w:top w:val="nil"/>
              <w:left w:val="nil"/>
              <w:bottom w:val="single" w:sz="4" w:space="0" w:color="auto"/>
              <w:right w:val="single" w:sz="4" w:space="0" w:color="auto"/>
            </w:tcBorders>
            <w:noWrap/>
            <w:vAlign w:val="bottom"/>
          </w:tcPr>
          <w:p w14:paraId="514F9CFC"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764652C0"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2E6BA012"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1F70F704"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до клас С (цел МСЕХ 2040)</w:t>
            </w:r>
          </w:p>
        </w:tc>
        <w:tc>
          <w:tcPr>
            <w:tcW w:w="563" w:type="pct"/>
            <w:tcBorders>
              <w:top w:val="nil"/>
              <w:left w:val="nil"/>
              <w:bottom w:val="single" w:sz="4" w:space="0" w:color="auto"/>
              <w:right w:val="single" w:sz="4" w:space="0" w:color="auto"/>
            </w:tcBorders>
            <w:noWrap/>
            <w:vAlign w:val="bottom"/>
          </w:tcPr>
          <w:p w14:paraId="4BC10BC1"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47ECB78A"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5F4A0D76"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448026</w:t>
            </w:r>
          </w:p>
        </w:tc>
        <w:tc>
          <w:tcPr>
            <w:tcW w:w="595" w:type="pct"/>
            <w:tcBorders>
              <w:top w:val="nil"/>
              <w:left w:val="nil"/>
              <w:bottom w:val="single" w:sz="4" w:space="0" w:color="auto"/>
              <w:right w:val="single" w:sz="4" w:space="0" w:color="auto"/>
            </w:tcBorders>
            <w:noWrap/>
            <w:vAlign w:val="bottom"/>
          </w:tcPr>
          <w:p w14:paraId="36F34A06"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53C3B6EB"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71E8AED9"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до клас В (цел МСЕХ 2040)</w:t>
            </w:r>
          </w:p>
        </w:tc>
        <w:tc>
          <w:tcPr>
            <w:tcW w:w="563" w:type="pct"/>
            <w:tcBorders>
              <w:top w:val="nil"/>
              <w:left w:val="nil"/>
              <w:bottom w:val="single" w:sz="4" w:space="0" w:color="auto"/>
              <w:right w:val="single" w:sz="4" w:space="0" w:color="auto"/>
            </w:tcBorders>
            <w:noWrap/>
            <w:vAlign w:val="bottom"/>
          </w:tcPr>
          <w:p w14:paraId="0688B2A5"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453A2880"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6330980E"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5A463DF5"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4DFE6851"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164D4A30"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до СБНПЕ (цел МСЕХ 2050)</w:t>
            </w:r>
          </w:p>
        </w:tc>
        <w:tc>
          <w:tcPr>
            <w:tcW w:w="563" w:type="pct"/>
            <w:tcBorders>
              <w:top w:val="nil"/>
              <w:left w:val="nil"/>
              <w:bottom w:val="single" w:sz="4" w:space="0" w:color="auto"/>
              <w:right w:val="single" w:sz="4" w:space="0" w:color="auto"/>
            </w:tcBorders>
            <w:noWrap/>
            <w:vAlign w:val="bottom"/>
          </w:tcPr>
          <w:p w14:paraId="2E23CDBC"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2E9864EA"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276420A7"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4745709F"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448026</w:t>
            </w:r>
          </w:p>
        </w:tc>
      </w:tr>
      <w:tr w:rsidR="002A265A" w:rsidRPr="006F3533" w14:paraId="0F50A260"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33F4BC20"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Цялостно обновяване до СБНПЕ</w:t>
            </w:r>
          </w:p>
        </w:tc>
        <w:tc>
          <w:tcPr>
            <w:tcW w:w="563" w:type="pct"/>
            <w:tcBorders>
              <w:top w:val="nil"/>
              <w:left w:val="nil"/>
              <w:bottom w:val="single" w:sz="4" w:space="0" w:color="auto"/>
              <w:right w:val="single" w:sz="4" w:space="0" w:color="auto"/>
            </w:tcBorders>
            <w:noWrap/>
            <w:vAlign w:val="bottom"/>
          </w:tcPr>
          <w:p w14:paraId="4EE1E327"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11071</w:t>
            </w:r>
          </w:p>
        </w:tc>
        <w:tc>
          <w:tcPr>
            <w:tcW w:w="575" w:type="pct"/>
            <w:tcBorders>
              <w:top w:val="nil"/>
              <w:left w:val="nil"/>
              <w:bottom w:val="single" w:sz="4" w:space="0" w:color="auto"/>
              <w:right w:val="single" w:sz="4" w:space="0" w:color="auto"/>
            </w:tcBorders>
            <w:noWrap/>
            <w:vAlign w:val="bottom"/>
          </w:tcPr>
          <w:p w14:paraId="4AD42C9A"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1966293</w:t>
            </w:r>
          </w:p>
        </w:tc>
        <w:tc>
          <w:tcPr>
            <w:tcW w:w="575" w:type="pct"/>
            <w:tcBorders>
              <w:top w:val="nil"/>
              <w:left w:val="nil"/>
              <w:bottom w:val="single" w:sz="4" w:space="0" w:color="auto"/>
              <w:right w:val="single" w:sz="4" w:space="0" w:color="auto"/>
            </w:tcBorders>
            <w:noWrap/>
            <w:vAlign w:val="bottom"/>
          </w:tcPr>
          <w:p w14:paraId="48BFFD31"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4588017</w:t>
            </w:r>
          </w:p>
        </w:tc>
        <w:tc>
          <w:tcPr>
            <w:tcW w:w="595" w:type="pct"/>
            <w:tcBorders>
              <w:top w:val="nil"/>
              <w:left w:val="nil"/>
              <w:bottom w:val="single" w:sz="4" w:space="0" w:color="auto"/>
              <w:right w:val="single" w:sz="4" w:space="0" w:color="auto"/>
            </w:tcBorders>
            <w:noWrap/>
            <w:vAlign w:val="bottom"/>
          </w:tcPr>
          <w:p w14:paraId="08611433"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5850420</w:t>
            </w:r>
          </w:p>
        </w:tc>
      </w:tr>
      <w:tr w:rsidR="002A265A" w:rsidRPr="006F3533" w14:paraId="5FDBE178"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2371F90B"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Цялостно обновяване до СНЕ</w:t>
            </w:r>
          </w:p>
        </w:tc>
        <w:tc>
          <w:tcPr>
            <w:tcW w:w="563" w:type="pct"/>
            <w:tcBorders>
              <w:top w:val="nil"/>
              <w:left w:val="nil"/>
              <w:bottom w:val="single" w:sz="4" w:space="0" w:color="auto"/>
              <w:right w:val="single" w:sz="4" w:space="0" w:color="auto"/>
            </w:tcBorders>
            <w:noWrap/>
            <w:vAlign w:val="bottom"/>
          </w:tcPr>
          <w:p w14:paraId="666BEF5D"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55CAB0DB"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5BEF94E1"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112F54FB"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9231394</w:t>
            </w:r>
          </w:p>
        </w:tc>
      </w:tr>
      <w:tr w:rsidR="002A265A" w:rsidRPr="006F3533" w14:paraId="03BD772A" w14:textId="77777777" w:rsidTr="007C37A7">
        <w:trPr>
          <w:trHeight w:val="288"/>
        </w:trPr>
        <w:tc>
          <w:tcPr>
            <w:tcW w:w="2692" w:type="pct"/>
            <w:tcBorders>
              <w:top w:val="nil"/>
              <w:left w:val="single" w:sz="4" w:space="0" w:color="auto"/>
              <w:bottom w:val="single" w:sz="4" w:space="0" w:color="auto"/>
              <w:right w:val="single" w:sz="4" w:space="0" w:color="auto"/>
            </w:tcBorders>
            <w:shd w:val="clear" w:color="000000" w:fill="F2F2F2"/>
            <w:noWrap/>
            <w:vAlign w:val="bottom"/>
          </w:tcPr>
          <w:p w14:paraId="1165B2F4"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Цел за обновяване по 3% - с натрупване</w:t>
            </w:r>
          </w:p>
        </w:tc>
        <w:tc>
          <w:tcPr>
            <w:tcW w:w="563" w:type="pct"/>
            <w:tcBorders>
              <w:top w:val="nil"/>
              <w:left w:val="nil"/>
              <w:bottom w:val="single" w:sz="4" w:space="0" w:color="auto"/>
              <w:right w:val="single" w:sz="4" w:space="0" w:color="auto"/>
            </w:tcBorders>
            <w:shd w:val="clear" w:color="000000" w:fill="F2F2F2"/>
            <w:noWrap/>
            <w:vAlign w:val="bottom"/>
          </w:tcPr>
          <w:p w14:paraId="058F05DF"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3277155</w:t>
            </w:r>
          </w:p>
        </w:tc>
        <w:tc>
          <w:tcPr>
            <w:tcW w:w="575" w:type="pct"/>
            <w:tcBorders>
              <w:top w:val="nil"/>
              <w:left w:val="nil"/>
              <w:bottom w:val="single" w:sz="4" w:space="0" w:color="auto"/>
              <w:right w:val="single" w:sz="4" w:space="0" w:color="auto"/>
            </w:tcBorders>
            <w:shd w:val="clear" w:color="000000" w:fill="F2F2F2"/>
            <w:noWrap/>
            <w:vAlign w:val="bottom"/>
          </w:tcPr>
          <w:p w14:paraId="5AE0FD93"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5243448</w:t>
            </w:r>
          </w:p>
        </w:tc>
        <w:tc>
          <w:tcPr>
            <w:tcW w:w="575" w:type="pct"/>
            <w:tcBorders>
              <w:top w:val="nil"/>
              <w:left w:val="nil"/>
              <w:bottom w:val="single" w:sz="4" w:space="0" w:color="auto"/>
              <w:right w:val="single" w:sz="4" w:space="0" w:color="auto"/>
            </w:tcBorders>
            <w:shd w:val="clear" w:color="000000" w:fill="F2F2F2"/>
            <w:noWrap/>
            <w:vAlign w:val="bottom"/>
          </w:tcPr>
          <w:p w14:paraId="046CC7C6"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9831466</w:t>
            </w:r>
          </w:p>
        </w:tc>
        <w:tc>
          <w:tcPr>
            <w:tcW w:w="595" w:type="pct"/>
            <w:tcBorders>
              <w:top w:val="nil"/>
              <w:left w:val="nil"/>
              <w:bottom w:val="single" w:sz="4" w:space="0" w:color="auto"/>
              <w:right w:val="single" w:sz="4" w:space="0" w:color="auto"/>
            </w:tcBorders>
            <w:shd w:val="clear" w:color="000000" w:fill="F2F2F2"/>
            <w:noWrap/>
            <w:vAlign w:val="bottom"/>
          </w:tcPr>
          <w:p w14:paraId="5C38A276"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16385776</w:t>
            </w:r>
          </w:p>
        </w:tc>
      </w:tr>
      <w:tr w:rsidR="002A265A" w:rsidRPr="006F3533" w14:paraId="2EAEA617" w14:textId="77777777" w:rsidTr="007C37A7">
        <w:trPr>
          <w:trHeight w:val="288"/>
        </w:trPr>
        <w:tc>
          <w:tcPr>
            <w:tcW w:w="2692" w:type="pct"/>
            <w:tcBorders>
              <w:top w:val="nil"/>
              <w:left w:val="single" w:sz="4" w:space="0" w:color="auto"/>
              <w:bottom w:val="single" w:sz="4" w:space="0" w:color="auto"/>
              <w:right w:val="single" w:sz="4" w:space="0" w:color="auto"/>
            </w:tcBorders>
            <w:shd w:val="clear" w:color="000000" w:fill="F2F2F2"/>
            <w:noWrap/>
            <w:vAlign w:val="bottom"/>
          </w:tcPr>
          <w:p w14:paraId="1691481F"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Цел за обновяване до МСЕХ  (спрямо 2019 г.)</w:t>
            </w:r>
          </w:p>
        </w:tc>
        <w:tc>
          <w:tcPr>
            <w:tcW w:w="563" w:type="pct"/>
            <w:tcBorders>
              <w:top w:val="nil"/>
              <w:left w:val="nil"/>
              <w:bottom w:val="single" w:sz="4" w:space="0" w:color="auto"/>
              <w:right w:val="single" w:sz="4" w:space="0" w:color="auto"/>
            </w:tcBorders>
            <w:shd w:val="clear" w:color="000000" w:fill="F2F2F2"/>
            <w:noWrap/>
            <w:vAlign w:val="bottom"/>
          </w:tcPr>
          <w:p w14:paraId="5E889A23"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3006605</w:t>
            </w:r>
          </w:p>
        </w:tc>
        <w:tc>
          <w:tcPr>
            <w:tcW w:w="575" w:type="pct"/>
            <w:tcBorders>
              <w:top w:val="nil"/>
              <w:left w:val="nil"/>
              <w:bottom w:val="single" w:sz="4" w:space="0" w:color="auto"/>
              <w:right w:val="single" w:sz="4" w:space="0" w:color="auto"/>
            </w:tcBorders>
            <w:shd w:val="clear" w:color="000000" w:fill="F2F2F2"/>
            <w:noWrap/>
            <w:vAlign w:val="bottom"/>
          </w:tcPr>
          <w:p w14:paraId="398E187E"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5680402</w:t>
            </w:r>
          </w:p>
        </w:tc>
        <w:tc>
          <w:tcPr>
            <w:tcW w:w="575" w:type="pct"/>
            <w:tcBorders>
              <w:top w:val="nil"/>
              <w:left w:val="nil"/>
              <w:bottom w:val="single" w:sz="4" w:space="0" w:color="auto"/>
              <w:right w:val="single" w:sz="4" w:space="0" w:color="auto"/>
            </w:tcBorders>
            <w:shd w:val="clear" w:color="000000" w:fill="F2F2F2"/>
            <w:noWrap/>
            <w:vAlign w:val="bottom"/>
          </w:tcPr>
          <w:p w14:paraId="1B4E6335"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8083650</w:t>
            </w:r>
          </w:p>
        </w:tc>
        <w:tc>
          <w:tcPr>
            <w:tcW w:w="595" w:type="pct"/>
            <w:tcBorders>
              <w:top w:val="nil"/>
              <w:left w:val="nil"/>
              <w:bottom w:val="single" w:sz="4" w:space="0" w:color="auto"/>
              <w:right w:val="single" w:sz="4" w:space="0" w:color="auto"/>
            </w:tcBorders>
            <w:shd w:val="clear" w:color="000000" w:fill="F2F2F2"/>
            <w:noWrap/>
            <w:vAlign w:val="bottom"/>
          </w:tcPr>
          <w:p w14:paraId="29409C08"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12016236</w:t>
            </w:r>
          </w:p>
        </w:tc>
      </w:tr>
      <w:tr w:rsidR="002A265A" w:rsidRPr="006F3533" w14:paraId="290A5C84" w14:textId="77777777" w:rsidTr="007C37A7">
        <w:trPr>
          <w:trHeight w:val="288"/>
        </w:trPr>
        <w:tc>
          <w:tcPr>
            <w:tcW w:w="2692" w:type="pct"/>
            <w:tcBorders>
              <w:top w:val="nil"/>
              <w:left w:val="single" w:sz="4" w:space="0" w:color="auto"/>
              <w:bottom w:val="single" w:sz="4" w:space="0" w:color="auto"/>
              <w:right w:val="single" w:sz="4" w:space="0" w:color="auto"/>
            </w:tcBorders>
            <w:shd w:val="clear" w:color="000000" w:fill="D9D9D9"/>
            <w:noWrap/>
            <w:vAlign w:val="bottom"/>
          </w:tcPr>
          <w:p w14:paraId="7D268942"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Цел спрямо МСЕХ</w:t>
            </w:r>
          </w:p>
        </w:tc>
        <w:tc>
          <w:tcPr>
            <w:tcW w:w="563" w:type="pct"/>
            <w:tcBorders>
              <w:top w:val="nil"/>
              <w:left w:val="nil"/>
              <w:bottom w:val="single" w:sz="4" w:space="0" w:color="auto"/>
              <w:right w:val="single" w:sz="4" w:space="0" w:color="auto"/>
            </w:tcBorders>
            <w:shd w:val="clear" w:color="000000" w:fill="D9D9D9"/>
            <w:noWrap/>
            <w:vAlign w:val="bottom"/>
          </w:tcPr>
          <w:p w14:paraId="4A6C9F10"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16 % клас Е</w:t>
            </w:r>
          </w:p>
        </w:tc>
        <w:tc>
          <w:tcPr>
            <w:tcW w:w="575" w:type="pct"/>
            <w:tcBorders>
              <w:top w:val="nil"/>
              <w:left w:val="nil"/>
              <w:bottom w:val="single" w:sz="4" w:space="0" w:color="auto"/>
              <w:right w:val="single" w:sz="4" w:space="0" w:color="auto"/>
            </w:tcBorders>
            <w:shd w:val="clear" w:color="000000" w:fill="D9D9D9"/>
            <w:noWrap/>
            <w:vAlign w:val="bottom"/>
          </w:tcPr>
          <w:p w14:paraId="441F0CD8"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26 % клас D</w:t>
            </w:r>
          </w:p>
        </w:tc>
        <w:tc>
          <w:tcPr>
            <w:tcW w:w="575" w:type="pct"/>
            <w:tcBorders>
              <w:top w:val="nil"/>
              <w:left w:val="nil"/>
              <w:bottom w:val="single" w:sz="4" w:space="0" w:color="auto"/>
              <w:right w:val="single" w:sz="4" w:space="0" w:color="auto"/>
            </w:tcBorders>
            <w:shd w:val="clear" w:color="000000" w:fill="D9D9D9"/>
            <w:noWrap/>
            <w:vAlign w:val="bottom"/>
          </w:tcPr>
          <w:p w14:paraId="763C80C0"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37 % клас С</w:t>
            </w:r>
          </w:p>
        </w:tc>
        <w:tc>
          <w:tcPr>
            <w:tcW w:w="595" w:type="pct"/>
            <w:tcBorders>
              <w:top w:val="nil"/>
              <w:left w:val="nil"/>
              <w:bottom w:val="single" w:sz="4" w:space="0" w:color="auto"/>
              <w:right w:val="single" w:sz="4" w:space="0" w:color="auto"/>
            </w:tcBorders>
            <w:shd w:val="clear" w:color="000000" w:fill="D9D9D9"/>
            <w:noWrap/>
            <w:vAlign w:val="bottom"/>
          </w:tcPr>
          <w:p w14:paraId="0A242E21"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50 % СБНПЕ</w:t>
            </w:r>
          </w:p>
        </w:tc>
      </w:tr>
      <w:tr w:rsidR="002A265A" w:rsidRPr="006F3533" w14:paraId="2C1C2908"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0D8BF418"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Общо – цялостно обновена площ (спрямо цел 3%) – с натрупване</w:t>
            </w:r>
          </w:p>
        </w:tc>
        <w:tc>
          <w:tcPr>
            <w:tcW w:w="563" w:type="pct"/>
            <w:tcBorders>
              <w:top w:val="nil"/>
              <w:left w:val="nil"/>
              <w:bottom w:val="single" w:sz="4" w:space="0" w:color="auto"/>
              <w:right w:val="single" w:sz="4" w:space="0" w:color="auto"/>
            </w:tcBorders>
            <w:noWrap/>
            <w:vAlign w:val="bottom"/>
          </w:tcPr>
          <w:p w14:paraId="4D2002C7"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3277155</w:t>
            </w:r>
          </w:p>
        </w:tc>
        <w:tc>
          <w:tcPr>
            <w:tcW w:w="575" w:type="pct"/>
            <w:tcBorders>
              <w:top w:val="nil"/>
              <w:left w:val="nil"/>
              <w:bottom w:val="single" w:sz="4" w:space="0" w:color="auto"/>
              <w:right w:val="single" w:sz="4" w:space="0" w:color="auto"/>
            </w:tcBorders>
            <w:noWrap/>
            <w:vAlign w:val="bottom"/>
          </w:tcPr>
          <w:p w14:paraId="60175FC3"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5243448</w:t>
            </w:r>
          </w:p>
        </w:tc>
        <w:tc>
          <w:tcPr>
            <w:tcW w:w="575" w:type="pct"/>
            <w:tcBorders>
              <w:top w:val="nil"/>
              <w:left w:val="nil"/>
              <w:bottom w:val="single" w:sz="4" w:space="0" w:color="auto"/>
              <w:right w:val="single" w:sz="4" w:space="0" w:color="auto"/>
            </w:tcBorders>
            <w:noWrap/>
            <w:vAlign w:val="bottom"/>
          </w:tcPr>
          <w:p w14:paraId="7BC1A303"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9831465</w:t>
            </w:r>
          </w:p>
        </w:tc>
        <w:tc>
          <w:tcPr>
            <w:tcW w:w="595" w:type="pct"/>
            <w:tcBorders>
              <w:top w:val="nil"/>
              <w:left w:val="nil"/>
              <w:bottom w:val="single" w:sz="4" w:space="0" w:color="auto"/>
              <w:right w:val="single" w:sz="4" w:space="0" w:color="auto"/>
            </w:tcBorders>
            <w:noWrap/>
            <w:vAlign w:val="bottom"/>
          </w:tcPr>
          <w:p w14:paraId="4E97AEDD"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24913279</w:t>
            </w:r>
          </w:p>
        </w:tc>
      </w:tr>
      <w:tr w:rsidR="002A265A" w:rsidRPr="006F3533" w14:paraId="252A7EDF"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4F5EDC17"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Общо – поетапно обновена площ – с натрупване</w:t>
            </w:r>
          </w:p>
        </w:tc>
        <w:tc>
          <w:tcPr>
            <w:tcW w:w="563" w:type="pct"/>
            <w:tcBorders>
              <w:top w:val="nil"/>
              <w:left w:val="nil"/>
              <w:bottom w:val="single" w:sz="4" w:space="0" w:color="auto"/>
              <w:right w:val="single" w:sz="4" w:space="0" w:color="auto"/>
            </w:tcBorders>
            <w:noWrap/>
            <w:vAlign w:val="bottom"/>
          </w:tcPr>
          <w:p w14:paraId="052E4370"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0</w:t>
            </w:r>
          </w:p>
        </w:tc>
        <w:tc>
          <w:tcPr>
            <w:tcW w:w="575" w:type="pct"/>
            <w:tcBorders>
              <w:top w:val="nil"/>
              <w:left w:val="nil"/>
              <w:bottom w:val="single" w:sz="4" w:space="0" w:color="auto"/>
              <w:right w:val="single" w:sz="4" w:space="0" w:color="auto"/>
            </w:tcBorders>
            <w:noWrap/>
            <w:vAlign w:val="bottom"/>
          </w:tcPr>
          <w:p w14:paraId="5ADDD470"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448026</w:t>
            </w:r>
          </w:p>
        </w:tc>
        <w:tc>
          <w:tcPr>
            <w:tcW w:w="575" w:type="pct"/>
            <w:tcBorders>
              <w:top w:val="nil"/>
              <w:left w:val="nil"/>
              <w:bottom w:val="single" w:sz="4" w:space="0" w:color="auto"/>
              <w:right w:val="single" w:sz="4" w:space="0" w:color="auto"/>
            </w:tcBorders>
            <w:noWrap/>
            <w:vAlign w:val="bottom"/>
          </w:tcPr>
          <w:p w14:paraId="0B2BA1BC"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448026</w:t>
            </w:r>
          </w:p>
        </w:tc>
        <w:tc>
          <w:tcPr>
            <w:tcW w:w="595" w:type="pct"/>
            <w:tcBorders>
              <w:top w:val="nil"/>
              <w:left w:val="nil"/>
              <w:bottom w:val="single" w:sz="4" w:space="0" w:color="auto"/>
              <w:right w:val="single" w:sz="4" w:space="0" w:color="auto"/>
            </w:tcBorders>
            <w:noWrap/>
            <w:vAlign w:val="bottom"/>
          </w:tcPr>
          <w:p w14:paraId="23E862FE"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448026</w:t>
            </w:r>
          </w:p>
        </w:tc>
      </w:tr>
      <w:tr w:rsidR="002A265A" w:rsidRPr="006F3533" w14:paraId="6FB5F443"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6A51E742"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Общо – обновена площ под праг на МСЕХ – с натрупване</w:t>
            </w:r>
          </w:p>
        </w:tc>
        <w:tc>
          <w:tcPr>
            <w:tcW w:w="563" w:type="pct"/>
            <w:tcBorders>
              <w:top w:val="nil"/>
              <w:left w:val="nil"/>
              <w:bottom w:val="single" w:sz="4" w:space="0" w:color="auto"/>
              <w:right w:val="single" w:sz="4" w:space="0" w:color="auto"/>
            </w:tcBorders>
            <w:noWrap/>
            <w:vAlign w:val="bottom"/>
          </w:tcPr>
          <w:p w14:paraId="6321BC4C"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3277155</w:t>
            </w:r>
          </w:p>
        </w:tc>
        <w:tc>
          <w:tcPr>
            <w:tcW w:w="575" w:type="pct"/>
            <w:tcBorders>
              <w:top w:val="nil"/>
              <w:left w:val="nil"/>
              <w:bottom w:val="single" w:sz="4" w:space="0" w:color="auto"/>
              <w:right w:val="single" w:sz="4" w:space="0" w:color="auto"/>
            </w:tcBorders>
            <w:noWrap/>
            <w:vAlign w:val="bottom"/>
          </w:tcPr>
          <w:p w14:paraId="204189FA"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5691474</w:t>
            </w:r>
          </w:p>
        </w:tc>
        <w:tc>
          <w:tcPr>
            <w:tcW w:w="575" w:type="pct"/>
            <w:tcBorders>
              <w:top w:val="nil"/>
              <w:left w:val="nil"/>
              <w:bottom w:val="single" w:sz="4" w:space="0" w:color="auto"/>
              <w:right w:val="single" w:sz="4" w:space="0" w:color="auto"/>
            </w:tcBorders>
            <w:noWrap/>
            <w:vAlign w:val="bottom"/>
          </w:tcPr>
          <w:p w14:paraId="0D56F18C"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10727517</w:t>
            </w:r>
          </w:p>
        </w:tc>
        <w:tc>
          <w:tcPr>
            <w:tcW w:w="595" w:type="pct"/>
            <w:tcBorders>
              <w:top w:val="nil"/>
              <w:left w:val="nil"/>
              <w:bottom w:val="single" w:sz="4" w:space="0" w:color="auto"/>
              <w:right w:val="single" w:sz="4" w:space="0" w:color="auto"/>
            </w:tcBorders>
            <w:noWrap/>
            <w:vAlign w:val="bottom"/>
          </w:tcPr>
          <w:p w14:paraId="5B7D4466"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25361305</w:t>
            </w:r>
          </w:p>
        </w:tc>
      </w:tr>
      <w:tr w:rsidR="002A265A" w:rsidRPr="006F3533" w14:paraId="55BFB38C" w14:textId="77777777" w:rsidTr="007C37A7">
        <w:trPr>
          <w:trHeight w:val="288"/>
        </w:trPr>
        <w:tc>
          <w:tcPr>
            <w:tcW w:w="2692" w:type="pct"/>
            <w:tcBorders>
              <w:top w:val="nil"/>
              <w:left w:val="single" w:sz="4" w:space="0" w:color="auto"/>
              <w:bottom w:val="nil"/>
              <w:right w:val="single" w:sz="4" w:space="0" w:color="auto"/>
            </w:tcBorders>
            <w:shd w:val="clear" w:color="000000" w:fill="F2F2F2"/>
            <w:noWrap/>
            <w:vAlign w:val="bottom"/>
          </w:tcPr>
          <w:p w14:paraId="3268AE2B"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Изпълнение на целите</w:t>
            </w:r>
          </w:p>
        </w:tc>
        <w:tc>
          <w:tcPr>
            <w:tcW w:w="563" w:type="pct"/>
            <w:tcBorders>
              <w:top w:val="nil"/>
              <w:left w:val="nil"/>
              <w:bottom w:val="single" w:sz="4" w:space="0" w:color="auto"/>
              <w:right w:val="single" w:sz="4" w:space="0" w:color="auto"/>
            </w:tcBorders>
            <w:shd w:val="clear" w:color="000000" w:fill="F2F2F2"/>
            <w:noWrap/>
            <w:vAlign w:val="bottom"/>
          </w:tcPr>
          <w:p w14:paraId="74EE7CF6" w14:textId="77777777" w:rsidR="002A265A" w:rsidRPr="006F3533" w:rsidRDefault="002A265A" w:rsidP="00541E06">
            <w:pPr>
              <w:spacing w:after="0" w:line="240" w:lineRule="auto"/>
              <w:jc w:val="center"/>
              <w:rPr>
                <w:rFonts w:eastAsia="Times New Roman" w:cs="Times New Roman"/>
                <w:b/>
                <w:bCs/>
                <w:sz w:val="22"/>
                <w:lang w:val="bg-BG"/>
              </w:rPr>
            </w:pPr>
            <w:r w:rsidRPr="006F3533">
              <w:rPr>
                <w:rFonts w:eastAsia="Times New Roman" w:cs="Times New Roman"/>
                <w:b/>
                <w:bCs/>
                <w:sz w:val="22"/>
                <w:lang w:val="bg-BG"/>
              </w:rPr>
              <w:t>Да</w:t>
            </w:r>
          </w:p>
        </w:tc>
        <w:tc>
          <w:tcPr>
            <w:tcW w:w="575" w:type="pct"/>
            <w:tcBorders>
              <w:top w:val="nil"/>
              <w:left w:val="nil"/>
              <w:bottom w:val="single" w:sz="4" w:space="0" w:color="auto"/>
              <w:right w:val="single" w:sz="4" w:space="0" w:color="auto"/>
            </w:tcBorders>
            <w:shd w:val="clear" w:color="000000" w:fill="F2F2F2"/>
            <w:noWrap/>
            <w:vAlign w:val="bottom"/>
          </w:tcPr>
          <w:p w14:paraId="7C3CE54C" w14:textId="77777777" w:rsidR="002A265A" w:rsidRPr="006F3533" w:rsidRDefault="002A265A" w:rsidP="00541E06">
            <w:pPr>
              <w:spacing w:after="0" w:line="240" w:lineRule="auto"/>
              <w:jc w:val="center"/>
              <w:rPr>
                <w:rFonts w:eastAsia="Times New Roman" w:cs="Times New Roman"/>
                <w:sz w:val="20"/>
                <w:szCs w:val="20"/>
                <w:lang w:val="bg-BG"/>
              </w:rPr>
            </w:pPr>
            <w:r w:rsidRPr="006F3533">
              <w:rPr>
                <w:rFonts w:eastAsia="Times New Roman" w:cs="Times New Roman"/>
                <w:b/>
                <w:bCs/>
                <w:sz w:val="22"/>
                <w:lang w:val="bg-BG"/>
              </w:rPr>
              <w:t>Да</w:t>
            </w:r>
          </w:p>
        </w:tc>
        <w:tc>
          <w:tcPr>
            <w:tcW w:w="575" w:type="pct"/>
            <w:tcBorders>
              <w:top w:val="nil"/>
              <w:left w:val="nil"/>
              <w:bottom w:val="single" w:sz="4" w:space="0" w:color="auto"/>
              <w:right w:val="single" w:sz="4" w:space="0" w:color="auto"/>
            </w:tcBorders>
            <w:shd w:val="clear" w:color="000000" w:fill="F2F2F2"/>
            <w:noWrap/>
            <w:vAlign w:val="bottom"/>
          </w:tcPr>
          <w:p w14:paraId="47357F3B" w14:textId="77777777" w:rsidR="002A265A" w:rsidRPr="006F3533" w:rsidRDefault="002A265A" w:rsidP="00541E06">
            <w:pPr>
              <w:spacing w:after="0" w:line="240" w:lineRule="auto"/>
              <w:jc w:val="center"/>
              <w:rPr>
                <w:rFonts w:eastAsia="Times New Roman" w:cs="Times New Roman"/>
                <w:sz w:val="20"/>
                <w:szCs w:val="20"/>
                <w:lang w:val="bg-BG"/>
              </w:rPr>
            </w:pPr>
            <w:r w:rsidRPr="006F3533">
              <w:rPr>
                <w:rFonts w:eastAsia="Times New Roman" w:cs="Times New Roman"/>
                <w:b/>
                <w:bCs/>
                <w:sz w:val="22"/>
                <w:lang w:val="bg-BG"/>
              </w:rPr>
              <w:t>Да</w:t>
            </w:r>
          </w:p>
        </w:tc>
        <w:tc>
          <w:tcPr>
            <w:tcW w:w="595" w:type="pct"/>
            <w:tcBorders>
              <w:top w:val="nil"/>
              <w:left w:val="nil"/>
              <w:bottom w:val="single" w:sz="4" w:space="0" w:color="auto"/>
              <w:right w:val="single" w:sz="4" w:space="0" w:color="auto"/>
            </w:tcBorders>
            <w:shd w:val="clear" w:color="000000" w:fill="F2F2F2"/>
            <w:noWrap/>
            <w:vAlign w:val="bottom"/>
          </w:tcPr>
          <w:p w14:paraId="6A5EE68E" w14:textId="77777777" w:rsidR="002A265A" w:rsidRPr="006F3533" w:rsidRDefault="002A265A" w:rsidP="00541E06">
            <w:pPr>
              <w:spacing w:after="0" w:line="240" w:lineRule="auto"/>
              <w:jc w:val="center"/>
              <w:rPr>
                <w:rFonts w:eastAsia="Times New Roman" w:cs="Times New Roman"/>
                <w:sz w:val="20"/>
                <w:szCs w:val="20"/>
                <w:lang w:val="bg-BG"/>
              </w:rPr>
            </w:pPr>
            <w:r w:rsidRPr="006F3533">
              <w:rPr>
                <w:rFonts w:eastAsia="Times New Roman" w:cs="Times New Roman"/>
                <w:b/>
                <w:bCs/>
                <w:sz w:val="22"/>
                <w:lang w:val="bg-BG"/>
              </w:rPr>
              <w:t>Да</w:t>
            </w:r>
          </w:p>
        </w:tc>
      </w:tr>
      <w:tr w:rsidR="002A265A" w:rsidRPr="006F3533" w14:paraId="3B2A0263" w14:textId="77777777" w:rsidTr="007C37A7">
        <w:trPr>
          <w:trHeight w:val="288"/>
        </w:trPr>
        <w:tc>
          <w:tcPr>
            <w:tcW w:w="2692" w:type="pct"/>
            <w:tcBorders>
              <w:top w:val="single" w:sz="4" w:space="0" w:color="auto"/>
              <w:left w:val="single" w:sz="4" w:space="0" w:color="auto"/>
              <w:bottom w:val="single" w:sz="4" w:space="0" w:color="auto"/>
              <w:right w:val="nil"/>
            </w:tcBorders>
            <w:shd w:val="clear" w:color="000000" w:fill="D9D9D9"/>
            <w:noWrap/>
            <w:vAlign w:val="bottom"/>
          </w:tcPr>
          <w:p w14:paraId="3657D328" w14:textId="77777777" w:rsidR="002A265A" w:rsidRPr="006F3533" w:rsidRDefault="002A265A" w:rsidP="00541E06">
            <w:pPr>
              <w:spacing w:after="0" w:line="240" w:lineRule="auto"/>
              <w:rPr>
                <w:rFonts w:eastAsia="Times New Roman" w:cs="Times New Roman"/>
                <w:b/>
                <w:bCs/>
                <w:szCs w:val="24"/>
                <w:lang w:val="bg-BG"/>
              </w:rPr>
            </w:pPr>
            <w:r w:rsidRPr="006F3533">
              <w:rPr>
                <w:rFonts w:eastAsia="Times New Roman" w:cs="Times New Roman"/>
                <w:b/>
                <w:bCs/>
                <w:szCs w:val="24"/>
                <w:lang w:val="bg-BG"/>
              </w:rPr>
              <w:t>Нежилищни сгради частна и смесена собственост:</w:t>
            </w:r>
          </w:p>
        </w:tc>
        <w:tc>
          <w:tcPr>
            <w:tcW w:w="563" w:type="pct"/>
            <w:tcBorders>
              <w:top w:val="single" w:sz="4" w:space="0" w:color="auto"/>
              <w:left w:val="single" w:sz="4" w:space="0" w:color="auto"/>
              <w:bottom w:val="single" w:sz="4" w:space="0" w:color="auto"/>
              <w:right w:val="single" w:sz="4" w:space="0" w:color="auto"/>
            </w:tcBorders>
            <w:shd w:val="clear" w:color="000000" w:fill="D9D9D9"/>
            <w:noWrap/>
            <w:vAlign w:val="bottom"/>
          </w:tcPr>
          <w:p w14:paraId="624C8271"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2025-2030</w:t>
            </w:r>
          </w:p>
        </w:tc>
        <w:tc>
          <w:tcPr>
            <w:tcW w:w="575" w:type="pct"/>
            <w:tcBorders>
              <w:top w:val="single" w:sz="4" w:space="0" w:color="auto"/>
              <w:left w:val="nil"/>
              <w:bottom w:val="single" w:sz="4" w:space="0" w:color="auto"/>
              <w:right w:val="single" w:sz="4" w:space="0" w:color="auto"/>
            </w:tcBorders>
            <w:shd w:val="clear" w:color="000000" w:fill="D9D9D9"/>
            <w:noWrap/>
            <w:vAlign w:val="bottom"/>
          </w:tcPr>
          <w:p w14:paraId="2C350BE2"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2031-2033</w:t>
            </w:r>
          </w:p>
        </w:tc>
        <w:tc>
          <w:tcPr>
            <w:tcW w:w="575" w:type="pct"/>
            <w:tcBorders>
              <w:top w:val="single" w:sz="4" w:space="0" w:color="auto"/>
              <w:left w:val="nil"/>
              <w:bottom w:val="single" w:sz="4" w:space="0" w:color="auto"/>
              <w:right w:val="single" w:sz="4" w:space="0" w:color="auto"/>
            </w:tcBorders>
            <w:shd w:val="clear" w:color="000000" w:fill="D9D9D9"/>
            <w:noWrap/>
            <w:vAlign w:val="bottom"/>
          </w:tcPr>
          <w:p w14:paraId="0A15A6FC"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2034-2040</w:t>
            </w:r>
          </w:p>
        </w:tc>
        <w:tc>
          <w:tcPr>
            <w:tcW w:w="595" w:type="pct"/>
            <w:tcBorders>
              <w:top w:val="single" w:sz="4" w:space="0" w:color="auto"/>
              <w:left w:val="nil"/>
              <w:bottom w:val="single" w:sz="4" w:space="0" w:color="auto"/>
              <w:right w:val="single" w:sz="4" w:space="0" w:color="auto"/>
            </w:tcBorders>
            <w:shd w:val="clear" w:color="000000" w:fill="D9D9D9"/>
            <w:noWrap/>
            <w:vAlign w:val="bottom"/>
          </w:tcPr>
          <w:p w14:paraId="7BB3C8C4"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2041-2050</w:t>
            </w:r>
          </w:p>
        </w:tc>
      </w:tr>
      <w:tr w:rsidR="002A265A" w:rsidRPr="006F3533" w14:paraId="1B8BF721"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55AA5B1E"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Цялостно обновяване до клас А</w:t>
            </w:r>
          </w:p>
        </w:tc>
        <w:tc>
          <w:tcPr>
            <w:tcW w:w="563" w:type="pct"/>
            <w:tcBorders>
              <w:top w:val="nil"/>
              <w:left w:val="nil"/>
              <w:bottom w:val="single" w:sz="4" w:space="0" w:color="auto"/>
              <w:right w:val="single" w:sz="4" w:space="0" w:color="auto"/>
            </w:tcBorders>
            <w:noWrap/>
            <w:vAlign w:val="bottom"/>
          </w:tcPr>
          <w:p w14:paraId="03766EDC"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370500</w:t>
            </w:r>
          </w:p>
        </w:tc>
        <w:tc>
          <w:tcPr>
            <w:tcW w:w="575" w:type="pct"/>
            <w:tcBorders>
              <w:top w:val="nil"/>
              <w:left w:val="nil"/>
              <w:bottom w:val="single" w:sz="4" w:space="0" w:color="auto"/>
              <w:right w:val="single" w:sz="4" w:space="0" w:color="auto"/>
            </w:tcBorders>
            <w:noWrap/>
            <w:vAlign w:val="bottom"/>
          </w:tcPr>
          <w:p w14:paraId="7187A30B"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1609501</w:t>
            </w:r>
          </w:p>
        </w:tc>
        <w:tc>
          <w:tcPr>
            <w:tcW w:w="575" w:type="pct"/>
            <w:tcBorders>
              <w:top w:val="nil"/>
              <w:left w:val="nil"/>
              <w:bottom w:val="single" w:sz="4" w:space="0" w:color="auto"/>
              <w:right w:val="single" w:sz="4" w:space="0" w:color="auto"/>
            </w:tcBorders>
            <w:noWrap/>
            <w:vAlign w:val="bottom"/>
          </w:tcPr>
          <w:p w14:paraId="7B86D4E1"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7EA1AD8D"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2F6D4900"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63947F08"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Цялостно обновяване до клас В</w:t>
            </w:r>
          </w:p>
        </w:tc>
        <w:tc>
          <w:tcPr>
            <w:tcW w:w="563" w:type="pct"/>
            <w:tcBorders>
              <w:top w:val="nil"/>
              <w:left w:val="nil"/>
              <w:bottom w:val="single" w:sz="4" w:space="0" w:color="auto"/>
              <w:right w:val="single" w:sz="4" w:space="0" w:color="auto"/>
            </w:tcBorders>
            <w:noWrap/>
            <w:vAlign w:val="bottom"/>
          </w:tcPr>
          <w:p w14:paraId="52DA5223"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2620772</w:t>
            </w:r>
          </w:p>
        </w:tc>
        <w:tc>
          <w:tcPr>
            <w:tcW w:w="575" w:type="pct"/>
            <w:tcBorders>
              <w:top w:val="nil"/>
              <w:left w:val="nil"/>
              <w:bottom w:val="single" w:sz="4" w:space="0" w:color="auto"/>
              <w:right w:val="single" w:sz="4" w:space="0" w:color="auto"/>
            </w:tcBorders>
            <w:noWrap/>
            <w:vAlign w:val="bottom"/>
          </w:tcPr>
          <w:p w14:paraId="1C8DE8B3"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0B24E8A8"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21FE2F67"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1EEBC2FF"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0E9662E3"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до клас E (цел МСЕХ 2030)</w:t>
            </w:r>
          </w:p>
        </w:tc>
        <w:tc>
          <w:tcPr>
            <w:tcW w:w="563" w:type="pct"/>
            <w:tcBorders>
              <w:top w:val="nil"/>
              <w:left w:val="nil"/>
              <w:bottom w:val="single" w:sz="4" w:space="0" w:color="auto"/>
              <w:right w:val="single" w:sz="4" w:space="0" w:color="auto"/>
            </w:tcBorders>
            <w:noWrap/>
            <w:vAlign w:val="bottom"/>
          </w:tcPr>
          <w:p w14:paraId="3A5C68CB"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9055800</w:t>
            </w:r>
          </w:p>
        </w:tc>
        <w:tc>
          <w:tcPr>
            <w:tcW w:w="575" w:type="pct"/>
            <w:tcBorders>
              <w:top w:val="nil"/>
              <w:left w:val="nil"/>
              <w:bottom w:val="single" w:sz="4" w:space="0" w:color="auto"/>
              <w:right w:val="single" w:sz="4" w:space="0" w:color="auto"/>
            </w:tcBorders>
            <w:noWrap/>
            <w:vAlign w:val="bottom"/>
          </w:tcPr>
          <w:p w14:paraId="062D14C8"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0A82F8C1"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5D8DAB26"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108DB490"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55A48395"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до клас D (цел МСЕХ 2033)</w:t>
            </w:r>
          </w:p>
        </w:tc>
        <w:tc>
          <w:tcPr>
            <w:tcW w:w="563" w:type="pct"/>
            <w:tcBorders>
              <w:top w:val="nil"/>
              <w:left w:val="nil"/>
              <w:bottom w:val="single" w:sz="4" w:space="0" w:color="auto"/>
              <w:right w:val="single" w:sz="4" w:space="0" w:color="auto"/>
            </w:tcBorders>
            <w:noWrap/>
            <w:vAlign w:val="bottom"/>
          </w:tcPr>
          <w:p w14:paraId="2358C7E4"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1FF94AB9"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9055800</w:t>
            </w:r>
          </w:p>
        </w:tc>
        <w:tc>
          <w:tcPr>
            <w:tcW w:w="575" w:type="pct"/>
            <w:tcBorders>
              <w:top w:val="nil"/>
              <w:left w:val="nil"/>
              <w:bottom w:val="single" w:sz="4" w:space="0" w:color="auto"/>
              <w:right w:val="single" w:sz="4" w:space="0" w:color="auto"/>
            </w:tcBorders>
            <w:noWrap/>
            <w:vAlign w:val="bottom"/>
          </w:tcPr>
          <w:p w14:paraId="39B46D54"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59D30C5A"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415C75B0"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27549FF4"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до клас В (цел МСЕХ 2040)</w:t>
            </w:r>
          </w:p>
        </w:tc>
        <w:tc>
          <w:tcPr>
            <w:tcW w:w="563" w:type="pct"/>
            <w:tcBorders>
              <w:top w:val="nil"/>
              <w:left w:val="nil"/>
              <w:bottom w:val="single" w:sz="4" w:space="0" w:color="auto"/>
              <w:right w:val="single" w:sz="4" w:space="0" w:color="auto"/>
            </w:tcBorders>
            <w:noWrap/>
            <w:vAlign w:val="bottom"/>
          </w:tcPr>
          <w:p w14:paraId="74890A7C"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486435C0"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476EE695"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9055800</w:t>
            </w:r>
          </w:p>
        </w:tc>
        <w:tc>
          <w:tcPr>
            <w:tcW w:w="595" w:type="pct"/>
            <w:tcBorders>
              <w:top w:val="nil"/>
              <w:left w:val="nil"/>
              <w:bottom w:val="single" w:sz="4" w:space="0" w:color="auto"/>
              <w:right w:val="single" w:sz="4" w:space="0" w:color="auto"/>
            </w:tcBorders>
            <w:noWrap/>
            <w:vAlign w:val="bottom"/>
          </w:tcPr>
          <w:p w14:paraId="0490C82F"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r>
      <w:tr w:rsidR="002A265A" w:rsidRPr="006F3533" w14:paraId="62CC3B37"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131BA6C6"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до СБНПЕ (цел МСЕХ 2050)</w:t>
            </w:r>
          </w:p>
        </w:tc>
        <w:tc>
          <w:tcPr>
            <w:tcW w:w="563" w:type="pct"/>
            <w:tcBorders>
              <w:top w:val="nil"/>
              <w:left w:val="nil"/>
              <w:bottom w:val="single" w:sz="4" w:space="0" w:color="auto"/>
              <w:right w:val="single" w:sz="4" w:space="0" w:color="auto"/>
            </w:tcBorders>
            <w:noWrap/>
            <w:vAlign w:val="bottom"/>
          </w:tcPr>
          <w:p w14:paraId="26D9B87F"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0987AD51"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3510B359"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5CBD3CA4"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9055800</w:t>
            </w:r>
          </w:p>
        </w:tc>
      </w:tr>
      <w:tr w:rsidR="002A265A" w:rsidRPr="006F3533" w14:paraId="62F77758"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50088C70"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Цялостно обновяване до СБНПЕ</w:t>
            </w:r>
          </w:p>
        </w:tc>
        <w:tc>
          <w:tcPr>
            <w:tcW w:w="563" w:type="pct"/>
            <w:tcBorders>
              <w:top w:val="nil"/>
              <w:left w:val="nil"/>
              <w:bottom w:val="single" w:sz="4" w:space="0" w:color="auto"/>
              <w:right w:val="single" w:sz="4" w:space="0" w:color="auto"/>
            </w:tcBorders>
            <w:noWrap/>
            <w:vAlign w:val="bottom"/>
          </w:tcPr>
          <w:p w14:paraId="73008E42"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49481</w:t>
            </w:r>
          </w:p>
        </w:tc>
        <w:tc>
          <w:tcPr>
            <w:tcW w:w="575" w:type="pct"/>
            <w:tcBorders>
              <w:top w:val="nil"/>
              <w:left w:val="nil"/>
              <w:bottom w:val="single" w:sz="4" w:space="0" w:color="auto"/>
              <w:right w:val="single" w:sz="4" w:space="0" w:color="auto"/>
            </w:tcBorders>
            <w:noWrap/>
            <w:vAlign w:val="bottom"/>
          </w:tcPr>
          <w:p w14:paraId="775E778E"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214951</w:t>
            </w:r>
          </w:p>
        </w:tc>
        <w:tc>
          <w:tcPr>
            <w:tcW w:w="575" w:type="pct"/>
            <w:tcBorders>
              <w:top w:val="nil"/>
              <w:left w:val="nil"/>
              <w:bottom w:val="single" w:sz="4" w:space="0" w:color="auto"/>
              <w:right w:val="single" w:sz="4" w:space="0" w:color="auto"/>
            </w:tcBorders>
            <w:noWrap/>
            <w:vAlign w:val="bottom"/>
          </w:tcPr>
          <w:p w14:paraId="7E1D6CE8"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95" w:type="pct"/>
            <w:tcBorders>
              <w:top w:val="nil"/>
              <w:left w:val="nil"/>
              <w:bottom w:val="single" w:sz="4" w:space="0" w:color="auto"/>
              <w:right w:val="single" w:sz="4" w:space="0" w:color="auto"/>
            </w:tcBorders>
            <w:noWrap/>
            <w:vAlign w:val="bottom"/>
          </w:tcPr>
          <w:p w14:paraId="49E7F6E4"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2551145</w:t>
            </w:r>
          </w:p>
        </w:tc>
      </w:tr>
      <w:tr w:rsidR="002A265A" w:rsidRPr="006F3533" w14:paraId="0F5FA573"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4AAA6819"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Цялостно обновяване до СНЕ</w:t>
            </w:r>
          </w:p>
        </w:tc>
        <w:tc>
          <w:tcPr>
            <w:tcW w:w="563" w:type="pct"/>
            <w:tcBorders>
              <w:top w:val="nil"/>
              <w:left w:val="nil"/>
              <w:bottom w:val="single" w:sz="4" w:space="0" w:color="auto"/>
              <w:right w:val="single" w:sz="4" w:space="0" w:color="auto"/>
            </w:tcBorders>
            <w:noWrap/>
            <w:vAlign w:val="bottom"/>
          </w:tcPr>
          <w:p w14:paraId="06686DF6"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6F4F38E7"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575" w:type="pct"/>
            <w:tcBorders>
              <w:top w:val="nil"/>
              <w:left w:val="nil"/>
              <w:bottom w:val="single" w:sz="4" w:space="0" w:color="auto"/>
              <w:right w:val="single" w:sz="4" w:space="0" w:color="auto"/>
            </w:tcBorders>
            <w:noWrap/>
            <w:vAlign w:val="bottom"/>
          </w:tcPr>
          <w:p w14:paraId="4D46DB25"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16084884</w:t>
            </w:r>
          </w:p>
        </w:tc>
        <w:tc>
          <w:tcPr>
            <w:tcW w:w="595" w:type="pct"/>
            <w:tcBorders>
              <w:top w:val="nil"/>
              <w:left w:val="nil"/>
              <w:bottom w:val="single" w:sz="4" w:space="0" w:color="auto"/>
              <w:right w:val="single" w:sz="4" w:space="0" w:color="auto"/>
            </w:tcBorders>
            <w:noWrap/>
            <w:vAlign w:val="bottom"/>
          </w:tcPr>
          <w:p w14:paraId="32520391"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24652811</w:t>
            </w:r>
          </w:p>
        </w:tc>
      </w:tr>
      <w:tr w:rsidR="002A265A" w:rsidRPr="006F3533" w14:paraId="41893BA0" w14:textId="77777777" w:rsidTr="007C37A7">
        <w:trPr>
          <w:trHeight w:val="288"/>
        </w:trPr>
        <w:tc>
          <w:tcPr>
            <w:tcW w:w="2692" w:type="pct"/>
            <w:tcBorders>
              <w:top w:val="nil"/>
              <w:left w:val="single" w:sz="4" w:space="0" w:color="auto"/>
              <w:bottom w:val="single" w:sz="4" w:space="0" w:color="auto"/>
              <w:right w:val="single" w:sz="4" w:space="0" w:color="auto"/>
            </w:tcBorders>
            <w:shd w:val="clear" w:color="000000" w:fill="F2F2F2"/>
            <w:noWrap/>
            <w:vAlign w:val="bottom"/>
          </w:tcPr>
          <w:p w14:paraId="635AE319"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Цел за обновяване до МСЕХ (спрямо 2019 г.)</w:t>
            </w:r>
          </w:p>
        </w:tc>
        <w:tc>
          <w:tcPr>
            <w:tcW w:w="563" w:type="pct"/>
            <w:tcBorders>
              <w:top w:val="nil"/>
              <w:left w:val="nil"/>
              <w:bottom w:val="single" w:sz="4" w:space="0" w:color="auto"/>
              <w:right w:val="single" w:sz="4" w:space="0" w:color="auto"/>
            </w:tcBorders>
            <w:shd w:val="clear" w:color="000000" w:fill="F2F2F2"/>
            <w:noWrap/>
            <w:vAlign w:val="bottom"/>
          </w:tcPr>
          <w:p w14:paraId="30C72A5F"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9055800</w:t>
            </w:r>
          </w:p>
        </w:tc>
        <w:tc>
          <w:tcPr>
            <w:tcW w:w="575" w:type="pct"/>
            <w:tcBorders>
              <w:top w:val="nil"/>
              <w:left w:val="nil"/>
              <w:bottom w:val="single" w:sz="4" w:space="0" w:color="auto"/>
              <w:right w:val="single" w:sz="4" w:space="0" w:color="auto"/>
            </w:tcBorders>
            <w:shd w:val="clear" w:color="000000" w:fill="F2F2F2"/>
            <w:noWrap/>
            <w:vAlign w:val="bottom"/>
          </w:tcPr>
          <w:p w14:paraId="63B154C1"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13921005</w:t>
            </w:r>
          </w:p>
        </w:tc>
        <w:tc>
          <w:tcPr>
            <w:tcW w:w="575" w:type="pct"/>
            <w:tcBorders>
              <w:top w:val="nil"/>
              <w:left w:val="nil"/>
              <w:bottom w:val="single" w:sz="4" w:space="0" w:color="auto"/>
              <w:right w:val="single" w:sz="4" w:space="0" w:color="auto"/>
            </w:tcBorders>
            <w:shd w:val="clear" w:color="000000" w:fill="F2F2F2"/>
            <w:noWrap/>
            <w:vAlign w:val="bottom"/>
          </w:tcPr>
          <w:p w14:paraId="250D4C94"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25140684</w:t>
            </w:r>
          </w:p>
        </w:tc>
        <w:tc>
          <w:tcPr>
            <w:tcW w:w="595" w:type="pct"/>
            <w:tcBorders>
              <w:top w:val="nil"/>
              <w:left w:val="nil"/>
              <w:bottom w:val="single" w:sz="4" w:space="0" w:color="auto"/>
              <w:right w:val="single" w:sz="4" w:space="0" w:color="auto"/>
            </w:tcBorders>
            <w:shd w:val="clear" w:color="000000" w:fill="F2F2F2"/>
            <w:noWrap/>
            <w:vAlign w:val="bottom"/>
          </w:tcPr>
          <w:p w14:paraId="0A3F82CA"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18186878</w:t>
            </w:r>
          </w:p>
        </w:tc>
      </w:tr>
      <w:tr w:rsidR="002A265A" w:rsidRPr="006F3533" w14:paraId="085391CE" w14:textId="77777777" w:rsidTr="007C37A7">
        <w:trPr>
          <w:trHeight w:val="288"/>
        </w:trPr>
        <w:tc>
          <w:tcPr>
            <w:tcW w:w="2692" w:type="pct"/>
            <w:tcBorders>
              <w:top w:val="nil"/>
              <w:left w:val="single" w:sz="4" w:space="0" w:color="auto"/>
              <w:bottom w:val="single" w:sz="4" w:space="0" w:color="auto"/>
              <w:right w:val="single" w:sz="4" w:space="0" w:color="auto"/>
            </w:tcBorders>
            <w:shd w:val="clear" w:color="000000" w:fill="D9D9D9"/>
            <w:noWrap/>
            <w:vAlign w:val="bottom"/>
          </w:tcPr>
          <w:p w14:paraId="48C14476"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Цел спрямо МСЕХ</w:t>
            </w:r>
          </w:p>
        </w:tc>
        <w:tc>
          <w:tcPr>
            <w:tcW w:w="563" w:type="pct"/>
            <w:tcBorders>
              <w:top w:val="nil"/>
              <w:left w:val="nil"/>
              <w:bottom w:val="single" w:sz="4" w:space="0" w:color="auto"/>
              <w:right w:val="single" w:sz="4" w:space="0" w:color="auto"/>
            </w:tcBorders>
            <w:shd w:val="clear" w:color="000000" w:fill="D9D9D9"/>
            <w:noWrap/>
            <w:vAlign w:val="bottom"/>
          </w:tcPr>
          <w:p w14:paraId="396C4CD1"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16 % клас Е</w:t>
            </w:r>
          </w:p>
        </w:tc>
        <w:tc>
          <w:tcPr>
            <w:tcW w:w="575" w:type="pct"/>
            <w:tcBorders>
              <w:top w:val="nil"/>
              <w:left w:val="nil"/>
              <w:bottom w:val="single" w:sz="4" w:space="0" w:color="auto"/>
              <w:right w:val="single" w:sz="4" w:space="0" w:color="auto"/>
            </w:tcBorders>
            <w:shd w:val="clear" w:color="000000" w:fill="D9D9D9"/>
            <w:noWrap/>
            <w:vAlign w:val="bottom"/>
          </w:tcPr>
          <w:p w14:paraId="0ACBC1A0"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26 % клас D</w:t>
            </w:r>
          </w:p>
        </w:tc>
        <w:tc>
          <w:tcPr>
            <w:tcW w:w="575" w:type="pct"/>
            <w:tcBorders>
              <w:top w:val="nil"/>
              <w:left w:val="nil"/>
              <w:bottom w:val="single" w:sz="4" w:space="0" w:color="auto"/>
              <w:right w:val="single" w:sz="4" w:space="0" w:color="auto"/>
            </w:tcBorders>
            <w:shd w:val="clear" w:color="000000" w:fill="D9D9D9"/>
            <w:noWrap/>
            <w:vAlign w:val="bottom"/>
          </w:tcPr>
          <w:p w14:paraId="45CFC67B"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47 % клас D</w:t>
            </w:r>
          </w:p>
        </w:tc>
        <w:tc>
          <w:tcPr>
            <w:tcW w:w="595" w:type="pct"/>
            <w:tcBorders>
              <w:top w:val="nil"/>
              <w:left w:val="nil"/>
              <w:bottom w:val="single" w:sz="4" w:space="0" w:color="auto"/>
              <w:right w:val="single" w:sz="4" w:space="0" w:color="auto"/>
            </w:tcBorders>
            <w:shd w:val="clear" w:color="000000" w:fill="D9D9D9"/>
            <w:noWrap/>
            <w:vAlign w:val="bottom"/>
          </w:tcPr>
          <w:p w14:paraId="4EFE2EBB"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34 % СБНПЕ</w:t>
            </w:r>
          </w:p>
        </w:tc>
      </w:tr>
      <w:tr w:rsidR="002A265A" w:rsidRPr="006F3533" w14:paraId="023FC066"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090D4576"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Общо – цялостно обновена площ – с натрупване</w:t>
            </w:r>
          </w:p>
        </w:tc>
        <w:tc>
          <w:tcPr>
            <w:tcW w:w="563" w:type="pct"/>
            <w:tcBorders>
              <w:top w:val="nil"/>
              <w:left w:val="nil"/>
              <w:bottom w:val="single" w:sz="4" w:space="0" w:color="auto"/>
              <w:right w:val="single" w:sz="4" w:space="0" w:color="auto"/>
            </w:tcBorders>
            <w:noWrap/>
            <w:vAlign w:val="bottom"/>
          </w:tcPr>
          <w:p w14:paraId="5D2E6721" w14:textId="77777777" w:rsidR="002A265A" w:rsidRPr="006F3533" w:rsidRDefault="002A265A" w:rsidP="00541E06">
            <w:pPr>
              <w:spacing w:after="0" w:line="240" w:lineRule="auto"/>
              <w:ind w:right="-86"/>
              <w:jc w:val="right"/>
              <w:rPr>
                <w:rFonts w:eastAsia="Times New Roman" w:cs="Times New Roman"/>
                <w:sz w:val="22"/>
                <w:lang w:val="bg-BG"/>
              </w:rPr>
            </w:pPr>
            <w:r w:rsidRPr="006F3533">
              <w:rPr>
                <w:rFonts w:eastAsia="Times New Roman" w:cs="Times New Roman"/>
                <w:sz w:val="22"/>
                <w:lang w:val="bg-BG"/>
              </w:rPr>
              <w:t>3040753</w:t>
            </w:r>
          </w:p>
        </w:tc>
        <w:tc>
          <w:tcPr>
            <w:tcW w:w="575" w:type="pct"/>
            <w:tcBorders>
              <w:top w:val="nil"/>
              <w:left w:val="nil"/>
              <w:bottom w:val="single" w:sz="4" w:space="0" w:color="auto"/>
              <w:right w:val="single" w:sz="4" w:space="0" w:color="auto"/>
            </w:tcBorders>
            <w:noWrap/>
            <w:vAlign w:val="bottom"/>
          </w:tcPr>
          <w:p w14:paraId="58373DB8"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4865204</w:t>
            </w:r>
          </w:p>
        </w:tc>
        <w:tc>
          <w:tcPr>
            <w:tcW w:w="575" w:type="pct"/>
            <w:tcBorders>
              <w:top w:val="nil"/>
              <w:left w:val="nil"/>
              <w:bottom w:val="single" w:sz="4" w:space="0" w:color="auto"/>
              <w:right w:val="single" w:sz="4" w:space="0" w:color="auto"/>
            </w:tcBorders>
            <w:noWrap/>
            <w:vAlign w:val="bottom"/>
          </w:tcPr>
          <w:p w14:paraId="5A47A8CA"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20950088</w:t>
            </w:r>
          </w:p>
        </w:tc>
        <w:tc>
          <w:tcPr>
            <w:tcW w:w="595" w:type="pct"/>
            <w:tcBorders>
              <w:top w:val="nil"/>
              <w:left w:val="nil"/>
              <w:bottom w:val="single" w:sz="4" w:space="0" w:color="auto"/>
              <w:right w:val="single" w:sz="4" w:space="0" w:color="auto"/>
            </w:tcBorders>
            <w:noWrap/>
            <w:vAlign w:val="bottom"/>
          </w:tcPr>
          <w:p w14:paraId="0A232B46"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48154045</w:t>
            </w:r>
          </w:p>
        </w:tc>
      </w:tr>
      <w:tr w:rsidR="002A265A" w:rsidRPr="006F3533" w14:paraId="0F3FA455"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62C4C3B9"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Общо – поетапно обновена площ – с  натрупване</w:t>
            </w:r>
          </w:p>
        </w:tc>
        <w:tc>
          <w:tcPr>
            <w:tcW w:w="563" w:type="pct"/>
            <w:tcBorders>
              <w:top w:val="nil"/>
              <w:left w:val="nil"/>
              <w:bottom w:val="single" w:sz="4" w:space="0" w:color="auto"/>
              <w:right w:val="single" w:sz="4" w:space="0" w:color="auto"/>
            </w:tcBorders>
            <w:noWrap/>
            <w:vAlign w:val="bottom"/>
          </w:tcPr>
          <w:p w14:paraId="319572AB" w14:textId="77777777" w:rsidR="002A265A" w:rsidRPr="006F3533" w:rsidRDefault="002A265A" w:rsidP="00541E06">
            <w:pPr>
              <w:spacing w:after="0" w:line="240" w:lineRule="auto"/>
              <w:ind w:right="-86"/>
              <w:jc w:val="right"/>
              <w:rPr>
                <w:rFonts w:eastAsia="Times New Roman" w:cs="Times New Roman"/>
                <w:sz w:val="22"/>
                <w:lang w:val="bg-BG"/>
              </w:rPr>
            </w:pPr>
            <w:r w:rsidRPr="006F3533">
              <w:rPr>
                <w:rFonts w:eastAsia="Times New Roman" w:cs="Times New Roman"/>
                <w:sz w:val="22"/>
                <w:lang w:val="bg-BG"/>
              </w:rPr>
              <w:t>9055800</w:t>
            </w:r>
          </w:p>
        </w:tc>
        <w:tc>
          <w:tcPr>
            <w:tcW w:w="575" w:type="pct"/>
            <w:tcBorders>
              <w:top w:val="nil"/>
              <w:left w:val="nil"/>
              <w:bottom w:val="single" w:sz="4" w:space="0" w:color="auto"/>
              <w:right w:val="single" w:sz="4" w:space="0" w:color="auto"/>
            </w:tcBorders>
            <w:noWrap/>
            <w:vAlign w:val="bottom"/>
          </w:tcPr>
          <w:p w14:paraId="4D5CC829"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9055800</w:t>
            </w:r>
          </w:p>
        </w:tc>
        <w:tc>
          <w:tcPr>
            <w:tcW w:w="575" w:type="pct"/>
            <w:tcBorders>
              <w:top w:val="nil"/>
              <w:left w:val="nil"/>
              <w:bottom w:val="single" w:sz="4" w:space="0" w:color="auto"/>
              <w:right w:val="single" w:sz="4" w:space="0" w:color="auto"/>
            </w:tcBorders>
            <w:noWrap/>
            <w:vAlign w:val="bottom"/>
          </w:tcPr>
          <w:p w14:paraId="7B77B604"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9055800</w:t>
            </w:r>
          </w:p>
        </w:tc>
        <w:tc>
          <w:tcPr>
            <w:tcW w:w="595" w:type="pct"/>
            <w:tcBorders>
              <w:top w:val="nil"/>
              <w:left w:val="nil"/>
              <w:bottom w:val="single" w:sz="4" w:space="0" w:color="auto"/>
              <w:right w:val="single" w:sz="4" w:space="0" w:color="auto"/>
            </w:tcBorders>
            <w:noWrap/>
            <w:vAlign w:val="bottom"/>
          </w:tcPr>
          <w:p w14:paraId="3A8EB196"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9055800</w:t>
            </w:r>
          </w:p>
        </w:tc>
      </w:tr>
      <w:tr w:rsidR="002A265A" w:rsidRPr="006F3533" w14:paraId="2485DFBA" w14:textId="77777777" w:rsidTr="007C37A7">
        <w:trPr>
          <w:trHeight w:val="288"/>
        </w:trPr>
        <w:tc>
          <w:tcPr>
            <w:tcW w:w="2692" w:type="pct"/>
            <w:tcBorders>
              <w:top w:val="nil"/>
              <w:left w:val="single" w:sz="4" w:space="0" w:color="auto"/>
              <w:bottom w:val="single" w:sz="4" w:space="0" w:color="auto"/>
              <w:right w:val="single" w:sz="4" w:space="0" w:color="auto"/>
            </w:tcBorders>
            <w:noWrap/>
            <w:vAlign w:val="bottom"/>
          </w:tcPr>
          <w:p w14:paraId="17900661"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Общо – обновена площ под праг на МСЕХ – с натрупване</w:t>
            </w:r>
          </w:p>
        </w:tc>
        <w:tc>
          <w:tcPr>
            <w:tcW w:w="563" w:type="pct"/>
            <w:tcBorders>
              <w:top w:val="nil"/>
              <w:left w:val="nil"/>
              <w:bottom w:val="single" w:sz="4" w:space="0" w:color="auto"/>
              <w:right w:val="single" w:sz="4" w:space="0" w:color="auto"/>
            </w:tcBorders>
            <w:noWrap/>
            <w:vAlign w:val="bottom"/>
          </w:tcPr>
          <w:p w14:paraId="0B51853E" w14:textId="77777777" w:rsidR="002A265A" w:rsidRPr="006F3533" w:rsidRDefault="002A265A" w:rsidP="00541E06">
            <w:pPr>
              <w:spacing w:after="0" w:line="240" w:lineRule="auto"/>
              <w:ind w:right="-86"/>
              <w:jc w:val="right"/>
              <w:rPr>
                <w:rFonts w:eastAsia="Times New Roman" w:cs="Times New Roman"/>
                <w:sz w:val="22"/>
                <w:lang w:val="bg-BG"/>
              </w:rPr>
            </w:pPr>
            <w:r w:rsidRPr="006F3533">
              <w:rPr>
                <w:rFonts w:eastAsia="Times New Roman" w:cs="Times New Roman"/>
                <w:sz w:val="22"/>
                <w:lang w:val="bg-BG"/>
              </w:rPr>
              <w:t>12096553</w:t>
            </w:r>
          </w:p>
        </w:tc>
        <w:tc>
          <w:tcPr>
            <w:tcW w:w="575" w:type="pct"/>
            <w:tcBorders>
              <w:top w:val="nil"/>
              <w:left w:val="nil"/>
              <w:bottom w:val="single" w:sz="4" w:space="0" w:color="auto"/>
              <w:right w:val="single" w:sz="4" w:space="0" w:color="auto"/>
            </w:tcBorders>
            <w:noWrap/>
            <w:vAlign w:val="bottom"/>
          </w:tcPr>
          <w:p w14:paraId="5171525F"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13921005</w:t>
            </w:r>
          </w:p>
        </w:tc>
        <w:tc>
          <w:tcPr>
            <w:tcW w:w="575" w:type="pct"/>
            <w:tcBorders>
              <w:top w:val="nil"/>
              <w:left w:val="nil"/>
              <w:bottom w:val="single" w:sz="4" w:space="0" w:color="auto"/>
              <w:right w:val="single" w:sz="4" w:space="0" w:color="auto"/>
            </w:tcBorders>
            <w:noWrap/>
            <w:vAlign w:val="bottom"/>
          </w:tcPr>
          <w:p w14:paraId="0371DEDB"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30005888</w:t>
            </w:r>
          </w:p>
        </w:tc>
        <w:tc>
          <w:tcPr>
            <w:tcW w:w="595" w:type="pct"/>
            <w:tcBorders>
              <w:top w:val="nil"/>
              <w:left w:val="nil"/>
              <w:bottom w:val="single" w:sz="4" w:space="0" w:color="auto"/>
              <w:right w:val="single" w:sz="4" w:space="0" w:color="auto"/>
            </w:tcBorders>
            <w:noWrap/>
            <w:vAlign w:val="bottom"/>
          </w:tcPr>
          <w:p w14:paraId="427F30F4"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57209845</w:t>
            </w:r>
          </w:p>
        </w:tc>
      </w:tr>
      <w:tr w:rsidR="002A265A" w:rsidRPr="006F3533" w14:paraId="2BFCD912" w14:textId="77777777" w:rsidTr="007C37A7">
        <w:trPr>
          <w:trHeight w:val="288"/>
        </w:trPr>
        <w:tc>
          <w:tcPr>
            <w:tcW w:w="2692" w:type="pct"/>
            <w:tcBorders>
              <w:top w:val="nil"/>
              <w:left w:val="single" w:sz="4" w:space="0" w:color="auto"/>
              <w:bottom w:val="single" w:sz="4" w:space="0" w:color="auto"/>
              <w:right w:val="single" w:sz="4" w:space="0" w:color="auto"/>
            </w:tcBorders>
            <w:shd w:val="clear" w:color="000000" w:fill="F2F2F2"/>
            <w:noWrap/>
            <w:vAlign w:val="bottom"/>
          </w:tcPr>
          <w:p w14:paraId="3EE4A94E"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Изпълнение на целите</w:t>
            </w:r>
          </w:p>
        </w:tc>
        <w:tc>
          <w:tcPr>
            <w:tcW w:w="563" w:type="pct"/>
            <w:tcBorders>
              <w:top w:val="nil"/>
              <w:left w:val="nil"/>
              <w:bottom w:val="single" w:sz="4" w:space="0" w:color="auto"/>
              <w:right w:val="single" w:sz="4" w:space="0" w:color="auto"/>
            </w:tcBorders>
            <w:shd w:val="clear" w:color="000000" w:fill="F2F2F2"/>
            <w:noWrap/>
            <w:vAlign w:val="bottom"/>
          </w:tcPr>
          <w:p w14:paraId="653FDACB" w14:textId="77777777" w:rsidR="002A265A" w:rsidRPr="006F3533" w:rsidRDefault="002A265A" w:rsidP="00541E06">
            <w:pPr>
              <w:spacing w:after="0" w:line="240" w:lineRule="auto"/>
              <w:jc w:val="center"/>
              <w:rPr>
                <w:rFonts w:eastAsia="Times New Roman" w:cs="Times New Roman"/>
                <w:b/>
                <w:bCs/>
                <w:sz w:val="22"/>
                <w:lang w:val="bg-BG"/>
              </w:rPr>
            </w:pPr>
            <w:r w:rsidRPr="006F3533">
              <w:rPr>
                <w:rFonts w:eastAsia="Times New Roman" w:cs="Times New Roman"/>
                <w:b/>
                <w:bCs/>
                <w:sz w:val="22"/>
                <w:lang w:val="bg-BG"/>
              </w:rPr>
              <w:t>Да</w:t>
            </w:r>
          </w:p>
        </w:tc>
        <w:tc>
          <w:tcPr>
            <w:tcW w:w="575" w:type="pct"/>
            <w:tcBorders>
              <w:top w:val="nil"/>
              <w:left w:val="nil"/>
              <w:bottom w:val="single" w:sz="4" w:space="0" w:color="auto"/>
              <w:right w:val="single" w:sz="4" w:space="0" w:color="auto"/>
            </w:tcBorders>
            <w:shd w:val="clear" w:color="000000" w:fill="F2F2F2"/>
            <w:noWrap/>
            <w:vAlign w:val="bottom"/>
          </w:tcPr>
          <w:p w14:paraId="5DB98632" w14:textId="77777777" w:rsidR="002A265A" w:rsidRPr="006F3533" w:rsidRDefault="002A265A" w:rsidP="00541E06">
            <w:pPr>
              <w:spacing w:after="0" w:line="240" w:lineRule="auto"/>
              <w:jc w:val="center"/>
              <w:rPr>
                <w:rFonts w:eastAsia="Times New Roman" w:cs="Times New Roman"/>
                <w:b/>
                <w:bCs/>
                <w:sz w:val="22"/>
                <w:lang w:val="bg-BG"/>
              </w:rPr>
            </w:pPr>
            <w:r w:rsidRPr="006F3533">
              <w:rPr>
                <w:rFonts w:eastAsia="Times New Roman" w:cs="Times New Roman"/>
                <w:b/>
                <w:bCs/>
                <w:sz w:val="22"/>
                <w:lang w:val="bg-BG"/>
              </w:rPr>
              <w:t>Да</w:t>
            </w:r>
          </w:p>
        </w:tc>
        <w:tc>
          <w:tcPr>
            <w:tcW w:w="575" w:type="pct"/>
            <w:tcBorders>
              <w:top w:val="nil"/>
              <w:left w:val="nil"/>
              <w:bottom w:val="single" w:sz="4" w:space="0" w:color="auto"/>
              <w:right w:val="single" w:sz="4" w:space="0" w:color="auto"/>
            </w:tcBorders>
            <w:shd w:val="clear" w:color="000000" w:fill="F2F2F2"/>
            <w:noWrap/>
            <w:vAlign w:val="bottom"/>
          </w:tcPr>
          <w:p w14:paraId="315E0DF2" w14:textId="77777777" w:rsidR="002A265A" w:rsidRPr="006F3533" w:rsidRDefault="002A265A" w:rsidP="00541E06">
            <w:pPr>
              <w:spacing w:after="0" w:line="240" w:lineRule="auto"/>
              <w:jc w:val="center"/>
              <w:rPr>
                <w:rFonts w:eastAsia="Times New Roman" w:cs="Times New Roman"/>
                <w:b/>
                <w:bCs/>
                <w:sz w:val="22"/>
                <w:lang w:val="bg-BG"/>
              </w:rPr>
            </w:pPr>
            <w:r w:rsidRPr="006F3533">
              <w:rPr>
                <w:rFonts w:eastAsia="Times New Roman" w:cs="Times New Roman"/>
                <w:b/>
                <w:bCs/>
                <w:sz w:val="22"/>
                <w:lang w:val="bg-BG"/>
              </w:rPr>
              <w:t>Да</w:t>
            </w:r>
          </w:p>
        </w:tc>
        <w:tc>
          <w:tcPr>
            <w:tcW w:w="595" w:type="pct"/>
            <w:tcBorders>
              <w:top w:val="nil"/>
              <w:left w:val="nil"/>
              <w:bottom w:val="single" w:sz="4" w:space="0" w:color="auto"/>
              <w:right w:val="single" w:sz="4" w:space="0" w:color="auto"/>
            </w:tcBorders>
            <w:shd w:val="clear" w:color="000000" w:fill="F2F2F2"/>
            <w:noWrap/>
            <w:vAlign w:val="bottom"/>
          </w:tcPr>
          <w:p w14:paraId="0049D855" w14:textId="77777777" w:rsidR="002A265A" w:rsidRPr="006F3533" w:rsidRDefault="002A265A" w:rsidP="00541E06">
            <w:pPr>
              <w:spacing w:after="0" w:line="240" w:lineRule="auto"/>
              <w:jc w:val="center"/>
              <w:rPr>
                <w:rFonts w:eastAsia="Times New Roman" w:cs="Times New Roman"/>
                <w:b/>
                <w:bCs/>
                <w:sz w:val="22"/>
                <w:lang w:val="bg-BG"/>
              </w:rPr>
            </w:pPr>
            <w:r w:rsidRPr="006F3533">
              <w:rPr>
                <w:rFonts w:eastAsia="Times New Roman" w:cs="Times New Roman"/>
                <w:b/>
                <w:bCs/>
                <w:sz w:val="22"/>
                <w:lang w:val="bg-BG"/>
              </w:rPr>
              <w:t>Да</w:t>
            </w:r>
          </w:p>
        </w:tc>
      </w:tr>
    </w:tbl>
    <w:p w14:paraId="1E20571E" w14:textId="62D00323" w:rsidR="002A265A" w:rsidRPr="006F3533" w:rsidRDefault="002A265A" w:rsidP="002A265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lastRenderedPageBreak/>
        <w:t>Таблица 15b представя прогнозното разпределение на нежилищния сграден фонд по енергийни класове за 2030, 2040 и 2050 г. При изготвянето на тази прогноза са взети предвид:</w:t>
      </w:r>
    </w:p>
    <w:p w14:paraId="59BAD803" w14:textId="77777777" w:rsidR="002A265A" w:rsidRPr="006F3533" w:rsidRDefault="002A265A" w:rsidP="00551FED">
      <w:pPr>
        <w:numPr>
          <w:ilvl w:val="0"/>
          <w:numId w:val="89"/>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вече обновените към 2025 г. сгради, отговарящи на изискванията за сгради с близко до нулево потребление на енергия (СБНПЕ), както и сгради с енергиен клас A и B;</w:t>
      </w:r>
    </w:p>
    <w:p w14:paraId="6FFDDB2E" w14:textId="77777777" w:rsidR="002A265A" w:rsidRPr="006F3533" w:rsidRDefault="002A265A" w:rsidP="00551FED">
      <w:pPr>
        <w:numPr>
          <w:ilvl w:val="0"/>
          <w:numId w:val="89"/>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средногодишният темп на ново строителство на нежилищни сгради, определен въз основа на данни на </w:t>
      </w:r>
      <w:r w:rsidRPr="006F3533">
        <w:rPr>
          <w:rFonts w:eastAsia="Times New Roman" w:cs="Times New Roman"/>
          <w:i/>
          <w:iCs/>
          <w:szCs w:val="24"/>
          <w:lang w:val="bg-BG" w:eastAsia="en-GB"/>
        </w:rPr>
        <w:t>Националния статистически институт</w:t>
      </w:r>
      <w:r w:rsidRPr="006F3533">
        <w:rPr>
          <w:rFonts w:eastAsia="Times New Roman" w:cs="Times New Roman"/>
          <w:szCs w:val="24"/>
          <w:lang w:val="bg-BG" w:eastAsia="en-GB"/>
        </w:rPr>
        <w:t xml:space="preserve"> за започнатото строителство по видове нови нежилищни сгради за периода 2010–2024 г., възлизащ на приблизително на 1 584 920 m² годишно;</w:t>
      </w:r>
    </w:p>
    <w:p w14:paraId="78CE69B8" w14:textId="77777777" w:rsidR="002A265A" w:rsidRPr="006F3533" w:rsidRDefault="002A265A" w:rsidP="00551FED">
      <w:pPr>
        <w:numPr>
          <w:ilvl w:val="0"/>
          <w:numId w:val="89"/>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нормативното изискване всички нови сгради, въведени в експлоатация от 2024 г., да отговарят на националните изисквания за СБНПЕ, както и очакваното прилагане на изискванията за сгради с нулеви емисии (СНЕ) за новото строителство след 2030 г., съгласно Директивата за енергийните характеристики на сградите (член 7);</w:t>
      </w:r>
    </w:p>
    <w:p w14:paraId="21BABB58" w14:textId="77777777" w:rsidR="002A265A" w:rsidRPr="006F3533" w:rsidRDefault="002A265A" w:rsidP="00551FED">
      <w:pPr>
        <w:numPr>
          <w:ilvl w:val="0"/>
          <w:numId w:val="89"/>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допускането, че ежегодно от активна експлоатация излизат нежилищни сгради или части от сгради с обща площ, еквивалентна на 50% от новопостроената площ, поради функционално остаряване, замяна с нови сгради или промяна в начина на използване, при която не се изисква значимо потребление на енергия.</w:t>
      </w:r>
    </w:p>
    <w:p w14:paraId="13B1F06B" w14:textId="77777777" w:rsidR="002A265A" w:rsidRPr="006F3533" w:rsidRDefault="002A265A" w:rsidP="007C37A7">
      <w:pPr>
        <w:spacing w:line="240" w:lineRule="auto"/>
        <w:contextualSpacing/>
        <w:jc w:val="both"/>
        <w:rPr>
          <w:rFonts w:cs="Times New Roman"/>
          <w:i/>
          <w:iCs/>
          <w:color w:val="4472C4" w:themeColor="accent1"/>
          <w:szCs w:val="24"/>
          <w:lang w:val="bg-BG"/>
        </w:rPr>
      </w:pPr>
      <w:r w:rsidRPr="006F3533">
        <w:rPr>
          <w:rFonts w:cs="Times New Roman"/>
          <w:i/>
          <w:iCs/>
          <w:color w:val="4472C4" w:themeColor="accent1"/>
          <w:szCs w:val="24"/>
          <w:lang w:val="bg-BG"/>
        </w:rPr>
        <w:t>Таблица 15b. Очаквано изменение на разпределението на сградите по клас на енергопотребление в периода 2025-2050 г., m</w:t>
      </w:r>
      <w:r w:rsidRPr="006F3533">
        <w:rPr>
          <w:rFonts w:cs="Times New Roman"/>
          <w:i/>
          <w:iCs/>
          <w:color w:val="4472C4" w:themeColor="accent1"/>
          <w:szCs w:val="24"/>
          <w:vertAlign w:val="superscript"/>
          <w:lang w:val="bg-BG"/>
        </w:rPr>
        <w:t>2</w:t>
      </w:r>
      <w:r w:rsidRPr="006F3533">
        <w:rPr>
          <w:rFonts w:cs="Times New Roman"/>
          <w:i/>
          <w:iCs/>
          <w:color w:val="4472C4" w:themeColor="accent1"/>
          <w:szCs w:val="24"/>
          <w:lang w:val="bg-BG"/>
        </w:rPr>
        <w:t xml:space="preserve"> </w:t>
      </w:r>
    </w:p>
    <w:p w14:paraId="444D502C" w14:textId="77777777" w:rsidR="007C37A7" w:rsidRPr="006F3533" w:rsidRDefault="007C37A7" w:rsidP="007C37A7">
      <w:pPr>
        <w:spacing w:line="240" w:lineRule="auto"/>
        <w:contextualSpacing/>
        <w:jc w:val="both"/>
        <w:rPr>
          <w:rFonts w:cs="Times New Roman"/>
          <w:i/>
          <w:iCs/>
          <w:szCs w:val="24"/>
          <w:lang w:val="bg-BG"/>
        </w:rPr>
      </w:pPr>
    </w:p>
    <w:tbl>
      <w:tblPr>
        <w:tblW w:w="5000" w:type="pct"/>
        <w:tblLook w:val="04A0" w:firstRow="1" w:lastRow="0" w:firstColumn="1" w:lastColumn="0" w:noHBand="0" w:noVBand="1"/>
      </w:tblPr>
      <w:tblGrid>
        <w:gridCol w:w="2928"/>
        <w:gridCol w:w="1533"/>
        <w:gridCol w:w="1533"/>
        <w:gridCol w:w="1533"/>
        <w:gridCol w:w="1535"/>
      </w:tblGrid>
      <w:tr w:rsidR="002A265A" w:rsidRPr="006F3533" w14:paraId="10D3732A" w14:textId="77777777" w:rsidTr="007C37A7">
        <w:trPr>
          <w:trHeight w:val="288"/>
        </w:trPr>
        <w:tc>
          <w:tcPr>
            <w:tcW w:w="1615" w:type="pc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tcPr>
          <w:p w14:paraId="2C60FD5B"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Нежилищни сгради:</w:t>
            </w:r>
          </w:p>
        </w:tc>
        <w:tc>
          <w:tcPr>
            <w:tcW w:w="846" w:type="pct"/>
            <w:tcBorders>
              <w:top w:val="single" w:sz="4" w:space="0" w:color="auto"/>
              <w:left w:val="nil"/>
              <w:bottom w:val="single" w:sz="4" w:space="0" w:color="auto"/>
              <w:right w:val="single" w:sz="4" w:space="0" w:color="auto"/>
            </w:tcBorders>
            <w:shd w:val="clear" w:color="auto" w:fill="D0CECE" w:themeFill="background2" w:themeFillShade="E6"/>
            <w:noWrap/>
            <w:vAlign w:val="bottom"/>
          </w:tcPr>
          <w:p w14:paraId="1FE466A6"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2025</w:t>
            </w:r>
          </w:p>
        </w:tc>
        <w:tc>
          <w:tcPr>
            <w:tcW w:w="846" w:type="pct"/>
            <w:tcBorders>
              <w:top w:val="single" w:sz="4" w:space="0" w:color="auto"/>
              <w:left w:val="nil"/>
              <w:bottom w:val="single" w:sz="4" w:space="0" w:color="auto"/>
              <w:right w:val="single" w:sz="4" w:space="0" w:color="auto"/>
            </w:tcBorders>
            <w:shd w:val="clear" w:color="auto" w:fill="D0CECE" w:themeFill="background2" w:themeFillShade="E6"/>
            <w:noWrap/>
            <w:vAlign w:val="bottom"/>
          </w:tcPr>
          <w:p w14:paraId="1842B8F0"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2030</w:t>
            </w:r>
          </w:p>
        </w:tc>
        <w:tc>
          <w:tcPr>
            <w:tcW w:w="846" w:type="pct"/>
            <w:tcBorders>
              <w:top w:val="single" w:sz="4" w:space="0" w:color="auto"/>
              <w:left w:val="nil"/>
              <w:bottom w:val="single" w:sz="4" w:space="0" w:color="auto"/>
              <w:right w:val="single" w:sz="4" w:space="0" w:color="auto"/>
            </w:tcBorders>
            <w:shd w:val="clear" w:color="auto" w:fill="D0CECE" w:themeFill="background2" w:themeFillShade="E6"/>
            <w:noWrap/>
            <w:vAlign w:val="bottom"/>
          </w:tcPr>
          <w:p w14:paraId="52BD7F5E"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2040</w:t>
            </w:r>
          </w:p>
        </w:tc>
        <w:tc>
          <w:tcPr>
            <w:tcW w:w="847" w:type="pct"/>
            <w:tcBorders>
              <w:top w:val="single" w:sz="4" w:space="0" w:color="auto"/>
              <w:left w:val="nil"/>
              <w:bottom w:val="single" w:sz="4" w:space="0" w:color="auto"/>
              <w:right w:val="single" w:sz="4" w:space="0" w:color="auto"/>
            </w:tcBorders>
            <w:shd w:val="clear" w:color="auto" w:fill="D0CECE" w:themeFill="background2" w:themeFillShade="E6"/>
            <w:noWrap/>
            <w:vAlign w:val="bottom"/>
          </w:tcPr>
          <w:p w14:paraId="4ACC0B1F"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2050</w:t>
            </w:r>
          </w:p>
        </w:tc>
      </w:tr>
      <w:tr w:rsidR="002A265A" w:rsidRPr="006F3533" w14:paraId="309BE23C" w14:textId="77777777" w:rsidTr="007C37A7">
        <w:trPr>
          <w:trHeight w:val="288"/>
        </w:trPr>
        <w:tc>
          <w:tcPr>
            <w:tcW w:w="1615" w:type="pct"/>
            <w:tcBorders>
              <w:top w:val="nil"/>
              <w:left w:val="single" w:sz="4" w:space="0" w:color="auto"/>
              <w:bottom w:val="single" w:sz="4" w:space="0" w:color="auto"/>
              <w:right w:val="single" w:sz="4" w:space="0" w:color="auto"/>
            </w:tcBorders>
            <w:noWrap/>
            <w:vAlign w:val="bottom"/>
          </w:tcPr>
          <w:p w14:paraId="1AF5D000"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НЕС</w:t>
            </w:r>
          </w:p>
        </w:tc>
        <w:tc>
          <w:tcPr>
            <w:tcW w:w="846" w:type="pct"/>
            <w:tcBorders>
              <w:top w:val="single" w:sz="4" w:space="0" w:color="auto"/>
              <w:left w:val="single" w:sz="4" w:space="0" w:color="auto"/>
              <w:bottom w:val="single" w:sz="4" w:space="0" w:color="auto"/>
              <w:right w:val="single" w:sz="4" w:space="0" w:color="auto"/>
            </w:tcBorders>
            <w:noWrap/>
            <w:vAlign w:val="bottom"/>
          </w:tcPr>
          <w:p w14:paraId="63395D40"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0</w:t>
            </w:r>
          </w:p>
        </w:tc>
        <w:tc>
          <w:tcPr>
            <w:tcW w:w="846" w:type="pct"/>
            <w:tcBorders>
              <w:top w:val="single" w:sz="4" w:space="0" w:color="auto"/>
              <w:left w:val="nil"/>
              <w:bottom w:val="single" w:sz="4" w:space="0" w:color="auto"/>
              <w:right w:val="single" w:sz="4" w:space="0" w:color="auto"/>
            </w:tcBorders>
            <w:noWrap/>
            <w:vAlign w:val="bottom"/>
          </w:tcPr>
          <w:p w14:paraId="2ABB4481"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0</w:t>
            </w:r>
          </w:p>
        </w:tc>
        <w:tc>
          <w:tcPr>
            <w:tcW w:w="846" w:type="pct"/>
            <w:tcBorders>
              <w:top w:val="single" w:sz="4" w:space="0" w:color="auto"/>
              <w:left w:val="nil"/>
              <w:bottom w:val="single" w:sz="4" w:space="0" w:color="auto"/>
              <w:right w:val="single" w:sz="4" w:space="0" w:color="auto"/>
            </w:tcBorders>
            <w:noWrap/>
            <w:vAlign w:val="bottom"/>
          </w:tcPr>
          <w:p w14:paraId="6D3FE40C"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4 754 762</w:t>
            </w:r>
          </w:p>
        </w:tc>
        <w:tc>
          <w:tcPr>
            <w:tcW w:w="847" w:type="pct"/>
            <w:tcBorders>
              <w:top w:val="single" w:sz="4" w:space="0" w:color="auto"/>
              <w:left w:val="nil"/>
              <w:bottom w:val="single" w:sz="4" w:space="0" w:color="auto"/>
              <w:right w:val="single" w:sz="4" w:space="0" w:color="auto"/>
            </w:tcBorders>
            <w:noWrap/>
            <w:vAlign w:val="bottom"/>
          </w:tcPr>
          <w:p w14:paraId="471CA2BC"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31 934091</w:t>
            </w:r>
          </w:p>
        </w:tc>
      </w:tr>
      <w:tr w:rsidR="002A265A" w:rsidRPr="006F3533" w14:paraId="5D9C5FFD" w14:textId="77777777" w:rsidTr="007C37A7">
        <w:trPr>
          <w:trHeight w:val="288"/>
        </w:trPr>
        <w:tc>
          <w:tcPr>
            <w:tcW w:w="1615" w:type="pct"/>
            <w:tcBorders>
              <w:top w:val="nil"/>
              <w:left w:val="single" w:sz="4" w:space="0" w:color="auto"/>
              <w:bottom w:val="single" w:sz="4" w:space="0" w:color="auto"/>
              <w:right w:val="single" w:sz="4" w:space="0" w:color="auto"/>
            </w:tcBorders>
            <w:noWrap/>
            <w:vAlign w:val="bottom"/>
          </w:tcPr>
          <w:p w14:paraId="6742ECC3"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СБНПЕ</w:t>
            </w:r>
          </w:p>
        </w:tc>
        <w:tc>
          <w:tcPr>
            <w:tcW w:w="846" w:type="pct"/>
            <w:tcBorders>
              <w:top w:val="nil"/>
              <w:left w:val="single" w:sz="4" w:space="0" w:color="auto"/>
              <w:bottom w:val="single" w:sz="4" w:space="0" w:color="auto"/>
              <w:right w:val="single" w:sz="4" w:space="0" w:color="auto"/>
            </w:tcBorders>
            <w:noWrap/>
            <w:vAlign w:val="bottom"/>
          </w:tcPr>
          <w:p w14:paraId="0D81F44C"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86 593</w:t>
            </w:r>
          </w:p>
        </w:tc>
        <w:tc>
          <w:tcPr>
            <w:tcW w:w="846" w:type="pct"/>
            <w:tcBorders>
              <w:top w:val="nil"/>
              <w:left w:val="nil"/>
              <w:bottom w:val="single" w:sz="4" w:space="0" w:color="auto"/>
              <w:right w:val="single" w:sz="4" w:space="0" w:color="auto"/>
            </w:tcBorders>
            <w:noWrap/>
            <w:vAlign w:val="bottom"/>
          </w:tcPr>
          <w:p w14:paraId="4D85B9F6"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6 486 828</w:t>
            </w:r>
          </w:p>
        </w:tc>
        <w:tc>
          <w:tcPr>
            <w:tcW w:w="846" w:type="pct"/>
            <w:tcBorders>
              <w:top w:val="nil"/>
              <w:left w:val="nil"/>
              <w:bottom w:val="single" w:sz="4" w:space="0" w:color="auto"/>
              <w:right w:val="single" w:sz="4" w:space="0" w:color="auto"/>
            </w:tcBorders>
            <w:noWrap/>
            <w:vAlign w:val="bottom"/>
          </w:tcPr>
          <w:p w14:paraId="1E3BEE9B"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8 668 071</w:t>
            </w:r>
          </w:p>
        </w:tc>
        <w:tc>
          <w:tcPr>
            <w:tcW w:w="847" w:type="pct"/>
            <w:tcBorders>
              <w:top w:val="nil"/>
              <w:left w:val="nil"/>
              <w:bottom w:val="single" w:sz="4" w:space="0" w:color="auto"/>
              <w:right w:val="single" w:sz="4" w:space="0" w:color="auto"/>
            </w:tcBorders>
            <w:noWrap/>
            <w:vAlign w:val="bottom"/>
          </w:tcPr>
          <w:p w14:paraId="7C3D7AC9"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13 256 089</w:t>
            </w:r>
          </w:p>
        </w:tc>
      </w:tr>
      <w:tr w:rsidR="002A265A" w:rsidRPr="006F3533" w14:paraId="5E770631" w14:textId="77777777" w:rsidTr="007C37A7">
        <w:trPr>
          <w:trHeight w:val="288"/>
        </w:trPr>
        <w:tc>
          <w:tcPr>
            <w:tcW w:w="1615" w:type="pct"/>
            <w:tcBorders>
              <w:top w:val="nil"/>
              <w:left w:val="single" w:sz="4" w:space="0" w:color="auto"/>
              <w:bottom w:val="single" w:sz="4" w:space="0" w:color="auto"/>
              <w:right w:val="single" w:sz="4" w:space="0" w:color="auto"/>
            </w:tcBorders>
            <w:noWrap/>
            <w:vAlign w:val="bottom"/>
          </w:tcPr>
          <w:p w14:paraId="531B4733"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Клас А</w:t>
            </w:r>
          </w:p>
        </w:tc>
        <w:tc>
          <w:tcPr>
            <w:tcW w:w="846" w:type="pct"/>
            <w:tcBorders>
              <w:top w:val="nil"/>
              <w:left w:val="single" w:sz="4" w:space="0" w:color="auto"/>
              <w:bottom w:val="single" w:sz="4" w:space="0" w:color="auto"/>
              <w:right w:val="single" w:sz="4" w:space="0" w:color="auto"/>
            </w:tcBorders>
            <w:noWrap/>
            <w:vAlign w:val="bottom"/>
          </w:tcPr>
          <w:p w14:paraId="588744A5"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970 386</w:t>
            </w:r>
          </w:p>
        </w:tc>
        <w:tc>
          <w:tcPr>
            <w:tcW w:w="846" w:type="pct"/>
            <w:tcBorders>
              <w:top w:val="nil"/>
              <w:left w:val="nil"/>
              <w:bottom w:val="single" w:sz="4" w:space="0" w:color="auto"/>
              <w:right w:val="single" w:sz="4" w:space="0" w:color="auto"/>
            </w:tcBorders>
            <w:noWrap/>
            <w:vAlign w:val="bottom"/>
          </w:tcPr>
          <w:p w14:paraId="586154F7"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1 769 358</w:t>
            </w:r>
          </w:p>
        </w:tc>
        <w:tc>
          <w:tcPr>
            <w:tcW w:w="846" w:type="pct"/>
            <w:tcBorders>
              <w:top w:val="nil"/>
              <w:left w:val="nil"/>
              <w:bottom w:val="single" w:sz="4" w:space="0" w:color="auto"/>
              <w:right w:val="single" w:sz="4" w:space="0" w:color="auto"/>
            </w:tcBorders>
            <w:noWrap/>
            <w:vAlign w:val="bottom"/>
          </w:tcPr>
          <w:p w14:paraId="29057E92"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3 378 859</w:t>
            </w:r>
          </w:p>
        </w:tc>
        <w:tc>
          <w:tcPr>
            <w:tcW w:w="847" w:type="pct"/>
            <w:tcBorders>
              <w:top w:val="nil"/>
              <w:left w:val="nil"/>
              <w:bottom w:val="single" w:sz="4" w:space="0" w:color="auto"/>
              <w:right w:val="single" w:sz="4" w:space="0" w:color="auto"/>
            </w:tcBorders>
            <w:noWrap/>
            <w:vAlign w:val="bottom"/>
          </w:tcPr>
          <w:p w14:paraId="52D55DA9"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3 378 859</w:t>
            </w:r>
          </w:p>
        </w:tc>
      </w:tr>
      <w:tr w:rsidR="002A265A" w:rsidRPr="006F3533" w14:paraId="21381EE6" w14:textId="77777777" w:rsidTr="007C37A7">
        <w:trPr>
          <w:trHeight w:val="288"/>
        </w:trPr>
        <w:tc>
          <w:tcPr>
            <w:tcW w:w="1615" w:type="pct"/>
            <w:tcBorders>
              <w:top w:val="nil"/>
              <w:left w:val="single" w:sz="4" w:space="0" w:color="auto"/>
              <w:bottom w:val="single" w:sz="4" w:space="0" w:color="auto"/>
              <w:right w:val="single" w:sz="4" w:space="0" w:color="auto"/>
            </w:tcBorders>
            <w:noWrap/>
            <w:vAlign w:val="bottom"/>
          </w:tcPr>
          <w:p w14:paraId="173571ED"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Клас В</w:t>
            </w:r>
          </w:p>
        </w:tc>
        <w:tc>
          <w:tcPr>
            <w:tcW w:w="846" w:type="pct"/>
            <w:tcBorders>
              <w:top w:val="nil"/>
              <w:left w:val="single" w:sz="4" w:space="0" w:color="auto"/>
              <w:bottom w:val="single" w:sz="4" w:space="0" w:color="auto"/>
              <w:right w:val="single" w:sz="4" w:space="0" w:color="auto"/>
            </w:tcBorders>
            <w:noWrap/>
            <w:vAlign w:val="bottom"/>
          </w:tcPr>
          <w:p w14:paraId="786048B1"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6 684 085</w:t>
            </w:r>
          </w:p>
        </w:tc>
        <w:tc>
          <w:tcPr>
            <w:tcW w:w="846" w:type="pct"/>
            <w:tcBorders>
              <w:top w:val="nil"/>
              <w:left w:val="nil"/>
              <w:bottom w:val="single" w:sz="4" w:space="0" w:color="auto"/>
              <w:right w:val="single" w:sz="4" w:space="0" w:color="auto"/>
            </w:tcBorders>
            <w:noWrap/>
            <w:vAlign w:val="bottom"/>
          </w:tcPr>
          <w:p w14:paraId="20D1A5F7"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12 142 469</w:t>
            </w:r>
          </w:p>
        </w:tc>
        <w:tc>
          <w:tcPr>
            <w:tcW w:w="846" w:type="pct"/>
            <w:tcBorders>
              <w:top w:val="nil"/>
              <w:left w:val="nil"/>
              <w:bottom w:val="single" w:sz="4" w:space="0" w:color="auto"/>
              <w:right w:val="single" w:sz="4" w:space="0" w:color="auto"/>
            </w:tcBorders>
            <w:noWrap/>
            <w:vAlign w:val="bottom"/>
          </w:tcPr>
          <w:p w14:paraId="25D8AB5B"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12 142 469</w:t>
            </w:r>
          </w:p>
        </w:tc>
        <w:tc>
          <w:tcPr>
            <w:tcW w:w="847" w:type="pct"/>
            <w:tcBorders>
              <w:top w:val="nil"/>
              <w:left w:val="nil"/>
              <w:bottom w:val="single" w:sz="4" w:space="0" w:color="auto"/>
              <w:right w:val="single" w:sz="4" w:space="0" w:color="auto"/>
            </w:tcBorders>
            <w:noWrap/>
            <w:vAlign w:val="bottom"/>
          </w:tcPr>
          <w:p w14:paraId="0432857F"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21 646 295</w:t>
            </w:r>
          </w:p>
        </w:tc>
      </w:tr>
      <w:tr w:rsidR="002A265A" w:rsidRPr="006F3533" w14:paraId="55F94289" w14:textId="77777777" w:rsidTr="007C37A7">
        <w:trPr>
          <w:trHeight w:val="288"/>
        </w:trPr>
        <w:tc>
          <w:tcPr>
            <w:tcW w:w="1615" w:type="pct"/>
            <w:tcBorders>
              <w:top w:val="nil"/>
              <w:left w:val="single" w:sz="4" w:space="0" w:color="auto"/>
              <w:bottom w:val="single" w:sz="4" w:space="0" w:color="auto"/>
              <w:right w:val="single" w:sz="4" w:space="0" w:color="auto"/>
            </w:tcBorders>
            <w:noWrap/>
            <w:vAlign w:val="bottom"/>
          </w:tcPr>
          <w:p w14:paraId="01061528"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Сгради с по-нисък клас</w:t>
            </w:r>
          </w:p>
        </w:tc>
        <w:tc>
          <w:tcPr>
            <w:tcW w:w="846" w:type="pct"/>
            <w:tcBorders>
              <w:top w:val="nil"/>
              <w:left w:val="single" w:sz="4" w:space="0" w:color="auto"/>
              <w:bottom w:val="single" w:sz="4" w:space="0" w:color="auto"/>
              <w:right w:val="single" w:sz="4" w:space="0" w:color="auto"/>
            </w:tcBorders>
            <w:noWrap/>
            <w:vAlign w:val="bottom"/>
          </w:tcPr>
          <w:p w14:paraId="61664A77"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85 620 844</w:t>
            </w:r>
          </w:p>
        </w:tc>
        <w:tc>
          <w:tcPr>
            <w:tcW w:w="846" w:type="pct"/>
            <w:tcBorders>
              <w:top w:val="nil"/>
              <w:left w:val="nil"/>
              <w:bottom w:val="single" w:sz="4" w:space="0" w:color="auto"/>
              <w:right w:val="single" w:sz="4" w:space="0" w:color="auto"/>
            </w:tcBorders>
            <w:noWrap/>
            <w:vAlign w:val="bottom"/>
          </w:tcPr>
          <w:p w14:paraId="2C439425"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76 133 095</w:t>
            </w:r>
          </w:p>
        </w:tc>
        <w:tc>
          <w:tcPr>
            <w:tcW w:w="846" w:type="pct"/>
            <w:tcBorders>
              <w:top w:val="nil"/>
              <w:left w:val="nil"/>
              <w:bottom w:val="single" w:sz="4" w:space="0" w:color="auto"/>
              <w:right w:val="single" w:sz="4" w:space="0" w:color="auto"/>
            </w:tcBorders>
            <w:noWrap/>
            <w:vAlign w:val="bottom"/>
          </w:tcPr>
          <w:p w14:paraId="37971760"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69 964 969</w:t>
            </w:r>
          </w:p>
        </w:tc>
        <w:tc>
          <w:tcPr>
            <w:tcW w:w="847" w:type="pct"/>
            <w:tcBorders>
              <w:top w:val="nil"/>
              <w:left w:val="nil"/>
              <w:bottom w:val="single" w:sz="4" w:space="0" w:color="auto"/>
              <w:right w:val="single" w:sz="4" w:space="0" w:color="auto"/>
            </w:tcBorders>
            <w:noWrap/>
            <w:vAlign w:val="bottom"/>
          </w:tcPr>
          <w:p w14:paraId="3A687FBD" w14:textId="77777777" w:rsidR="002A265A" w:rsidRPr="006F3533" w:rsidRDefault="002A265A" w:rsidP="00541E06">
            <w:pPr>
              <w:spacing w:after="0" w:line="240" w:lineRule="auto"/>
              <w:jc w:val="right"/>
              <w:rPr>
                <w:rFonts w:eastAsia="Times New Roman" w:cs="Times New Roman"/>
                <w:sz w:val="22"/>
                <w:lang w:val="bg-BG"/>
              </w:rPr>
            </w:pPr>
            <w:r w:rsidRPr="006F3533">
              <w:rPr>
                <w:rFonts w:cs="Times New Roman"/>
                <w:sz w:val="22"/>
                <w:lang w:val="bg-BG"/>
              </w:rPr>
              <w:t>34 241 020</w:t>
            </w:r>
          </w:p>
        </w:tc>
      </w:tr>
      <w:tr w:rsidR="002A265A" w:rsidRPr="006F3533" w14:paraId="423DF106" w14:textId="77777777" w:rsidTr="007C37A7">
        <w:trPr>
          <w:trHeight w:val="288"/>
        </w:trPr>
        <w:tc>
          <w:tcPr>
            <w:tcW w:w="1615" w:type="pct"/>
            <w:tcBorders>
              <w:top w:val="nil"/>
              <w:left w:val="single" w:sz="4" w:space="0" w:color="auto"/>
              <w:bottom w:val="single" w:sz="4" w:space="0" w:color="auto"/>
              <w:right w:val="single" w:sz="4" w:space="0" w:color="auto"/>
            </w:tcBorders>
            <w:noWrap/>
            <w:vAlign w:val="bottom"/>
          </w:tcPr>
          <w:p w14:paraId="567A698B"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Общо - нежилищни сгради:</w:t>
            </w:r>
          </w:p>
        </w:tc>
        <w:tc>
          <w:tcPr>
            <w:tcW w:w="846" w:type="pct"/>
            <w:tcBorders>
              <w:top w:val="nil"/>
              <w:left w:val="single" w:sz="4" w:space="0" w:color="auto"/>
              <w:bottom w:val="single" w:sz="4" w:space="0" w:color="auto"/>
              <w:right w:val="single" w:sz="4" w:space="0" w:color="auto"/>
            </w:tcBorders>
            <w:noWrap/>
            <w:vAlign w:val="bottom"/>
          </w:tcPr>
          <w:p w14:paraId="312FE94A"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cs="Times New Roman"/>
                <w:b/>
                <w:bCs/>
                <w:sz w:val="22"/>
                <w:lang w:val="bg-BG"/>
              </w:rPr>
              <w:t>93 361 908</w:t>
            </w:r>
          </w:p>
        </w:tc>
        <w:tc>
          <w:tcPr>
            <w:tcW w:w="846" w:type="pct"/>
            <w:tcBorders>
              <w:top w:val="nil"/>
              <w:left w:val="nil"/>
              <w:bottom w:val="single" w:sz="4" w:space="0" w:color="auto"/>
              <w:right w:val="single" w:sz="4" w:space="0" w:color="auto"/>
            </w:tcBorders>
            <w:noWrap/>
            <w:vAlign w:val="bottom"/>
          </w:tcPr>
          <w:p w14:paraId="16159606"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cs="Times New Roman"/>
                <w:b/>
                <w:bCs/>
                <w:sz w:val="22"/>
                <w:lang w:val="bg-BG"/>
              </w:rPr>
              <w:t>96 531 749</w:t>
            </w:r>
          </w:p>
        </w:tc>
        <w:tc>
          <w:tcPr>
            <w:tcW w:w="846" w:type="pct"/>
            <w:tcBorders>
              <w:top w:val="nil"/>
              <w:left w:val="nil"/>
              <w:bottom w:val="single" w:sz="4" w:space="0" w:color="auto"/>
              <w:right w:val="single" w:sz="4" w:space="0" w:color="auto"/>
            </w:tcBorders>
            <w:noWrap/>
            <w:vAlign w:val="bottom"/>
          </w:tcPr>
          <w:p w14:paraId="55292B5C"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cs="Times New Roman"/>
                <w:b/>
                <w:bCs/>
                <w:sz w:val="22"/>
                <w:lang w:val="bg-BG"/>
              </w:rPr>
              <w:t>98 909 130</w:t>
            </w:r>
          </w:p>
        </w:tc>
        <w:tc>
          <w:tcPr>
            <w:tcW w:w="847" w:type="pct"/>
            <w:tcBorders>
              <w:top w:val="nil"/>
              <w:left w:val="nil"/>
              <w:bottom w:val="single" w:sz="4" w:space="0" w:color="auto"/>
              <w:right w:val="single" w:sz="4" w:space="0" w:color="auto"/>
            </w:tcBorders>
            <w:noWrap/>
            <w:vAlign w:val="bottom"/>
          </w:tcPr>
          <w:p w14:paraId="277157B1"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cs="Times New Roman"/>
                <w:b/>
                <w:bCs/>
                <w:sz w:val="22"/>
                <w:lang w:val="bg-BG"/>
              </w:rPr>
              <w:t>104 456 353</w:t>
            </w:r>
          </w:p>
        </w:tc>
      </w:tr>
    </w:tbl>
    <w:p w14:paraId="07A278E7" w14:textId="77777777" w:rsidR="002A265A" w:rsidRPr="006F3533" w:rsidRDefault="002A265A" w:rsidP="002A265A">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Жилищни сгради</w:t>
      </w:r>
    </w:p>
    <w:p w14:paraId="7F04F7ED" w14:textId="77777777" w:rsidR="002A265A" w:rsidRPr="006F3533" w:rsidRDefault="002A265A" w:rsidP="002A265A">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При планирането на обновяването на жилищните сгради са отчетени следните обстоятелства:</w:t>
      </w:r>
    </w:p>
    <w:p w14:paraId="7CA84045" w14:textId="77777777" w:rsidR="002A265A" w:rsidRPr="006F3533" w:rsidRDefault="002A265A" w:rsidP="00551FED">
      <w:pPr>
        <w:numPr>
          <w:ilvl w:val="0"/>
          <w:numId w:val="120"/>
        </w:numPr>
        <w:spacing w:before="100" w:beforeAutospacing="1" w:after="100" w:afterAutospacing="1" w:line="240" w:lineRule="auto"/>
        <w:contextualSpacing/>
        <w:jc w:val="both"/>
        <w:rPr>
          <w:rFonts w:eastAsia="Times New Roman" w:cs="Times New Roman"/>
          <w:szCs w:val="24"/>
          <w:lang w:val="bg-BG" w:eastAsia="en-GB"/>
        </w:rPr>
      </w:pPr>
      <w:r w:rsidRPr="006F3533">
        <w:rPr>
          <w:rFonts w:eastAsia="Times New Roman" w:cs="Times New Roman"/>
          <w:szCs w:val="24"/>
          <w:lang w:val="bg-BG" w:eastAsia="en-GB"/>
        </w:rPr>
        <w:t>необходимостта от прилагане на разходно-ефективни мерки за енергийно обновяване, осигуряващи възвръщаемост на инвестициите в разумни срокове;</w:t>
      </w:r>
    </w:p>
    <w:p w14:paraId="5DB69CF6" w14:textId="77777777" w:rsidR="002A265A" w:rsidRPr="006F3533" w:rsidRDefault="002A265A" w:rsidP="00551FED">
      <w:pPr>
        <w:numPr>
          <w:ilvl w:val="0"/>
          <w:numId w:val="120"/>
        </w:numPr>
        <w:spacing w:before="100" w:beforeAutospacing="1" w:after="100" w:afterAutospacing="1" w:line="240" w:lineRule="auto"/>
        <w:contextualSpacing/>
        <w:jc w:val="both"/>
        <w:rPr>
          <w:rFonts w:eastAsia="Times New Roman" w:cs="Times New Roman"/>
          <w:szCs w:val="24"/>
          <w:lang w:val="bg-BG" w:eastAsia="en-GB"/>
        </w:rPr>
      </w:pPr>
      <w:r w:rsidRPr="006F3533">
        <w:rPr>
          <w:rFonts w:eastAsia="Times New Roman" w:cs="Times New Roman"/>
          <w:szCs w:val="24"/>
          <w:lang w:val="bg-BG" w:eastAsia="en-GB"/>
        </w:rPr>
        <w:t>наличието на действащи и планирани програми за финансиране за периода 2026–2027 г., включително по линия на Националния план за възстановяване и устойчивост (НПВУ), Програмата за развитие на регионите 2021–2027 г. (приоритетни оси 1 и 2 и приоритет „Справедлив преход“), както и планирания втори етап на Националната програма за енергийна ефективност (НПЕЕ);</w:t>
      </w:r>
    </w:p>
    <w:p w14:paraId="41B079FC" w14:textId="77777777" w:rsidR="002A265A" w:rsidRPr="006F3533" w:rsidRDefault="002A265A" w:rsidP="00551FED">
      <w:pPr>
        <w:numPr>
          <w:ilvl w:val="0"/>
          <w:numId w:val="120"/>
        </w:numPr>
        <w:spacing w:before="100" w:beforeAutospacing="1" w:after="100" w:afterAutospacing="1" w:line="240" w:lineRule="auto"/>
        <w:contextualSpacing/>
        <w:jc w:val="both"/>
        <w:rPr>
          <w:rFonts w:eastAsia="Times New Roman" w:cs="Times New Roman"/>
          <w:szCs w:val="24"/>
          <w:lang w:val="bg-BG" w:eastAsia="en-GB"/>
        </w:rPr>
      </w:pPr>
      <w:r w:rsidRPr="006F3533">
        <w:rPr>
          <w:rFonts w:eastAsia="Times New Roman" w:cs="Times New Roman"/>
          <w:szCs w:val="24"/>
          <w:lang w:val="bg-BG" w:eastAsia="en-GB"/>
        </w:rPr>
        <w:t xml:space="preserve"> състоянието на жилищния сграден фонд, включително значителния дял на сгради с нисък енергиен клас (клас G), при които първоначалните мерки за </w:t>
      </w:r>
      <w:r w:rsidRPr="006F3533">
        <w:rPr>
          <w:rFonts w:eastAsia="Times New Roman" w:cs="Times New Roman"/>
          <w:szCs w:val="24"/>
          <w:lang w:val="bg-BG" w:eastAsia="en-GB"/>
        </w:rPr>
        <w:lastRenderedPageBreak/>
        <w:t>обновяване обичайно се свеждат до подмяна на дограмата, съгласно установената практика на домакинствата;</w:t>
      </w:r>
    </w:p>
    <w:p w14:paraId="23B95140" w14:textId="30C75815" w:rsidR="002A265A" w:rsidRPr="006F3533" w:rsidRDefault="002A265A" w:rsidP="00551FED">
      <w:pPr>
        <w:numPr>
          <w:ilvl w:val="0"/>
          <w:numId w:val="120"/>
        </w:numPr>
        <w:spacing w:before="100" w:beforeAutospacing="1" w:after="120" w:line="240" w:lineRule="auto"/>
        <w:contextualSpacing/>
        <w:jc w:val="both"/>
        <w:rPr>
          <w:rFonts w:eastAsia="Times New Roman" w:cs="Times New Roman"/>
          <w:szCs w:val="24"/>
          <w:lang w:val="bg-BG" w:eastAsia="en-GB"/>
        </w:rPr>
      </w:pPr>
      <w:r w:rsidRPr="006F3533">
        <w:rPr>
          <w:rFonts w:eastAsia="Times New Roman" w:cs="Times New Roman"/>
          <w:szCs w:val="24"/>
          <w:lang w:val="bg-BG" w:eastAsia="en-GB"/>
        </w:rPr>
        <w:t>необходимостта от поетапно обновяване на жилищните сгради, основано на дългосрочен план, отразен в паспорт за сградно обновяване.</w:t>
      </w:r>
    </w:p>
    <w:p w14:paraId="73733888" w14:textId="77777777" w:rsidR="007C37A7" w:rsidRPr="006F3533" w:rsidRDefault="007C37A7" w:rsidP="002A265A">
      <w:pPr>
        <w:spacing w:after="0"/>
        <w:ind w:left="709" w:hanging="1135"/>
        <w:jc w:val="both"/>
        <w:rPr>
          <w:rFonts w:cs="Times New Roman"/>
          <w:i/>
          <w:iCs/>
          <w:szCs w:val="24"/>
          <w:lang w:val="bg-BG"/>
        </w:rPr>
      </w:pPr>
    </w:p>
    <w:p w14:paraId="176ED147" w14:textId="4F651213" w:rsidR="002A265A" w:rsidRPr="006F3533" w:rsidRDefault="002A265A" w:rsidP="002A265A">
      <w:pPr>
        <w:spacing w:after="0"/>
        <w:ind w:left="709" w:hanging="1135"/>
        <w:jc w:val="both"/>
        <w:rPr>
          <w:rFonts w:cs="Times New Roman"/>
          <w:i/>
          <w:iCs/>
          <w:color w:val="4472C4" w:themeColor="accent1"/>
          <w:szCs w:val="24"/>
          <w:vertAlign w:val="superscript"/>
          <w:lang w:val="bg-BG"/>
        </w:rPr>
      </w:pPr>
      <w:r w:rsidRPr="006F3533">
        <w:rPr>
          <w:rFonts w:cs="Times New Roman"/>
          <w:i/>
          <w:iCs/>
          <w:color w:val="4472C4" w:themeColor="accent1"/>
          <w:szCs w:val="24"/>
          <w:lang w:val="bg-BG"/>
        </w:rPr>
        <w:t>Таблица 15</w:t>
      </w:r>
      <w:r w:rsidR="007C37A7" w:rsidRPr="006F3533">
        <w:rPr>
          <w:rFonts w:cs="Times New Roman"/>
          <w:i/>
          <w:iCs/>
          <w:color w:val="4472C4" w:themeColor="accent1"/>
          <w:szCs w:val="24"/>
          <w:lang w:val="bg-BG"/>
        </w:rPr>
        <w:t>с</w:t>
      </w:r>
      <w:r w:rsidRPr="006F3533">
        <w:rPr>
          <w:rFonts w:cs="Times New Roman"/>
          <w:i/>
          <w:iCs/>
          <w:color w:val="4472C4" w:themeColor="accent1"/>
          <w:szCs w:val="24"/>
          <w:lang w:val="bg-BG"/>
        </w:rPr>
        <w:t>. Цели за обновяване на жилищни сгради за периода 2030-2050 г., m</w:t>
      </w:r>
      <w:r w:rsidRPr="006F3533">
        <w:rPr>
          <w:rFonts w:cs="Times New Roman"/>
          <w:i/>
          <w:iCs/>
          <w:color w:val="4472C4" w:themeColor="accent1"/>
          <w:szCs w:val="24"/>
          <w:vertAlign w:val="superscript"/>
          <w:lang w:val="bg-BG"/>
        </w:rPr>
        <w:t>2</w:t>
      </w:r>
    </w:p>
    <w:p w14:paraId="4F96BBA3" w14:textId="77777777" w:rsidR="007C37A7" w:rsidRPr="006F3533" w:rsidRDefault="007C37A7" w:rsidP="002A265A">
      <w:pPr>
        <w:spacing w:after="0"/>
        <w:ind w:left="709" w:hanging="1135"/>
        <w:jc w:val="both"/>
        <w:rPr>
          <w:rFonts w:cs="Times New Roman"/>
          <w:szCs w:val="24"/>
          <w:lang w:val="bg-BG"/>
        </w:rPr>
      </w:pPr>
    </w:p>
    <w:tbl>
      <w:tblPr>
        <w:tblW w:w="10773" w:type="dxa"/>
        <w:tblInd w:w="-572" w:type="dxa"/>
        <w:tblLook w:val="04A0" w:firstRow="1" w:lastRow="0" w:firstColumn="1" w:lastColumn="0" w:noHBand="0" w:noVBand="1"/>
      </w:tblPr>
      <w:tblGrid>
        <w:gridCol w:w="1386"/>
        <w:gridCol w:w="3150"/>
        <w:gridCol w:w="1275"/>
        <w:gridCol w:w="1276"/>
        <w:gridCol w:w="1276"/>
        <w:gridCol w:w="1276"/>
        <w:gridCol w:w="1134"/>
      </w:tblGrid>
      <w:tr w:rsidR="002A265A" w:rsidRPr="006F3533" w14:paraId="6F195975" w14:textId="77777777" w:rsidTr="00541E06">
        <w:trPr>
          <w:trHeight w:val="288"/>
        </w:trPr>
        <w:tc>
          <w:tcPr>
            <w:tcW w:w="1386" w:type="dxa"/>
            <w:tcBorders>
              <w:top w:val="single" w:sz="4" w:space="0" w:color="auto"/>
              <w:left w:val="single" w:sz="4" w:space="0" w:color="auto"/>
              <w:bottom w:val="single" w:sz="4" w:space="0" w:color="auto"/>
              <w:right w:val="single" w:sz="4" w:space="0" w:color="auto"/>
            </w:tcBorders>
            <w:shd w:val="clear" w:color="000000" w:fill="D9D9D9"/>
          </w:tcPr>
          <w:p w14:paraId="115F6025" w14:textId="77777777" w:rsidR="002A265A" w:rsidRPr="006F3533" w:rsidRDefault="002A265A" w:rsidP="00541E06">
            <w:pPr>
              <w:spacing w:after="0" w:line="240" w:lineRule="auto"/>
              <w:rPr>
                <w:rFonts w:eastAsia="Times New Roman" w:cs="Times New Roman"/>
                <w:b/>
                <w:bCs/>
                <w:sz w:val="22"/>
                <w:lang w:val="bg-BG"/>
              </w:rPr>
            </w:pPr>
          </w:p>
        </w:tc>
        <w:tc>
          <w:tcPr>
            <w:tcW w:w="3150" w:type="dxa"/>
            <w:tcBorders>
              <w:top w:val="single" w:sz="4" w:space="0" w:color="auto"/>
              <w:left w:val="single" w:sz="4" w:space="0" w:color="auto"/>
              <w:bottom w:val="single" w:sz="4" w:space="0" w:color="auto"/>
              <w:right w:val="single" w:sz="4" w:space="0" w:color="auto"/>
            </w:tcBorders>
            <w:shd w:val="clear" w:color="000000" w:fill="D9D9D9"/>
            <w:noWrap/>
            <w:vAlign w:val="bottom"/>
          </w:tcPr>
          <w:p w14:paraId="12F82CA2" w14:textId="77777777" w:rsidR="002A265A" w:rsidRPr="006F3533" w:rsidRDefault="002A265A" w:rsidP="00541E06">
            <w:pPr>
              <w:spacing w:after="0" w:line="240" w:lineRule="auto"/>
              <w:rPr>
                <w:rFonts w:eastAsia="Times New Roman" w:cs="Times New Roman"/>
                <w:b/>
                <w:bCs/>
                <w:sz w:val="22"/>
                <w:lang w:val="bg-BG"/>
              </w:rPr>
            </w:pPr>
          </w:p>
        </w:tc>
        <w:tc>
          <w:tcPr>
            <w:tcW w:w="1275" w:type="dxa"/>
            <w:tcBorders>
              <w:top w:val="single" w:sz="4" w:space="0" w:color="auto"/>
              <w:left w:val="nil"/>
              <w:bottom w:val="single" w:sz="4" w:space="0" w:color="auto"/>
              <w:right w:val="single" w:sz="4" w:space="0" w:color="auto"/>
            </w:tcBorders>
            <w:shd w:val="clear" w:color="000000" w:fill="D9D9D9"/>
            <w:noWrap/>
            <w:vAlign w:val="bottom"/>
          </w:tcPr>
          <w:p w14:paraId="55D4F760"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2025-2030</w:t>
            </w:r>
          </w:p>
        </w:tc>
        <w:tc>
          <w:tcPr>
            <w:tcW w:w="1276" w:type="dxa"/>
            <w:tcBorders>
              <w:top w:val="single" w:sz="4" w:space="0" w:color="auto"/>
              <w:left w:val="nil"/>
              <w:bottom w:val="single" w:sz="4" w:space="0" w:color="auto"/>
              <w:right w:val="single" w:sz="4" w:space="0" w:color="auto"/>
            </w:tcBorders>
            <w:shd w:val="clear" w:color="000000" w:fill="D9D9D9"/>
            <w:noWrap/>
            <w:vAlign w:val="bottom"/>
          </w:tcPr>
          <w:p w14:paraId="66230460"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2031-2033</w:t>
            </w:r>
          </w:p>
        </w:tc>
        <w:tc>
          <w:tcPr>
            <w:tcW w:w="1276" w:type="dxa"/>
            <w:tcBorders>
              <w:top w:val="single" w:sz="4" w:space="0" w:color="auto"/>
              <w:left w:val="nil"/>
              <w:bottom w:val="single" w:sz="4" w:space="0" w:color="auto"/>
              <w:right w:val="single" w:sz="4" w:space="0" w:color="auto"/>
            </w:tcBorders>
            <w:shd w:val="clear" w:color="000000" w:fill="D9D9D9"/>
            <w:noWrap/>
            <w:vAlign w:val="bottom"/>
          </w:tcPr>
          <w:p w14:paraId="686BC34B"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2034-2035</w:t>
            </w:r>
          </w:p>
        </w:tc>
        <w:tc>
          <w:tcPr>
            <w:tcW w:w="1276" w:type="dxa"/>
            <w:tcBorders>
              <w:top w:val="single" w:sz="4" w:space="0" w:color="auto"/>
              <w:left w:val="nil"/>
              <w:bottom w:val="single" w:sz="4" w:space="0" w:color="auto"/>
              <w:right w:val="single" w:sz="4" w:space="0" w:color="auto"/>
            </w:tcBorders>
            <w:shd w:val="clear" w:color="000000" w:fill="D9D9D9"/>
            <w:noWrap/>
            <w:vAlign w:val="bottom"/>
          </w:tcPr>
          <w:p w14:paraId="09300E15"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2036-2040</w:t>
            </w:r>
          </w:p>
        </w:tc>
        <w:tc>
          <w:tcPr>
            <w:tcW w:w="1134" w:type="dxa"/>
            <w:tcBorders>
              <w:top w:val="single" w:sz="4" w:space="0" w:color="auto"/>
              <w:left w:val="nil"/>
              <w:bottom w:val="single" w:sz="4" w:space="0" w:color="auto"/>
              <w:right w:val="single" w:sz="4" w:space="0" w:color="auto"/>
            </w:tcBorders>
            <w:shd w:val="clear" w:color="000000" w:fill="D9D9D9"/>
          </w:tcPr>
          <w:p w14:paraId="1398FC72"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2041-2050</w:t>
            </w:r>
          </w:p>
        </w:tc>
      </w:tr>
      <w:tr w:rsidR="002A265A" w:rsidRPr="006F3533" w14:paraId="151509A4" w14:textId="77777777" w:rsidTr="00541E06">
        <w:trPr>
          <w:trHeight w:val="372"/>
        </w:trPr>
        <w:tc>
          <w:tcPr>
            <w:tcW w:w="1386" w:type="dxa"/>
            <w:vMerge w:val="restart"/>
            <w:tcBorders>
              <w:top w:val="nil"/>
              <w:left w:val="single" w:sz="4" w:space="0" w:color="auto"/>
              <w:right w:val="single" w:sz="4" w:space="0" w:color="auto"/>
            </w:tcBorders>
          </w:tcPr>
          <w:p w14:paraId="3A89D89D" w14:textId="263B7DF6"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Разход</w:t>
            </w:r>
            <w:r w:rsidR="006B655E" w:rsidRPr="006F3533">
              <w:rPr>
                <w:rFonts w:eastAsia="Times New Roman" w:cs="Times New Roman"/>
                <w:sz w:val="22"/>
                <w:lang w:val="bg-BG"/>
              </w:rPr>
              <w:t>н</w:t>
            </w:r>
            <w:r w:rsidRPr="006F3533">
              <w:rPr>
                <w:rFonts w:eastAsia="Times New Roman" w:cs="Times New Roman"/>
                <w:sz w:val="22"/>
                <w:lang w:val="bg-BG"/>
              </w:rPr>
              <w:t>о-ефективно обновяване</w:t>
            </w:r>
          </w:p>
        </w:tc>
        <w:tc>
          <w:tcPr>
            <w:tcW w:w="3150" w:type="dxa"/>
            <w:tcBorders>
              <w:top w:val="nil"/>
              <w:left w:val="single" w:sz="4" w:space="0" w:color="auto"/>
              <w:bottom w:val="single" w:sz="4" w:space="0" w:color="auto"/>
              <w:right w:val="single" w:sz="4" w:space="0" w:color="auto"/>
            </w:tcBorders>
            <w:noWrap/>
            <w:vAlign w:val="bottom"/>
          </w:tcPr>
          <w:p w14:paraId="5547C34B"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От клас С до клас В - МФЖС</w:t>
            </w:r>
          </w:p>
        </w:tc>
        <w:tc>
          <w:tcPr>
            <w:tcW w:w="1275" w:type="dxa"/>
            <w:tcBorders>
              <w:top w:val="nil"/>
              <w:left w:val="nil"/>
              <w:bottom w:val="single" w:sz="4" w:space="0" w:color="auto"/>
              <w:right w:val="single" w:sz="4" w:space="0" w:color="auto"/>
            </w:tcBorders>
            <w:noWrap/>
            <w:vAlign w:val="bottom"/>
          </w:tcPr>
          <w:p w14:paraId="3D1C004B"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14 792 564</w:t>
            </w:r>
          </w:p>
        </w:tc>
        <w:tc>
          <w:tcPr>
            <w:tcW w:w="1276" w:type="dxa"/>
            <w:tcBorders>
              <w:top w:val="nil"/>
              <w:left w:val="nil"/>
              <w:bottom w:val="single" w:sz="4" w:space="0" w:color="auto"/>
              <w:right w:val="single" w:sz="4" w:space="0" w:color="auto"/>
            </w:tcBorders>
            <w:noWrap/>
            <w:vAlign w:val="bottom"/>
          </w:tcPr>
          <w:p w14:paraId="7644143C"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2 055 000</w:t>
            </w:r>
          </w:p>
        </w:tc>
        <w:tc>
          <w:tcPr>
            <w:tcW w:w="1276" w:type="dxa"/>
            <w:tcBorders>
              <w:top w:val="nil"/>
              <w:left w:val="nil"/>
              <w:bottom w:val="single" w:sz="4" w:space="0" w:color="auto"/>
              <w:right w:val="single" w:sz="4" w:space="0" w:color="auto"/>
            </w:tcBorders>
            <w:noWrap/>
            <w:vAlign w:val="bottom"/>
          </w:tcPr>
          <w:p w14:paraId="2CC93D94"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1 096 000</w:t>
            </w:r>
          </w:p>
        </w:tc>
        <w:tc>
          <w:tcPr>
            <w:tcW w:w="1276" w:type="dxa"/>
            <w:tcBorders>
              <w:top w:val="nil"/>
              <w:left w:val="nil"/>
              <w:bottom w:val="single" w:sz="4" w:space="0" w:color="auto"/>
              <w:right w:val="single" w:sz="4" w:space="0" w:color="auto"/>
            </w:tcBorders>
            <w:noWrap/>
            <w:vAlign w:val="bottom"/>
          </w:tcPr>
          <w:p w14:paraId="3F4C334D"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1134" w:type="dxa"/>
            <w:tcBorders>
              <w:top w:val="nil"/>
              <w:left w:val="nil"/>
              <w:bottom w:val="single" w:sz="4" w:space="0" w:color="auto"/>
              <w:right w:val="single" w:sz="4" w:space="0" w:color="auto"/>
            </w:tcBorders>
          </w:tcPr>
          <w:p w14:paraId="6958F753" w14:textId="77777777" w:rsidR="002A265A" w:rsidRPr="006F3533" w:rsidRDefault="002A265A" w:rsidP="00541E06">
            <w:pPr>
              <w:spacing w:after="0" w:line="240" w:lineRule="auto"/>
              <w:rPr>
                <w:rFonts w:eastAsia="Times New Roman" w:cs="Times New Roman"/>
                <w:sz w:val="22"/>
                <w:lang w:val="bg-BG"/>
              </w:rPr>
            </w:pPr>
          </w:p>
        </w:tc>
      </w:tr>
      <w:tr w:rsidR="002A265A" w:rsidRPr="006F3533" w14:paraId="54932FD5" w14:textId="77777777" w:rsidTr="00541E06">
        <w:trPr>
          <w:trHeight w:val="288"/>
        </w:trPr>
        <w:tc>
          <w:tcPr>
            <w:tcW w:w="1386" w:type="dxa"/>
            <w:vMerge/>
            <w:tcBorders>
              <w:left w:val="single" w:sz="4" w:space="0" w:color="auto"/>
              <w:right w:val="single" w:sz="4" w:space="0" w:color="auto"/>
            </w:tcBorders>
          </w:tcPr>
          <w:p w14:paraId="631F8DED" w14:textId="77777777" w:rsidR="002A265A" w:rsidRPr="006F3533" w:rsidRDefault="002A265A" w:rsidP="00541E06">
            <w:pPr>
              <w:spacing w:after="0" w:line="240" w:lineRule="auto"/>
              <w:rPr>
                <w:rFonts w:eastAsia="Times New Roman" w:cs="Times New Roman"/>
                <w:sz w:val="22"/>
                <w:lang w:val="bg-BG"/>
              </w:rPr>
            </w:pPr>
          </w:p>
        </w:tc>
        <w:tc>
          <w:tcPr>
            <w:tcW w:w="3150" w:type="dxa"/>
            <w:tcBorders>
              <w:top w:val="nil"/>
              <w:left w:val="single" w:sz="4" w:space="0" w:color="auto"/>
              <w:bottom w:val="single" w:sz="4" w:space="0" w:color="auto"/>
              <w:right w:val="single" w:sz="4" w:space="0" w:color="auto"/>
            </w:tcBorders>
            <w:noWrap/>
            <w:vAlign w:val="bottom"/>
          </w:tcPr>
          <w:p w14:paraId="4C94A386"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От клас  D до клас В - МФЖС</w:t>
            </w:r>
          </w:p>
        </w:tc>
        <w:tc>
          <w:tcPr>
            <w:tcW w:w="1275" w:type="dxa"/>
            <w:tcBorders>
              <w:top w:val="nil"/>
              <w:left w:val="nil"/>
              <w:bottom w:val="single" w:sz="4" w:space="0" w:color="auto"/>
              <w:right w:val="single" w:sz="4" w:space="0" w:color="auto"/>
            </w:tcBorders>
            <w:noWrap/>
            <w:vAlign w:val="bottom"/>
          </w:tcPr>
          <w:p w14:paraId="7D523121"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14 253 564</w:t>
            </w:r>
          </w:p>
        </w:tc>
        <w:tc>
          <w:tcPr>
            <w:tcW w:w="1276" w:type="dxa"/>
            <w:tcBorders>
              <w:top w:val="nil"/>
              <w:left w:val="nil"/>
              <w:bottom w:val="single" w:sz="4" w:space="0" w:color="auto"/>
              <w:right w:val="single" w:sz="4" w:space="0" w:color="auto"/>
            </w:tcBorders>
            <w:noWrap/>
            <w:vAlign w:val="bottom"/>
          </w:tcPr>
          <w:p w14:paraId="5533BCF1"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1 950 000</w:t>
            </w:r>
          </w:p>
        </w:tc>
        <w:tc>
          <w:tcPr>
            <w:tcW w:w="1276" w:type="dxa"/>
            <w:tcBorders>
              <w:top w:val="nil"/>
              <w:left w:val="nil"/>
              <w:bottom w:val="single" w:sz="4" w:space="0" w:color="auto"/>
              <w:right w:val="single" w:sz="4" w:space="0" w:color="auto"/>
            </w:tcBorders>
            <w:noWrap/>
            <w:vAlign w:val="bottom"/>
          </w:tcPr>
          <w:p w14:paraId="3CE4506E"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1 040 000</w:t>
            </w:r>
          </w:p>
        </w:tc>
        <w:tc>
          <w:tcPr>
            <w:tcW w:w="1276" w:type="dxa"/>
            <w:tcBorders>
              <w:top w:val="nil"/>
              <w:left w:val="nil"/>
              <w:bottom w:val="single" w:sz="4" w:space="0" w:color="auto"/>
              <w:right w:val="single" w:sz="4" w:space="0" w:color="auto"/>
            </w:tcBorders>
            <w:noWrap/>
            <w:vAlign w:val="bottom"/>
          </w:tcPr>
          <w:p w14:paraId="1DEE4E80"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1134" w:type="dxa"/>
            <w:tcBorders>
              <w:top w:val="nil"/>
              <w:left w:val="nil"/>
              <w:bottom w:val="single" w:sz="4" w:space="0" w:color="auto"/>
              <w:right w:val="single" w:sz="4" w:space="0" w:color="auto"/>
            </w:tcBorders>
          </w:tcPr>
          <w:p w14:paraId="5A46435D" w14:textId="77777777" w:rsidR="002A265A" w:rsidRPr="006F3533" w:rsidRDefault="002A265A" w:rsidP="00541E06">
            <w:pPr>
              <w:spacing w:after="0" w:line="240" w:lineRule="auto"/>
              <w:rPr>
                <w:rFonts w:eastAsia="Times New Roman" w:cs="Times New Roman"/>
                <w:sz w:val="22"/>
                <w:lang w:val="bg-BG"/>
              </w:rPr>
            </w:pPr>
          </w:p>
        </w:tc>
      </w:tr>
      <w:tr w:rsidR="002A265A" w:rsidRPr="006F3533" w14:paraId="5201E228" w14:textId="77777777" w:rsidTr="00541E06">
        <w:trPr>
          <w:trHeight w:val="288"/>
        </w:trPr>
        <w:tc>
          <w:tcPr>
            <w:tcW w:w="1386" w:type="dxa"/>
            <w:vMerge/>
            <w:tcBorders>
              <w:left w:val="single" w:sz="4" w:space="0" w:color="auto"/>
              <w:right w:val="single" w:sz="4" w:space="0" w:color="auto"/>
            </w:tcBorders>
          </w:tcPr>
          <w:p w14:paraId="2D9EF18C" w14:textId="77777777" w:rsidR="002A265A" w:rsidRPr="006F3533" w:rsidRDefault="002A265A" w:rsidP="00541E06">
            <w:pPr>
              <w:spacing w:after="0" w:line="240" w:lineRule="auto"/>
              <w:rPr>
                <w:rFonts w:eastAsia="Times New Roman" w:cs="Times New Roman"/>
                <w:sz w:val="22"/>
                <w:lang w:val="bg-BG"/>
              </w:rPr>
            </w:pPr>
          </w:p>
        </w:tc>
        <w:tc>
          <w:tcPr>
            <w:tcW w:w="3150" w:type="dxa"/>
            <w:tcBorders>
              <w:top w:val="nil"/>
              <w:left w:val="single" w:sz="4" w:space="0" w:color="auto"/>
              <w:bottom w:val="single" w:sz="4" w:space="0" w:color="auto"/>
              <w:right w:val="single" w:sz="4" w:space="0" w:color="auto"/>
            </w:tcBorders>
            <w:noWrap/>
            <w:vAlign w:val="bottom"/>
          </w:tcPr>
          <w:p w14:paraId="45A5424E"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От клас  E до клас В - МФЖС</w:t>
            </w:r>
          </w:p>
        </w:tc>
        <w:tc>
          <w:tcPr>
            <w:tcW w:w="1275" w:type="dxa"/>
            <w:tcBorders>
              <w:top w:val="nil"/>
              <w:left w:val="nil"/>
              <w:bottom w:val="single" w:sz="4" w:space="0" w:color="auto"/>
              <w:right w:val="single" w:sz="4" w:space="0" w:color="auto"/>
            </w:tcBorders>
            <w:noWrap/>
            <w:vAlign w:val="bottom"/>
          </w:tcPr>
          <w:p w14:paraId="6FED77E2"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10 657 636</w:t>
            </w:r>
          </w:p>
        </w:tc>
        <w:tc>
          <w:tcPr>
            <w:tcW w:w="1276" w:type="dxa"/>
            <w:tcBorders>
              <w:top w:val="nil"/>
              <w:left w:val="nil"/>
              <w:bottom w:val="single" w:sz="4" w:space="0" w:color="auto"/>
              <w:right w:val="single" w:sz="4" w:space="0" w:color="auto"/>
            </w:tcBorders>
            <w:noWrap/>
            <w:vAlign w:val="bottom"/>
          </w:tcPr>
          <w:p w14:paraId="041D193C"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1 500 000</w:t>
            </w:r>
          </w:p>
        </w:tc>
        <w:tc>
          <w:tcPr>
            <w:tcW w:w="1276" w:type="dxa"/>
            <w:tcBorders>
              <w:top w:val="nil"/>
              <w:left w:val="nil"/>
              <w:bottom w:val="single" w:sz="4" w:space="0" w:color="auto"/>
              <w:right w:val="single" w:sz="4" w:space="0" w:color="auto"/>
            </w:tcBorders>
            <w:noWrap/>
            <w:vAlign w:val="bottom"/>
          </w:tcPr>
          <w:p w14:paraId="6B5DB749"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 xml:space="preserve">   800 000</w:t>
            </w:r>
          </w:p>
        </w:tc>
        <w:tc>
          <w:tcPr>
            <w:tcW w:w="1276" w:type="dxa"/>
            <w:tcBorders>
              <w:top w:val="nil"/>
              <w:left w:val="nil"/>
              <w:bottom w:val="single" w:sz="4" w:space="0" w:color="auto"/>
              <w:right w:val="single" w:sz="4" w:space="0" w:color="auto"/>
            </w:tcBorders>
            <w:noWrap/>
            <w:vAlign w:val="bottom"/>
          </w:tcPr>
          <w:p w14:paraId="054D56F8" w14:textId="77777777" w:rsidR="002A265A" w:rsidRPr="006F3533" w:rsidRDefault="002A265A" w:rsidP="00541E06">
            <w:pPr>
              <w:spacing w:after="0" w:line="240" w:lineRule="auto"/>
              <w:rPr>
                <w:rFonts w:eastAsia="Times New Roman" w:cs="Times New Roman"/>
                <w:sz w:val="22"/>
                <w:lang w:val="bg-BG"/>
              </w:rPr>
            </w:pPr>
          </w:p>
        </w:tc>
        <w:tc>
          <w:tcPr>
            <w:tcW w:w="1134" w:type="dxa"/>
            <w:tcBorders>
              <w:top w:val="nil"/>
              <w:left w:val="nil"/>
              <w:bottom w:val="single" w:sz="4" w:space="0" w:color="auto"/>
              <w:right w:val="single" w:sz="4" w:space="0" w:color="auto"/>
            </w:tcBorders>
          </w:tcPr>
          <w:p w14:paraId="030E2DDB" w14:textId="77777777" w:rsidR="002A265A" w:rsidRPr="006F3533" w:rsidRDefault="002A265A" w:rsidP="00541E06">
            <w:pPr>
              <w:spacing w:after="0" w:line="240" w:lineRule="auto"/>
              <w:rPr>
                <w:rFonts w:eastAsia="Times New Roman" w:cs="Times New Roman"/>
                <w:sz w:val="22"/>
                <w:lang w:val="bg-BG"/>
              </w:rPr>
            </w:pPr>
          </w:p>
        </w:tc>
      </w:tr>
      <w:tr w:rsidR="002A265A" w:rsidRPr="006F3533" w14:paraId="3287CE62" w14:textId="77777777" w:rsidTr="00541E06">
        <w:trPr>
          <w:trHeight w:val="288"/>
        </w:trPr>
        <w:tc>
          <w:tcPr>
            <w:tcW w:w="1386" w:type="dxa"/>
            <w:vMerge/>
            <w:tcBorders>
              <w:left w:val="single" w:sz="4" w:space="0" w:color="auto"/>
              <w:right w:val="single" w:sz="4" w:space="0" w:color="auto"/>
            </w:tcBorders>
          </w:tcPr>
          <w:p w14:paraId="2D4DE9D5" w14:textId="77777777" w:rsidR="002A265A" w:rsidRPr="006F3533" w:rsidRDefault="002A265A" w:rsidP="00541E06">
            <w:pPr>
              <w:spacing w:after="0" w:line="240" w:lineRule="auto"/>
              <w:rPr>
                <w:rFonts w:eastAsia="Times New Roman" w:cs="Times New Roman"/>
                <w:sz w:val="22"/>
                <w:lang w:val="bg-BG"/>
              </w:rPr>
            </w:pPr>
          </w:p>
        </w:tc>
        <w:tc>
          <w:tcPr>
            <w:tcW w:w="3150" w:type="dxa"/>
            <w:tcBorders>
              <w:top w:val="nil"/>
              <w:left w:val="single" w:sz="4" w:space="0" w:color="auto"/>
              <w:bottom w:val="single" w:sz="4" w:space="0" w:color="auto"/>
              <w:right w:val="single" w:sz="4" w:space="0" w:color="auto"/>
            </w:tcBorders>
            <w:noWrap/>
            <w:vAlign w:val="bottom"/>
          </w:tcPr>
          <w:p w14:paraId="21105DEF"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От клас  F до клас В - МФЖС</w:t>
            </w:r>
          </w:p>
        </w:tc>
        <w:tc>
          <w:tcPr>
            <w:tcW w:w="1275" w:type="dxa"/>
            <w:tcBorders>
              <w:top w:val="nil"/>
              <w:left w:val="nil"/>
              <w:bottom w:val="single" w:sz="4" w:space="0" w:color="auto"/>
              <w:right w:val="single" w:sz="4" w:space="0" w:color="auto"/>
            </w:tcBorders>
            <w:noWrap/>
            <w:vAlign w:val="bottom"/>
          </w:tcPr>
          <w:p w14:paraId="0BF04D3B"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4 052 364</w:t>
            </w:r>
          </w:p>
        </w:tc>
        <w:tc>
          <w:tcPr>
            <w:tcW w:w="1276" w:type="dxa"/>
            <w:tcBorders>
              <w:top w:val="nil"/>
              <w:left w:val="nil"/>
              <w:bottom w:val="single" w:sz="4" w:space="0" w:color="auto"/>
              <w:right w:val="single" w:sz="4" w:space="0" w:color="auto"/>
            </w:tcBorders>
            <w:noWrap/>
            <w:vAlign w:val="bottom"/>
          </w:tcPr>
          <w:p w14:paraId="1CCF74C7"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589 017</w:t>
            </w:r>
          </w:p>
        </w:tc>
        <w:tc>
          <w:tcPr>
            <w:tcW w:w="1276" w:type="dxa"/>
            <w:tcBorders>
              <w:top w:val="nil"/>
              <w:left w:val="nil"/>
              <w:bottom w:val="single" w:sz="4" w:space="0" w:color="auto"/>
              <w:right w:val="single" w:sz="4" w:space="0" w:color="auto"/>
            </w:tcBorders>
            <w:noWrap/>
            <w:vAlign w:val="bottom"/>
          </w:tcPr>
          <w:p w14:paraId="5DBFAD70"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314 142</w:t>
            </w:r>
          </w:p>
        </w:tc>
        <w:tc>
          <w:tcPr>
            <w:tcW w:w="1276" w:type="dxa"/>
            <w:tcBorders>
              <w:top w:val="nil"/>
              <w:left w:val="nil"/>
              <w:bottom w:val="single" w:sz="4" w:space="0" w:color="auto"/>
              <w:right w:val="single" w:sz="4" w:space="0" w:color="auto"/>
            </w:tcBorders>
            <w:noWrap/>
            <w:vAlign w:val="bottom"/>
          </w:tcPr>
          <w:p w14:paraId="1D6D95E7" w14:textId="77777777" w:rsidR="002A265A" w:rsidRPr="006F3533" w:rsidRDefault="002A265A" w:rsidP="00541E06">
            <w:pPr>
              <w:spacing w:after="0" w:line="240" w:lineRule="auto"/>
              <w:rPr>
                <w:rFonts w:eastAsia="Times New Roman" w:cs="Times New Roman"/>
                <w:sz w:val="22"/>
                <w:lang w:val="bg-BG"/>
              </w:rPr>
            </w:pPr>
          </w:p>
        </w:tc>
        <w:tc>
          <w:tcPr>
            <w:tcW w:w="1134" w:type="dxa"/>
            <w:tcBorders>
              <w:top w:val="nil"/>
              <w:left w:val="nil"/>
              <w:bottom w:val="single" w:sz="4" w:space="0" w:color="auto"/>
              <w:right w:val="single" w:sz="4" w:space="0" w:color="auto"/>
            </w:tcBorders>
          </w:tcPr>
          <w:p w14:paraId="101C8E32" w14:textId="77777777" w:rsidR="002A265A" w:rsidRPr="006F3533" w:rsidRDefault="002A265A" w:rsidP="00541E06">
            <w:pPr>
              <w:spacing w:after="0" w:line="240" w:lineRule="auto"/>
              <w:rPr>
                <w:rFonts w:eastAsia="Times New Roman" w:cs="Times New Roman"/>
                <w:sz w:val="22"/>
                <w:lang w:val="bg-BG"/>
              </w:rPr>
            </w:pPr>
          </w:p>
        </w:tc>
      </w:tr>
      <w:tr w:rsidR="002A265A" w:rsidRPr="006F3533" w14:paraId="1A8E7C5F" w14:textId="77777777" w:rsidTr="00541E06">
        <w:trPr>
          <w:trHeight w:val="288"/>
        </w:trPr>
        <w:tc>
          <w:tcPr>
            <w:tcW w:w="1386" w:type="dxa"/>
            <w:vMerge/>
            <w:tcBorders>
              <w:left w:val="single" w:sz="4" w:space="0" w:color="auto"/>
              <w:bottom w:val="single" w:sz="4" w:space="0" w:color="auto"/>
              <w:right w:val="single" w:sz="4" w:space="0" w:color="auto"/>
            </w:tcBorders>
          </w:tcPr>
          <w:p w14:paraId="1F05649D" w14:textId="77777777" w:rsidR="002A265A" w:rsidRPr="006F3533" w:rsidRDefault="002A265A" w:rsidP="00541E06">
            <w:pPr>
              <w:spacing w:after="0" w:line="240" w:lineRule="auto"/>
              <w:rPr>
                <w:rFonts w:eastAsia="Times New Roman" w:cs="Times New Roman"/>
                <w:sz w:val="22"/>
                <w:lang w:val="bg-BG"/>
              </w:rPr>
            </w:pPr>
          </w:p>
        </w:tc>
        <w:tc>
          <w:tcPr>
            <w:tcW w:w="3150" w:type="dxa"/>
            <w:tcBorders>
              <w:top w:val="nil"/>
              <w:left w:val="single" w:sz="4" w:space="0" w:color="auto"/>
              <w:bottom w:val="single" w:sz="4" w:space="0" w:color="auto"/>
              <w:right w:val="single" w:sz="4" w:space="0" w:color="auto"/>
            </w:tcBorders>
            <w:noWrap/>
            <w:vAlign w:val="bottom"/>
          </w:tcPr>
          <w:p w14:paraId="2CF19ACD"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От клас  G до клас В - МФЖС</w:t>
            </w:r>
          </w:p>
        </w:tc>
        <w:tc>
          <w:tcPr>
            <w:tcW w:w="1275" w:type="dxa"/>
            <w:tcBorders>
              <w:top w:val="nil"/>
              <w:left w:val="nil"/>
              <w:bottom w:val="single" w:sz="4" w:space="0" w:color="auto"/>
              <w:right w:val="single" w:sz="4" w:space="0" w:color="auto"/>
            </w:tcBorders>
            <w:noWrap/>
            <w:vAlign w:val="bottom"/>
          </w:tcPr>
          <w:p w14:paraId="4BCC740D"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1 771 776</w:t>
            </w:r>
          </w:p>
        </w:tc>
        <w:tc>
          <w:tcPr>
            <w:tcW w:w="1276" w:type="dxa"/>
            <w:tcBorders>
              <w:top w:val="nil"/>
              <w:left w:val="nil"/>
              <w:bottom w:val="single" w:sz="4" w:space="0" w:color="auto"/>
              <w:right w:val="single" w:sz="4" w:space="0" w:color="auto"/>
            </w:tcBorders>
            <w:noWrap/>
            <w:vAlign w:val="bottom"/>
          </w:tcPr>
          <w:p w14:paraId="7D8CFECB"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270 000</w:t>
            </w:r>
          </w:p>
        </w:tc>
        <w:tc>
          <w:tcPr>
            <w:tcW w:w="1276" w:type="dxa"/>
            <w:tcBorders>
              <w:top w:val="nil"/>
              <w:left w:val="nil"/>
              <w:bottom w:val="single" w:sz="4" w:space="0" w:color="auto"/>
              <w:right w:val="single" w:sz="4" w:space="0" w:color="auto"/>
            </w:tcBorders>
            <w:noWrap/>
            <w:vAlign w:val="bottom"/>
          </w:tcPr>
          <w:p w14:paraId="2517BD6A"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144 000</w:t>
            </w:r>
          </w:p>
        </w:tc>
        <w:tc>
          <w:tcPr>
            <w:tcW w:w="1276" w:type="dxa"/>
            <w:tcBorders>
              <w:top w:val="nil"/>
              <w:left w:val="nil"/>
              <w:bottom w:val="single" w:sz="4" w:space="0" w:color="auto"/>
              <w:right w:val="single" w:sz="4" w:space="0" w:color="auto"/>
            </w:tcBorders>
            <w:noWrap/>
            <w:vAlign w:val="bottom"/>
          </w:tcPr>
          <w:p w14:paraId="1ACA552A" w14:textId="77777777" w:rsidR="002A265A" w:rsidRPr="006F3533" w:rsidRDefault="002A265A" w:rsidP="00541E06">
            <w:pPr>
              <w:spacing w:after="0" w:line="240" w:lineRule="auto"/>
              <w:rPr>
                <w:rFonts w:eastAsia="Times New Roman" w:cs="Times New Roman"/>
                <w:sz w:val="22"/>
                <w:lang w:val="bg-BG"/>
              </w:rPr>
            </w:pPr>
          </w:p>
        </w:tc>
        <w:tc>
          <w:tcPr>
            <w:tcW w:w="1134" w:type="dxa"/>
            <w:tcBorders>
              <w:top w:val="nil"/>
              <w:left w:val="nil"/>
              <w:bottom w:val="single" w:sz="4" w:space="0" w:color="auto"/>
              <w:right w:val="single" w:sz="4" w:space="0" w:color="auto"/>
            </w:tcBorders>
          </w:tcPr>
          <w:p w14:paraId="5F31F4F0" w14:textId="77777777" w:rsidR="002A265A" w:rsidRPr="006F3533" w:rsidRDefault="002A265A" w:rsidP="00541E06">
            <w:pPr>
              <w:spacing w:after="0" w:line="240" w:lineRule="auto"/>
              <w:rPr>
                <w:rFonts w:eastAsia="Times New Roman" w:cs="Times New Roman"/>
                <w:sz w:val="22"/>
                <w:lang w:val="bg-BG"/>
              </w:rPr>
            </w:pPr>
          </w:p>
        </w:tc>
      </w:tr>
      <w:tr w:rsidR="002A265A" w:rsidRPr="006F3533" w14:paraId="305F3E04" w14:textId="77777777" w:rsidTr="00541E06">
        <w:trPr>
          <w:trHeight w:val="288"/>
        </w:trPr>
        <w:tc>
          <w:tcPr>
            <w:tcW w:w="1386" w:type="dxa"/>
            <w:vMerge w:val="restart"/>
            <w:tcBorders>
              <w:top w:val="nil"/>
              <w:left w:val="single" w:sz="4" w:space="0" w:color="auto"/>
              <w:right w:val="single" w:sz="4" w:space="0" w:color="auto"/>
            </w:tcBorders>
          </w:tcPr>
          <w:p w14:paraId="6746128A"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съгласно паспорт за сградно обновяване</w:t>
            </w:r>
          </w:p>
        </w:tc>
        <w:tc>
          <w:tcPr>
            <w:tcW w:w="3150" w:type="dxa"/>
            <w:tcBorders>
              <w:top w:val="nil"/>
              <w:left w:val="single" w:sz="4" w:space="0" w:color="auto"/>
              <w:bottom w:val="single" w:sz="4" w:space="0" w:color="auto"/>
              <w:right w:val="single" w:sz="4" w:space="0" w:color="auto"/>
            </w:tcBorders>
            <w:noWrap/>
            <w:vAlign w:val="bottom"/>
          </w:tcPr>
          <w:p w14:paraId="064223A9"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от клас  G до клас F - МФЖС</w:t>
            </w:r>
          </w:p>
        </w:tc>
        <w:tc>
          <w:tcPr>
            <w:tcW w:w="1275" w:type="dxa"/>
            <w:tcBorders>
              <w:top w:val="nil"/>
              <w:left w:val="nil"/>
              <w:bottom w:val="single" w:sz="4" w:space="0" w:color="auto"/>
              <w:right w:val="single" w:sz="4" w:space="0" w:color="auto"/>
            </w:tcBorders>
            <w:noWrap/>
            <w:vAlign w:val="bottom"/>
          </w:tcPr>
          <w:p w14:paraId="325EB09C"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 xml:space="preserve"> 2 735 355</w:t>
            </w:r>
          </w:p>
        </w:tc>
        <w:tc>
          <w:tcPr>
            <w:tcW w:w="1276" w:type="dxa"/>
            <w:tcBorders>
              <w:top w:val="nil"/>
              <w:left w:val="nil"/>
              <w:bottom w:val="single" w:sz="4" w:space="0" w:color="auto"/>
              <w:right w:val="single" w:sz="4" w:space="0" w:color="auto"/>
            </w:tcBorders>
            <w:noWrap/>
            <w:vAlign w:val="bottom"/>
          </w:tcPr>
          <w:p w14:paraId="75AA1C92"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532 861</w:t>
            </w:r>
          </w:p>
        </w:tc>
        <w:tc>
          <w:tcPr>
            <w:tcW w:w="1276" w:type="dxa"/>
            <w:tcBorders>
              <w:top w:val="nil"/>
              <w:left w:val="nil"/>
              <w:bottom w:val="single" w:sz="4" w:space="0" w:color="auto"/>
              <w:right w:val="single" w:sz="4" w:space="0" w:color="auto"/>
            </w:tcBorders>
            <w:noWrap/>
            <w:vAlign w:val="bottom"/>
          </w:tcPr>
          <w:p w14:paraId="1A170D52"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284 192</w:t>
            </w:r>
          </w:p>
        </w:tc>
        <w:tc>
          <w:tcPr>
            <w:tcW w:w="1276" w:type="dxa"/>
            <w:tcBorders>
              <w:top w:val="nil"/>
              <w:left w:val="nil"/>
              <w:bottom w:val="single" w:sz="4" w:space="0" w:color="auto"/>
              <w:right w:val="single" w:sz="4" w:space="0" w:color="auto"/>
            </w:tcBorders>
            <w:noWrap/>
            <w:vAlign w:val="bottom"/>
          </w:tcPr>
          <w:p w14:paraId="0166B512"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1134" w:type="dxa"/>
            <w:tcBorders>
              <w:top w:val="nil"/>
              <w:left w:val="nil"/>
              <w:bottom w:val="single" w:sz="4" w:space="0" w:color="auto"/>
              <w:right w:val="single" w:sz="4" w:space="0" w:color="auto"/>
            </w:tcBorders>
          </w:tcPr>
          <w:p w14:paraId="5C3D2271" w14:textId="77777777" w:rsidR="002A265A" w:rsidRPr="006F3533" w:rsidRDefault="002A265A" w:rsidP="00541E06">
            <w:pPr>
              <w:spacing w:after="0" w:line="240" w:lineRule="auto"/>
              <w:rPr>
                <w:rFonts w:eastAsia="Times New Roman" w:cs="Times New Roman"/>
                <w:sz w:val="22"/>
                <w:lang w:val="bg-BG"/>
              </w:rPr>
            </w:pPr>
          </w:p>
        </w:tc>
      </w:tr>
      <w:tr w:rsidR="002A265A" w:rsidRPr="006F3533" w14:paraId="0F7FECE3" w14:textId="77777777" w:rsidTr="00541E06">
        <w:trPr>
          <w:trHeight w:val="288"/>
        </w:trPr>
        <w:tc>
          <w:tcPr>
            <w:tcW w:w="1386" w:type="dxa"/>
            <w:vMerge/>
            <w:tcBorders>
              <w:left w:val="single" w:sz="4" w:space="0" w:color="auto"/>
              <w:bottom w:val="single" w:sz="4" w:space="0" w:color="auto"/>
              <w:right w:val="single" w:sz="4" w:space="0" w:color="auto"/>
            </w:tcBorders>
          </w:tcPr>
          <w:p w14:paraId="50DAF326" w14:textId="77777777" w:rsidR="002A265A" w:rsidRPr="006F3533" w:rsidRDefault="002A265A" w:rsidP="00541E06">
            <w:pPr>
              <w:spacing w:after="0" w:line="240" w:lineRule="auto"/>
              <w:rPr>
                <w:rFonts w:eastAsia="Times New Roman" w:cs="Times New Roman"/>
                <w:sz w:val="22"/>
                <w:lang w:val="bg-BG"/>
              </w:rPr>
            </w:pPr>
          </w:p>
        </w:tc>
        <w:tc>
          <w:tcPr>
            <w:tcW w:w="3150" w:type="dxa"/>
            <w:tcBorders>
              <w:top w:val="nil"/>
              <w:left w:val="single" w:sz="4" w:space="0" w:color="auto"/>
              <w:bottom w:val="single" w:sz="4" w:space="0" w:color="auto"/>
              <w:right w:val="single" w:sz="4" w:space="0" w:color="auto"/>
            </w:tcBorders>
            <w:noWrap/>
            <w:vAlign w:val="bottom"/>
          </w:tcPr>
          <w:p w14:paraId="7AAECE85"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Поетапно обновяване от клас  G до клас F - ЕФЖС</w:t>
            </w:r>
          </w:p>
        </w:tc>
        <w:tc>
          <w:tcPr>
            <w:tcW w:w="1275" w:type="dxa"/>
            <w:tcBorders>
              <w:top w:val="nil"/>
              <w:left w:val="nil"/>
              <w:bottom w:val="single" w:sz="4" w:space="0" w:color="auto"/>
              <w:right w:val="single" w:sz="4" w:space="0" w:color="auto"/>
            </w:tcBorders>
            <w:noWrap/>
            <w:vAlign w:val="bottom"/>
          </w:tcPr>
          <w:p w14:paraId="1F35BCBA"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7 621 248</w:t>
            </w:r>
          </w:p>
        </w:tc>
        <w:tc>
          <w:tcPr>
            <w:tcW w:w="1276" w:type="dxa"/>
            <w:tcBorders>
              <w:top w:val="nil"/>
              <w:left w:val="nil"/>
              <w:bottom w:val="single" w:sz="4" w:space="0" w:color="auto"/>
              <w:right w:val="single" w:sz="4" w:space="0" w:color="auto"/>
            </w:tcBorders>
            <w:noWrap/>
            <w:vAlign w:val="bottom"/>
          </w:tcPr>
          <w:p w14:paraId="6B960183"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7 621 248</w:t>
            </w:r>
          </w:p>
        </w:tc>
        <w:tc>
          <w:tcPr>
            <w:tcW w:w="1276" w:type="dxa"/>
            <w:tcBorders>
              <w:top w:val="nil"/>
              <w:left w:val="nil"/>
              <w:bottom w:val="single" w:sz="4" w:space="0" w:color="auto"/>
              <w:right w:val="single" w:sz="4" w:space="0" w:color="auto"/>
            </w:tcBorders>
            <w:noWrap/>
            <w:vAlign w:val="bottom"/>
          </w:tcPr>
          <w:p w14:paraId="74C4E58A" w14:textId="77777777" w:rsidR="002A265A" w:rsidRPr="006F3533" w:rsidRDefault="002A265A" w:rsidP="00541E06">
            <w:pPr>
              <w:spacing w:after="0" w:line="240" w:lineRule="auto"/>
              <w:jc w:val="right"/>
              <w:rPr>
                <w:rFonts w:eastAsia="Times New Roman" w:cs="Times New Roman"/>
                <w:sz w:val="22"/>
                <w:lang w:val="bg-BG"/>
              </w:rPr>
            </w:pPr>
            <w:r w:rsidRPr="006F3533">
              <w:rPr>
                <w:rFonts w:eastAsia="Times New Roman" w:cs="Times New Roman"/>
                <w:sz w:val="22"/>
                <w:lang w:val="bg-BG"/>
              </w:rPr>
              <w:t>5 080 832</w:t>
            </w:r>
          </w:p>
        </w:tc>
        <w:tc>
          <w:tcPr>
            <w:tcW w:w="1276" w:type="dxa"/>
            <w:tcBorders>
              <w:top w:val="nil"/>
              <w:left w:val="nil"/>
              <w:bottom w:val="single" w:sz="4" w:space="0" w:color="auto"/>
              <w:right w:val="single" w:sz="4" w:space="0" w:color="auto"/>
            </w:tcBorders>
            <w:noWrap/>
            <w:vAlign w:val="bottom"/>
          </w:tcPr>
          <w:p w14:paraId="40A6CF27" w14:textId="77777777" w:rsidR="002A265A" w:rsidRPr="006F3533" w:rsidRDefault="002A265A" w:rsidP="00541E06">
            <w:pPr>
              <w:spacing w:after="0" w:line="240" w:lineRule="auto"/>
              <w:rPr>
                <w:rFonts w:eastAsia="Times New Roman" w:cs="Times New Roman"/>
                <w:sz w:val="22"/>
                <w:lang w:val="bg-BG"/>
              </w:rPr>
            </w:pPr>
            <w:r w:rsidRPr="006F3533">
              <w:rPr>
                <w:rFonts w:eastAsia="Times New Roman" w:cs="Times New Roman"/>
                <w:sz w:val="22"/>
                <w:lang w:val="bg-BG"/>
              </w:rPr>
              <w:t> </w:t>
            </w:r>
          </w:p>
        </w:tc>
        <w:tc>
          <w:tcPr>
            <w:tcW w:w="1134" w:type="dxa"/>
            <w:tcBorders>
              <w:top w:val="nil"/>
              <w:left w:val="nil"/>
              <w:bottom w:val="single" w:sz="4" w:space="0" w:color="auto"/>
              <w:right w:val="single" w:sz="4" w:space="0" w:color="auto"/>
            </w:tcBorders>
          </w:tcPr>
          <w:p w14:paraId="5A65D3EC" w14:textId="77777777" w:rsidR="002A265A" w:rsidRPr="006F3533" w:rsidRDefault="002A265A" w:rsidP="00541E06">
            <w:pPr>
              <w:spacing w:after="0" w:line="240" w:lineRule="auto"/>
              <w:rPr>
                <w:rFonts w:eastAsia="Times New Roman" w:cs="Times New Roman"/>
                <w:sz w:val="22"/>
                <w:lang w:val="bg-BG"/>
              </w:rPr>
            </w:pPr>
          </w:p>
        </w:tc>
      </w:tr>
      <w:tr w:rsidR="002A265A" w:rsidRPr="006F3533" w14:paraId="6A4ED0C6" w14:textId="77777777" w:rsidTr="00541E06">
        <w:trPr>
          <w:trHeight w:val="288"/>
        </w:trPr>
        <w:tc>
          <w:tcPr>
            <w:tcW w:w="4536" w:type="dxa"/>
            <w:gridSpan w:val="2"/>
            <w:tcBorders>
              <w:top w:val="nil"/>
              <w:left w:val="single" w:sz="4" w:space="0" w:color="auto"/>
              <w:bottom w:val="single" w:sz="4" w:space="0" w:color="auto"/>
              <w:right w:val="single" w:sz="4" w:space="0" w:color="auto"/>
            </w:tcBorders>
          </w:tcPr>
          <w:p w14:paraId="39AF8660"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 xml:space="preserve">Принос за изпълнение на целта до 2030г. – спестена ПЕП 663 </w:t>
            </w:r>
            <w:proofErr w:type="spellStart"/>
            <w:r w:rsidRPr="006F3533">
              <w:rPr>
                <w:rFonts w:eastAsia="Times New Roman" w:cs="Times New Roman"/>
                <w:b/>
                <w:bCs/>
                <w:sz w:val="22"/>
                <w:lang w:val="bg-BG"/>
              </w:rPr>
              <w:t>ktoe</w:t>
            </w:r>
            <w:proofErr w:type="spellEnd"/>
          </w:p>
        </w:tc>
        <w:tc>
          <w:tcPr>
            <w:tcW w:w="1275" w:type="dxa"/>
            <w:tcBorders>
              <w:top w:val="nil"/>
              <w:left w:val="nil"/>
              <w:bottom w:val="single" w:sz="4" w:space="0" w:color="auto"/>
              <w:right w:val="single" w:sz="4" w:space="0" w:color="auto"/>
            </w:tcBorders>
            <w:noWrap/>
            <w:vAlign w:val="bottom"/>
          </w:tcPr>
          <w:p w14:paraId="1DC2D669"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55 884 507</w:t>
            </w:r>
          </w:p>
        </w:tc>
        <w:tc>
          <w:tcPr>
            <w:tcW w:w="1276" w:type="dxa"/>
            <w:tcBorders>
              <w:top w:val="nil"/>
              <w:left w:val="nil"/>
              <w:bottom w:val="single" w:sz="4" w:space="0" w:color="auto"/>
              <w:right w:val="single" w:sz="4" w:space="0" w:color="auto"/>
            </w:tcBorders>
            <w:noWrap/>
            <w:vAlign w:val="bottom"/>
          </w:tcPr>
          <w:p w14:paraId="56A84333" w14:textId="77777777" w:rsidR="002A265A" w:rsidRPr="006F3533" w:rsidRDefault="002A265A" w:rsidP="00541E06">
            <w:pPr>
              <w:spacing w:after="0" w:line="240" w:lineRule="auto"/>
              <w:jc w:val="right"/>
              <w:rPr>
                <w:rFonts w:eastAsia="Times New Roman" w:cs="Times New Roman"/>
                <w:sz w:val="22"/>
                <w:lang w:val="bg-BG"/>
              </w:rPr>
            </w:pPr>
          </w:p>
        </w:tc>
        <w:tc>
          <w:tcPr>
            <w:tcW w:w="1276" w:type="dxa"/>
            <w:tcBorders>
              <w:top w:val="nil"/>
              <w:left w:val="nil"/>
              <w:bottom w:val="single" w:sz="4" w:space="0" w:color="auto"/>
              <w:right w:val="single" w:sz="4" w:space="0" w:color="auto"/>
            </w:tcBorders>
            <w:noWrap/>
            <w:vAlign w:val="bottom"/>
          </w:tcPr>
          <w:p w14:paraId="1026D931" w14:textId="77777777" w:rsidR="002A265A" w:rsidRPr="006F3533" w:rsidRDefault="002A265A" w:rsidP="00541E06">
            <w:pPr>
              <w:spacing w:after="0" w:line="240" w:lineRule="auto"/>
              <w:jc w:val="right"/>
              <w:rPr>
                <w:rFonts w:eastAsia="Times New Roman" w:cs="Times New Roman"/>
                <w:sz w:val="22"/>
                <w:lang w:val="bg-BG"/>
              </w:rPr>
            </w:pPr>
          </w:p>
        </w:tc>
        <w:tc>
          <w:tcPr>
            <w:tcW w:w="1276" w:type="dxa"/>
            <w:tcBorders>
              <w:top w:val="nil"/>
              <w:left w:val="nil"/>
              <w:bottom w:val="single" w:sz="4" w:space="0" w:color="auto"/>
              <w:right w:val="single" w:sz="4" w:space="0" w:color="auto"/>
            </w:tcBorders>
            <w:noWrap/>
            <w:vAlign w:val="bottom"/>
          </w:tcPr>
          <w:p w14:paraId="3D66E23A" w14:textId="77777777" w:rsidR="002A265A" w:rsidRPr="006F3533" w:rsidRDefault="002A265A" w:rsidP="00541E06">
            <w:pPr>
              <w:spacing w:after="0" w:line="240" w:lineRule="auto"/>
              <w:jc w:val="right"/>
              <w:rPr>
                <w:rFonts w:eastAsia="Times New Roman" w:cs="Times New Roman"/>
                <w:sz w:val="22"/>
                <w:lang w:val="bg-BG"/>
              </w:rPr>
            </w:pPr>
          </w:p>
        </w:tc>
        <w:tc>
          <w:tcPr>
            <w:tcW w:w="1134" w:type="dxa"/>
            <w:tcBorders>
              <w:top w:val="nil"/>
              <w:left w:val="nil"/>
              <w:bottom w:val="single" w:sz="4" w:space="0" w:color="auto"/>
              <w:right w:val="single" w:sz="4" w:space="0" w:color="auto"/>
            </w:tcBorders>
          </w:tcPr>
          <w:p w14:paraId="2F01921B" w14:textId="77777777" w:rsidR="002A265A" w:rsidRPr="006F3533" w:rsidRDefault="002A265A" w:rsidP="00541E06">
            <w:pPr>
              <w:spacing w:after="0" w:line="240" w:lineRule="auto"/>
              <w:jc w:val="right"/>
              <w:rPr>
                <w:rFonts w:eastAsia="Times New Roman" w:cs="Times New Roman"/>
                <w:sz w:val="22"/>
                <w:lang w:val="bg-BG"/>
              </w:rPr>
            </w:pPr>
          </w:p>
        </w:tc>
      </w:tr>
      <w:tr w:rsidR="002A265A" w:rsidRPr="006F3533" w14:paraId="10C49B14" w14:textId="77777777" w:rsidTr="00541E06">
        <w:trPr>
          <w:trHeight w:val="288"/>
        </w:trPr>
        <w:tc>
          <w:tcPr>
            <w:tcW w:w="4536" w:type="dxa"/>
            <w:gridSpan w:val="2"/>
            <w:tcBorders>
              <w:top w:val="nil"/>
              <w:left w:val="single" w:sz="4" w:space="0" w:color="auto"/>
              <w:bottom w:val="single" w:sz="4" w:space="0" w:color="auto"/>
              <w:right w:val="single" w:sz="4" w:space="0" w:color="auto"/>
            </w:tcBorders>
            <w:shd w:val="clear" w:color="000000" w:fill="F2F2F2"/>
          </w:tcPr>
          <w:p w14:paraId="6CAC3A42" w14:textId="77777777" w:rsidR="002A265A" w:rsidRPr="006F3533" w:rsidRDefault="002A265A" w:rsidP="00541E06">
            <w:pPr>
              <w:spacing w:after="0" w:line="240" w:lineRule="auto"/>
              <w:rPr>
                <w:rFonts w:eastAsia="Times New Roman" w:cs="Times New Roman"/>
                <w:b/>
                <w:bCs/>
                <w:sz w:val="22"/>
                <w:lang w:val="bg-BG"/>
              </w:rPr>
            </w:pPr>
            <w:r w:rsidRPr="006F3533">
              <w:rPr>
                <w:rFonts w:eastAsia="Times New Roman" w:cs="Times New Roman"/>
                <w:b/>
                <w:bCs/>
                <w:sz w:val="22"/>
                <w:lang w:val="bg-BG"/>
              </w:rPr>
              <w:t xml:space="preserve">Принос за изпълнение на целта до 2035г. – спестена ПЕП 210,85 </w:t>
            </w:r>
            <w:proofErr w:type="spellStart"/>
            <w:r w:rsidRPr="006F3533">
              <w:rPr>
                <w:rFonts w:eastAsia="Times New Roman" w:cs="Times New Roman"/>
                <w:b/>
                <w:bCs/>
                <w:sz w:val="22"/>
                <w:lang w:val="bg-BG"/>
              </w:rPr>
              <w:t>ktoe</w:t>
            </w:r>
            <w:proofErr w:type="spellEnd"/>
          </w:p>
        </w:tc>
        <w:tc>
          <w:tcPr>
            <w:tcW w:w="1275" w:type="dxa"/>
            <w:tcBorders>
              <w:top w:val="nil"/>
              <w:left w:val="nil"/>
              <w:bottom w:val="single" w:sz="4" w:space="0" w:color="auto"/>
              <w:right w:val="single" w:sz="4" w:space="0" w:color="auto"/>
            </w:tcBorders>
            <w:shd w:val="clear" w:color="000000" w:fill="F2F2F2"/>
            <w:noWrap/>
            <w:vAlign w:val="bottom"/>
          </w:tcPr>
          <w:p w14:paraId="2643D942" w14:textId="77777777" w:rsidR="002A265A" w:rsidRPr="006F3533" w:rsidRDefault="002A265A" w:rsidP="00541E06">
            <w:pPr>
              <w:spacing w:after="0" w:line="240" w:lineRule="auto"/>
              <w:jc w:val="right"/>
              <w:rPr>
                <w:rFonts w:eastAsia="Times New Roman" w:cs="Times New Roman"/>
                <w:b/>
                <w:bCs/>
                <w:sz w:val="22"/>
                <w:lang w:val="bg-BG"/>
              </w:rPr>
            </w:pPr>
          </w:p>
        </w:tc>
        <w:tc>
          <w:tcPr>
            <w:tcW w:w="1276" w:type="dxa"/>
            <w:tcBorders>
              <w:top w:val="nil"/>
              <w:left w:val="nil"/>
              <w:bottom w:val="single" w:sz="4" w:space="0" w:color="auto"/>
              <w:right w:val="single" w:sz="4" w:space="0" w:color="auto"/>
            </w:tcBorders>
            <w:noWrap/>
            <w:vAlign w:val="bottom"/>
          </w:tcPr>
          <w:p w14:paraId="13F28661"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14 518 126</w:t>
            </w:r>
          </w:p>
        </w:tc>
        <w:tc>
          <w:tcPr>
            <w:tcW w:w="1276" w:type="dxa"/>
            <w:tcBorders>
              <w:top w:val="nil"/>
              <w:left w:val="nil"/>
              <w:bottom w:val="single" w:sz="4" w:space="0" w:color="auto"/>
              <w:right w:val="single" w:sz="4" w:space="0" w:color="auto"/>
            </w:tcBorders>
            <w:noWrap/>
            <w:vAlign w:val="bottom"/>
          </w:tcPr>
          <w:p w14:paraId="5A1A0310" w14:textId="77777777" w:rsidR="002A265A" w:rsidRPr="006F3533" w:rsidRDefault="002A265A" w:rsidP="00541E06">
            <w:pPr>
              <w:spacing w:after="0" w:line="240" w:lineRule="auto"/>
              <w:jc w:val="right"/>
              <w:rPr>
                <w:rFonts w:eastAsia="Times New Roman" w:cs="Times New Roman"/>
                <w:b/>
                <w:bCs/>
                <w:sz w:val="22"/>
                <w:lang w:val="bg-BG"/>
              </w:rPr>
            </w:pPr>
            <w:r w:rsidRPr="006F3533">
              <w:rPr>
                <w:rFonts w:eastAsia="Times New Roman" w:cs="Times New Roman"/>
                <w:b/>
                <w:bCs/>
                <w:sz w:val="22"/>
                <w:lang w:val="bg-BG"/>
              </w:rPr>
              <w:t>8 759 166</w:t>
            </w:r>
          </w:p>
        </w:tc>
        <w:tc>
          <w:tcPr>
            <w:tcW w:w="1276" w:type="dxa"/>
            <w:tcBorders>
              <w:top w:val="nil"/>
              <w:left w:val="nil"/>
              <w:bottom w:val="single" w:sz="4" w:space="0" w:color="auto"/>
              <w:right w:val="single" w:sz="4" w:space="0" w:color="auto"/>
            </w:tcBorders>
            <w:shd w:val="clear" w:color="000000" w:fill="F2F2F2"/>
            <w:noWrap/>
            <w:vAlign w:val="bottom"/>
          </w:tcPr>
          <w:p w14:paraId="32F4761F" w14:textId="77777777" w:rsidR="002A265A" w:rsidRPr="006F3533" w:rsidRDefault="002A265A" w:rsidP="00541E06">
            <w:pPr>
              <w:spacing w:after="0" w:line="240" w:lineRule="auto"/>
              <w:jc w:val="right"/>
              <w:rPr>
                <w:rFonts w:eastAsia="Times New Roman" w:cs="Times New Roman"/>
                <w:b/>
                <w:bCs/>
                <w:sz w:val="22"/>
                <w:lang w:val="bg-BG"/>
              </w:rPr>
            </w:pPr>
          </w:p>
        </w:tc>
        <w:tc>
          <w:tcPr>
            <w:tcW w:w="1134" w:type="dxa"/>
            <w:tcBorders>
              <w:top w:val="nil"/>
              <w:left w:val="nil"/>
              <w:bottom w:val="single" w:sz="4" w:space="0" w:color="auto"/>
              <w:right w:val="single" w:sz="4" w:space="0" w:color="auto"/>
            </w:tcBorders>
            <w:shd w:val="clear" w:color="000000" w:fill="F2F2F2"/>
          </w:tcPr>
          <w:p w14:paraId="67646005" w14:textId="77777777" w:rsidR="002A265A" w:rsidRPr="006F3533" w:rsidRDefault="002A265A" w:rsidP="00541E06">
            <w:pPr>
              <w:spacing w:after="0" w:line="240" w:lineRule="auto"/>
              <w:jc w:val="right"/>
              <w:rPr>
                <w:rFonts w:eastAsia="Times New Roman" w:cs="Times New Roman"/>
                <w:b/>
                <w:bCs/>
                <w:sz w:val="22"/>
                <w:lang w:val="bg-BG"/>
              </w:rPr>
            </w:pPr>
          </w:p>
        </w:tc>
      </w:tr>
    </w:tbl>
    <w:p w14:paraId="617DFA06" w14:textId="77777777" w:rsidR="002A265A" w:rsidRPr="006F3533" w:rsidRDefault="002A265A" w:rsidP="002A265A">
      <w:pPr>
        <w:ind w:left="708"/>
        <w:jc w:val="both"/>
        <w:rPr>
          <w:rFonts w:cs="Times New Roman"/>
          <w:szCs w:val="24"/>
          <w:lang w:val="bg-BG"/>
        </w:rPr>
      </w:pPr>
    </w:p>
    <w:p w14:paraId="6701890A" w14:textId="77777777" w:rsidR="007C37A7" w:rsidRPr="006F3533" w:rsidRDefault="007C37A7" w:rsidP="002A265A">
      <w:pPr>
        <w:ind w:left="708"/>
        <w:jc w:val="both"/>
        <w:rPr>
          <w:rFonts w:cs="Times New Roman"/>
          <w:szCs w:val="24"/>
          <w:lang w:val="bg-BG"/>
        </w:rPr>
      </w:pPr>
    </w:p>
    <w:p w14:paraId="4D2F13BC" w14:textId="77777777" w:rsidR="007C37A7" w:rsidRPr="006F3533" w:rsidRDefault="007C37A7" w:rsidP="002A265A">
      <w:pPr>
        <w:ind w:left="708"/>
        <w:jc w:val="both"/>
        <w:rPr>
          <w:rFonts w:cs="Times New Roman"/>
          <w:szCs w:val="24"/>
          <w:lang w:val="bg-BG"/>
        </w:rPr>
      </w:pPr>
    </w:p>
    <w:p w14:paraId="4FAB9F69" w14:textId="77777777" w:rsidR="0039488E" w:rsidRPr="006F3533" w:rsidRDefault="0039488E" w:rsidP="006F0DA0">
      <w:pPr>
        <w:spacing w:before="100" w:beforeAutospacing="1" w:after="100" w:afterAutospacing="1" w:line="240" w:lineRule="auto"/>
        <w:jc w:val="both"/>
        <w:outlineLvl w:val="1"/>
        <w:rPr>
          <w:rFonts w:eastAsia="Times New Roman" w:cs="Times New Roman"/>
          <w:b/>
          <w:bCs/>
          <w:sz w:val="28"/>
          <w:szCs w:val="28"/>
          <w:lang w:val="bg-BG"/>
        </w:rPr>
      </w:pPr>
      <w:bookmarkStart w:id="170" w:name="_Toc217888807"/>
      <w:r w:rsidRPr="006F3533">
        <w:rPr>
          <w:rFonts w:eastAsia="Times New Roman" w:cs="Times New Roman"/>
          <w:b/>
          <w:bCs/>
          <w:sz w:val="28"/>
          <w:szCs w:val="28"/>
          <w:lang w:val="bg-BG"/>
        </w:rPr>
        <w:t>Очаквани спестявания на крайна и първична енергия от обновяването на нежилищния сграден фонд – по вид крайно потребление</w:t>
      </w:r>
      <w:bookmarkEnd w:id="170"/>
    </w:p>
    <w:p w14:paraId="060F6BA5" w14:textId="3D8655CD"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Тази оценка ще бъде представена в окончателната версия на плана. На този етап, в предварителния проект на план</w:t>
      </w:r>
      <w:r w:rsidR="00404BDD" w:rsidRPr="006F3533">
        <w:rPr>
          <w:rFonts w:eastAsia="Times New Roman" w:cs="Times New Roman"/>
          <w:szCs w:val="24"/>
          <w:lang w:val="bg-BG" w:eastAsia="en-GB"/>
        </w:rPr>
        <w:t>а, нейната подготовка бе възпрепятствана поради липса на представителни и сравними данни за всички типове сгради</w:t>
      </w:r>
      <w:r w:rsidRPr="006F3533">
        <w:rPr>
          <w:rFonts w:eastAsia="Times New Roman" w:cs="Times New Roman"/>
          <w:szCs w:val="24"/>
          <w:lang w:val="bg-BG" w:eastAsia="en-GB"/>
        </w:rPr>
        <w:t>.</w:t>
      </w:r>
    </w:p>
    <w:p w14:paraId="18A14D05" w14:textId="77777777" w:rsidR="0039488E" w:rsidRPr="006F3533" w:rsidRDefault="0039488E" w:rsidP="006B655E">
      <w:pPr>
        <w:spacing w:line="240" w:lineRule="auto"/>
        <w:contextualSpacing/>
        <w:jc w:val="both"/>
        <w:rPr>
          <w:rFonts w:cs="Times New Roman"/>
          <w:i/>
          <w:iCs/>
          <w:szCs w:val="24"/>
          <w:lang w:val="bg-BG"/>
        </w:rPr>
      </w:pPr>
      <w:r w:rsidRPr="006F3533">
        <w:rPr>
          <w:rFonts w:cs="Times New Roman"/>
          <w:i/>
          <w:iCs/>
          <w:szCs w:val="24"/>
          <w:lang w:val="bg-BG"/>
        </w:rPr>
        <w:t>Таблица 16. Цели за очакваното първично и крайно потребление на енергия в сградите за периода 2030-2050 г. – разпределение по видове крайни нужди</w:t>
      </w:r>
    </w:p>
    <w:p w14:paraId="0E83577E" w14:textId="77777777" w:rsidR="006B655E" w:rsidRPr="006F3533" w:rsidRDefault="006B655E" w:rsidP="006B655E">
      <w:pPr>
        <w:spacing w:line="240" w:lineRule="auto"/>
        <w:contextualSpacing/>
        <w:jc w:val="both"/>
        <w:rPr>
          <w:rFonts w:cs="Times New Roman"/>
          <w:i/>
          <w:iCs/>
          <w:szCs w:val="24"/>
          <w:lang w:val="bg-BG"/>
        </w:rPr>
      </w:pPr>
    </w:p>
    <w:tbl>
      <w:tblPr>
        <w:tblStyle w:val="TableGrid"/>
        <w:tblW w:w="5000" w:type="pct"/>
        <w:tblLook w:val="04A0" w:firstRow="1" w:lastRow="0" w:firstColumn="1" w:lastColumn="0" w:noHBand="0" w:noVBand="1"/>
      </w:tblPr>
      <w:tblGrid>
        <w:gridCol w:w="3117"/>
        <w:gridCol w:w="1290"/>
        <w:gridCol w:w="933"/>
        <w:gridCol w:w="794"/>
        <w:gridCol w:w="1290"/>
        <w:gridCol w:w="819"/>
        <w:gridCol w:w="819"/>
      </w:tblGrid>
      <w:tr w:rsidR="0039488E" w:rsidRPr="006F3533" w14:paraId="7533C021" w14:textId="77777777" w:rsidTr="006B655E">
        <w:tc>
          <w:tcPr>
            <w:tcW w:w="1719" w:type="pct"/>
            <w:vMerge w:val="restart"/>
            <w:shd w:val="clear" w:color="auto" w:fill="D9D9D9" w:themeFill="background1" w:themeFillShade="D9"/>
          </w:tcPr>
          <w:p w14:paraId="7F147581"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End</w:t>
            </w:r>
            <w:proofErr w:type="spellEnd"/>
            <w:r w:rsidRPr="006F3533">
              <w:rPr>
                <w:rFonts w:cs="Times New Roman"/>
                <w:szCs w:val="24"/>
                <w:lang w:val="bg-BG"/>
              </w:rPr>
              <w:t xml:space="preserve"> </w:t>
            </w:r>
            <w:proofErr w:type="spellStart"/>
            <w:r w:rsidRPr="006F3533">
              <w:rPr>
                <w:rFonts w:cs="Times New Roman"/>
                <w:szCs w:val="24"/>
                <w:lang w:val="bg-BG"/>
              </w:rPr>
              <w:t>use</w:t>
            </w:r>
            <w:proofErr w:type="spellEnd"/>
          </w:p>
        </w:tc>
        <w:tc>
          <w:tcPr>
            <w:tcW w:w="1665" w:type="pct"/>
            <w:gridSpan w:val="3"/>
            <w:shd w:val="clear" w:color="auto" w:fill="D9D9D9" w:themeFill="background1" w:themeFillShade="D9"/>
          </w:tcPr>
          <w:p w14:paraId="4EECDB03"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Primary</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Pr="006F3533">
              <w:rPr>
                <w:rFonts w:cs="Times New Roman"/>
                <w:szCs w:val="24"/>
                <w:lang w:val="bg-BG"/>
              </w:rPr>
              <w:t xml:space="preserve"> </w:t>
            </w:r>
          </w:p>
          <w:p w14:paraId="6F9AD362"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ktoe</w:t>
            </w:r>
            <w:proofErr w:type="spellEnd"/>
          </w:p>
        </w:tc>
        <w:tc>
          <w:tcPr>
            <w:tcW w:w="1616" w:type="pct"/>
            <w:gridSpan w:val="3"/>
            <w:shd w:val="clear" w:color="auto" w:fill="D9D9D9" w:themeFill="background1" w:themeFillShade="D9"/>
          </w:tcPr>
          <w:p w14:paraId="21AC59E1"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Final</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Pr="006F3533">
              <w:rPr>
                <w:rFonts w:cs="Times New Roman"/>
                <w:szCs w:val="24"/>
                <w:lang w:val="bg-BG"/>
              </w:rPr>
              <w:t xml:space="preserve"> в</w:t>
            </w:r>
          </w:p>
          <w:p w14:paraId="6C00C934"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ktoe</w:t>
            </w:r>
            <w:proofErr w:type="spellEnd"/>
          </w:p>
        </w:tc>
      </w:tr>
      <w:tr w:rsidR="0039488E" w:rsidRPr="006F3533" w14:paraId="6775CA94" w14:textId="77777777" w:rsidTr="006B655E">
        <w:tc>
          <w:tcPr>
            <w:tcW w:w="1719" w:type="pct"/>
            <w:vMerge/>
          </w:tcPr>
          <w:p w14:paraId="5D5EB616" w14:textId="77777777" w:rsidR="0039488E" w:rsidRPr="006F3533" w:rsidRDefault="0039488E" w:rsidP="006F0DA0">
            <w:pPr>
              <w:contextualSpacing/>
              <w:jc w:val="both"/>
              <w:rPr>
                <w:rFonts w:cs="Times New Roman"/>
                <w:szCs w:val="24"/>
                <w:lang w:val="bg-BG"/>
              </w:rPr>
            </w:pPr>
          </w:p>
        </w:tc>
        <w:tc>
          <w:tcPr>
            <w:tcW w:w="712" w:type="pct"/>
            <w:shd w:val="clear" w:color="auto" w:fill="D9D9D9" w:themeFill="background1" w:themeFillShade="D9"/>
          </w:tcPr>
          <w:p w14:paraId="157C4CD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2030</w:t>
            </w:r>
          </w:p>
        </w:tc>
        <w:tc>
          <w:tcPr>
            <w:tcW w:w="515" w:type="pct"/>
            <w:shd w:val="clear" w:color="auto" w:fill="D9D9D9" w:themeFill="background1" w:themeFillShade="D9"/>
          </w:tcPr>
          <w:p w14:paraId="5C9C0488"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2040</w:t>
            </w:r>
          </w:p>
        </w:tc>
        <w:tc>
          <w:tcPr>
            <w:tcW w:w="438" w:type="pct"/>
            <w:shd w:val="clear" w:color="auto" w:fill="D9D9D9" w:themeFill="background1" w:themeFillShade="D9"/>
          </w:tcPr>
          <w:p w14:paraId="6866B2FD"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2050</w:t>
            </w:r>
          </w:p>
        </w:tc>
        <w:tc>
          <w:tcPr>
            <w:tcW w:w="712" w:type="pct"/>
            <w:shd w:val="clear" w:color="auto" w:fill="D9D9D9" w:themeFill="background1" w:themeFillShade="D9"/>
          </w:tcPr>
          <w:p w14:paraId="46ED8F18"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2030</w:t>
            </w:r>
          </w:p>
        </w:tc>
        <w:tc>
          <w:tcPr>
            <w:tcW w:w="452" w:type="pct"/>
            <w:shd w:val="clear" w:color="auto" w:fill="D9D9D9" w:themeFill="background1" w:themeFillShade="D9"/>
          </w:tcPr>
          <w:p w14:paraId="229756E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2040</w:t>
            </w:r>
          </w:p>
        </w:tc>
        <w:tc>
          <w:tcPr>
            <w:tcW w:w="452" w:type="pct"/>
            <w:shd w:val="clear" w:color="auto" w:fill="D9D9D9" w:themeFill="background1" w:themeFillShade="D9"/>
          </w:tcPr>
          <w:p w14:paraId="22EC89F9"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2050</w:t>
            </w:r>
          </w:p>
        </w:tc>
      </w:tr>
      <w:tr w:rsidR="0039488E" w:rsidRPr="006F3533" w14:paraId="1605DD20" w14:textId="77777777" w:rsidTr="006B655E">
        <w:tc>
          <w:tcPr>
            <w:tcW w:w="5000" w:type="pct"/>
            <w:gridSpan w:val="7"/>
            <w:shd w:val="clear" w:color="auto" w:fill="D9D9D9" w:themeFill="background1" w:themeFillShade="D9"/>
          </w:tcPr>
          <w:p w14:paraId="2CE987A7" w14:textId="77777777" w:rsidR="0039488E" w:rsidRPr="006F3533" w:rsidRDefault="0039488E" w:rsidP="006F0DA0">
            <w:pPr>
              <w:contextualSpacing/>
              <w:jc w:val="both"/>
              <w:rPr>
                <w:rFonts w:cs="Times New Roman"/>
                <w:szCs w:val="24"/>
                <w:lang w:val="bg-BG"/>
              </w:rPr>
            </w:pPr>
            <w:bookmarkStart w:id="171" w:name="_Hlk216689762"/>
            <w:proofErr w:type="spellStart"/>
            <w:r w:rsidRPr="006F3533">
              <w:rPr>
                <w:rFonts w:cs="Times New Roman"/>
                <w:szCs w:val="24"/>
                <w:lang w:val="bg-BG"/>
              </w:rPr>
              <w:t>Residential</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tc>
      </w:tr>
      <w:tr w:rsidR="0039488E" w:rsidRPr="006F3533" w14:paraId="67657AE7" w14:textId="77777777" w:rsidTr="006B655E">
        <w:tc>
          <w:tcPr>
            <w:tcW w:w="1719" w:type="pct"/>
          </w:tcPr>
          <w:p w14:paraId="7A00C4BA"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Space</w:t>
            </w:r>
            <w:proofErr w:type="spellEnd"/>
            <w:r w:rsidRPr="006F3533">
              <w:rPr>
                <w:rFonts w:cs="Times New Roman"/>
                <w:szCs w:val="24"/>
                <w:lang w:val="bg-BG"/>
              </w:rPr>
              <w:t xml:space="preserve"> </w:t>
            </w:r>
            <w:proofErr w:type="spellStart"/>
            <w:r w:rsidRPr="006F3533">
              <w:rPr>
                <w:rFonts w:cs="Times New Roman"/>
                <w:szCs w:val="24"/>
                <w:lang w:val="bg-BG"/>
              </w:rPr>
              <w:t>heating</w:t>
            </w:r>
            <w:proofErr w:type="spellEnd"/>
          </w:p>
        </w:tc>
        <w:tc>
          <w:tcPr>
            <w:tcW w:w="712" w:type="pct"/>
          </w:tcPr>
          <w:p w14:paraId="0A8804F1" w14:textId="77777777" w:rsidR="0039488E" w:rsidRPr="006F3533" w:rsidRDefault="0039488E" w:rsidP="006F0DA0">
            <w:pPr>
              <w:contextualSpacing/>
              <w:jc w:val="both"/>
              <w:rPr>
                <w:rFonts w:cs="Times New Roman"/>
                <w:szCs w:val="24"/>
                <w:lang w:val="bg-BG"/>
              </w:rPr>
            </w:pPr>
          </w:p>
        </w:tc>
        <w:tc>
          <w:tcPr>
            <w:tcW w:w="515" w:type="pct"/>
          </w:tcPr>
          <w:p w14:paraId="1F323E49" w14:textId="77777777" w:rsidR="0039488E" w:rsidRPr="006F3533" w:rsidRDefault="0039488E" w:rsidP="006F0DA0">
            <w:pPr>
              <w:contextualSpacing/>
              <w:jc w:val="both"/>
              <w:rPr>
                <w:rFonts w:cs="Times New Roman"/>
                <w:szCs w:val="24"/>
                <w:lang w:val="bg-BG"/>
              </w:rPr>
            </w:pPr>
          </w:p>
        </w:tc>
        <w:tc>
          <w:tcPr>
            <w:tcW w:w="438" w:type="pct"/>
          </w:tcPr>
          <w:p w14:paraId="658C3ADA" w14:textId="77777777" w:rsidR="0039488E" w:rsidRPr="006F3533" w:rsidRDefault="0039488E" w:rsidP="006F0DA0">
            <w:pPr>
              <w:contextualSpacing/>
              <w:jc w:val="both"/>
              <w:rPr>
                <w:rFonts w:cs="Times New Roman"/>
                <w:szCs w:val="24"/>
                <w:lang w:val="bg-BG"/>
              </w:rPr>
            </w:pPr>
          </w:p>
        </w:tc>
        <w:tc>
          <w:tcPr>
            <w:tcW w:w="712" w:type="pct"/>
          </w:tcPr>
          <w:p w14:paraId="4FBAB036" w14:textId="77777777" w:rsidR="0039488E" w:rsidRPr="006F3533" w:rsidRDefault="0039488E" w:rsidP="006F0DA0">
            <w:pPr>
              <w:contextualSpacing/>
              <w:jc w:val="both"/>
              <w:rPr>
                <w:rFonts w:cs="Times New Roman"/>
                <w:szCs w:val="24"/>
                <w:lang w:val="bg-BG"/>
              </w:rPr>
            </w:pPr>
          </w:p>
        </w:tc>
        <w:tc>
          <w:tcPr>
            <w:tcW w:w="452" w:type="pct"/>
          </w:tcPr>
          <w:p w14:paraId="4806DA7D" w14:textId="77777777" w:rsidR="0039488E" w:rsidRPr="006F3533" w:rsidRDefault="0039488E" w:rsidP="006F0DA0">
            <w:pPr>
              <w:contextualSpacing/>
              <w:jc w:val="both"/>
              <w:rPr>
                <w:rFonts w:cs="Times New Roman"/>
                <w:szCs w:val="24"/>
                <w:lang w:val="bg-BG"/>
              </w:rPr>
            </w:pPr>
          </w:p>
        </w:tc>
        <w:tc>
          <w:tcPr>
            <w:tcW w:w="452" w:type="pct"/>
          </w:tcPr>
          <w:p w14:paraId="49F8C334" w14:textId="77777777" w:rsidR="0039488E" w:rsidRPr="006F3533" w:rsidRDefault="0039488E" w:rsidP="006F0DA0">
            <w:pPr>
              <w:contextualSpacing/>
              <w:jc w:val="both"/>
              <w:rPr>
                <w:rFonts w:cs="Times New Roman"/>
                <w:szCs w:val="24"/>
                <w:lang w:val="bg-BG"/>
              </w:rPr>
            </w:pPr>
          </w:p>
        </w:tc>
      </w:tr>
      <w:tr w:rsidR="0039488E" w:rsidRPr="006F3533" w14:paraId="208EE726" w14:textId="77777777" w:rsidTr="006B655E">
        <w:tc>
          <w:tcPr>
            <w:tcW w:w="1719" w:type="pct"/>
          </w:tcPr>
          <w:p w14:paraId="3B28E807"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Space</w:t>
            </w:r>
            <w:proofErr w:type="spellEnd"/>
            <w:r w:rsidRPr="006F3533">
              <w:rPr>
                <w:rFonts w:cs="Times New Roman"/>
                <w:szCs w:val="24"/>
                <w:lang w:val="bg-BG"/>
              </w:rPr>
              <w:t xml:space="preserve"> </w:t>
            </w:r>
            <w:proofErr w:type="spellStart"/>
            <w:r w:rsidRPr="006F3533">
              <w:rPr>
                <w:rFonts w:cs="Times New Roman"/>
                <w:szCs w:val="24"/>
                <w:lang w:val="bg-BG"/>
              </w:rPr>
              <w:t>cooling</w:t>
            </w:r>
            <w:proofErr w:type="spellEnd"/>
          </w:p>
        </w:tc>
        <w:tc>
          <w:tcPr>
            <w:tcW w:w="712" w:type="pct"/>
          </w:tcPr>
          <w:p w14:paraId="2B5A34E7" w14:textId="77777777" w:rsidR="0039488E" w:rsidRPr="006F3533" w:rsidRDefault="0039488E" w:rsidP="006F0DA0">
            <w:pPr>
              <w:contextualSpacing/>
              <w:jc w:val="both"/>
              <w:rPr>
                <w:rFonts w:cs="Times New Roman"/>
                <w:szCs w:val="24"/>
                <w:lang w:val="bg-BG"/>
              </w:rPr>
            </w:pPr>
          </w:p>
        </w:tc>
        <w:tc>
          <w:tcPr>
            <w:tcW w:w="515" w:type="pct"/>
          </w:tcPr>
          <w:p w14:paraId="3EAC4C06" w14:textId="77777777" w:rsidR="0039488E" w:rsidRPr="006F3533" w:rsidRDefault="0039488E" w:rsidP="006F0DA0">
            <w:pPr>
              <w:contextualSpacing/>
              <w:jc w:val="both"/>
              <w:rPr>
                <w:rFonts w:cs="Times New Roman"/>
                <w:szCs w:val="24"/>
                <w:lang w:val="bg-BG"/>
              </w:rPr>
            </w:pPr>
          </w:p>
        </w:tc>
        <w:tc>
          <w:tcPr>
            <w:tcW w:w="438" w:type="pct"/>
          </w:tcPr>
          <w:p w14:paraId="72ED4E4E" w14:textId="77777777" w:rsidR="0039488E" w:rsidRPr="006F3533" w:rsidRDefault="0039488E" w:rsidP="006F0DA0">
            <w:pPr>
              <w:contextualSpacing/>
              <w:jc w:val="both"/>
              <w:rPr>
                <w:rFonts w:cs="Times New Roman"/>
                <w:szCs w:val="24"/>
                <w:lang w:val="bg-BG"/>
              </w:rPr>
            </w:pPr>
          </w:p>
        </w:tc>
        <w:tc>
          <w:tcPr>
            <w:tcW w:w="712" w:type="pct"/>
          </w:tcPr>
          <w:p w14:paraId="14E1F528" w14:textId="77777777" w:rsidR="0039488E" w:rsidRPr="006F3533" w:rsidRDefault="0039488E" w:rsidP="006F0DA0">
            <w:pPr>
              <w:contextualSpacing/>
              <w:jc w:val="both"/>
              <w:rPr>
                <w:rFonts w:cs="Times New Roman"/>
                <w:szCs w:val="24"/>
                <w:lang w:val="bg-BG"/>
              </w:rPr>
            </w:pPr>
          </w:p>
        </w:tc>
        <w:tc>
          <w:tcPr>
            <w:tcW w:w="452" w:type="pct"/>
          </w:tcPr>
          <w:p w14:paraId="3B86CBE2" w14:textId="77777777" w:rsidR="0039488E" w:rsidRPr="006F3533" w:rsidRDefault="0039488E" w:rsidP="006F0DA0">
            <w:pPr>
              <w:contextualSpacing/>
              <w:jc w:val="both"/>
              <w:rPr>
                <w:rFonts w:cs="Times New Roman"/>
                <w:szCs w:val="24"/>
                <w:lang w:val="bg-BG"/>
              </w:rPr>
            </w:pPr>
          </w:p>
        </w:tc>
        <w:tc>
          <w:tcPr>
            <w:tcW w:w="452" w:type="pct"/>
          </w:tcPr>
          <w:p w14:paraId="3D487A76" w14:textId="77777777" w:rsidR="0039488E" w:rsidRPr="006F3533" w:rsidRDefault="0039488E" w:rsidP="006F0DA0">
            <w:pPr>
              <w:contextualSpacing/>
              <w:jc w:val="both"/>
              <w:rPr>
                <w:rFonts w:cs="Times New Roman"/>
                <w:szCs w:val="24"/>
                <w:lang w:val="bg-BG"/>
              </w:rPr>
            </w:pPr>
          </w:p>
        </w:tc>
      </w:tr>
      <w:tr w:rsidR="0039488E" w:rsidRPr="006F3533" w14:paraId="33E15AE6" w14:textId="77777777" w:rsidTr="006B655E">
        <w:tc>
          <w:tcPr>
            <w:tcW w:w="1719" w:type="pct"/>
          </w:tcPr>
          <w:p w14:paraId="25464DF6"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Domestic</w:t>
            </w:r>
            <w:proofErr w:type="spellEnd"/>
            <w:r w:rsidRPr="006F3533">
              <w:rPr>
                <w:rFonts w:cs="Times New Roman"/>
                <w:szCs w:val="24"/>
                <w:lang w:val="bg-BG"/>
              </w:rPr>
              <w:t xml:space="preserve"> </w:t>
            </w:r>
            <w:proofErr w:type="spellStart"/>
            <w:r w:rsidRPr="006F3533">
              <w:rPr>
                <w:rFonts w:cs="Times New Roman"/>
                <w:szCs w:val="24"/>
                <w:lang w:val="bg-BG"/>
              </w:rPr>
              <w:t>hot</w:t>
            </w:r>
            <w:proofErr w:type="spellEnd"/>
            <w:r w:rsidRPr="006F3533">
              <w:rPr>
                <w:rFonts w:cs="Times New Roman"/>
                <w:szCs w:val="24"/>
                <w:lang w:val="bg-BG"/>
              </w:rPr>
              <w:t xml:space="preserve"> </w:t>
            </w:r>
            <w:proofErr w:type="spellStart"/>
            <w:r w:rsidRPr="006F3533">
              <w:rPr>
                <w:rFonts w:cs="Times New Roman"/>
                <w:szCs w:val="24"/>
                <w:lang w:val="bg-BG"/>
              </w:rPr>
              <w:t>water</w:t>
            </w:r>
            <w:proofErr w:type="spellEnd"/>
          </w:p>
        </w:tc>
        <w:tc>
          <w:tcPr>
            <w:tcW w:w="712" w:type="pct"/>
          </w:tcPr>
          <w:p w14:paraId="15298FD7" w14:textId="77777777" w:rsidR="0039488E" w:rsidRPr="006F3533" w:rsidRDefault="0039488E" w:rsidP="006F0DA0">
            <w:pPr>
              <w:contextualSpacing/>
              <w:jc w:val="both"/>
              <w:rPr>
                <w:rFonts w:cs="Times New Roman"/>
                <w:szCs w:val="24"/>
                <w:lang w:val="bg-BG"/>
              </w:rPr>
            </w:pPr>
          </w:p>
        </w:tc>
        <w:tc>
          <w:tcPr>
            <w:tcW w:w="515" w:type="pct"/>
          </w:tcPr>
          <w:p w14:paraId="767FEACB" w14:textId="77777777" w:rsidR="0039488E" w:rsidRPr="006F3533" w:rsidRDefault="0039488E" w:rsidP="006F0DA0">
            <w:pPr>
              <w:contextualSpacing/>
              <w:jc w:val="both"/>
              <w:rPr>
                <w:rFonts w:cs="Times New Roman"/>
                <w:szCs w:val="24"/>
                <w:lang w:val="bg-BG"/>
              </w:rPr>
            </w:pPr>
          </w:p>
        </w:tc>
        <w:tc>
          <w:tcPr>
            <w:tcW w:w="438" w:type="pct"/>
          </w:tcPr>
          <w:p w14:paraId="245F56B9" w14:textId="77777777" w:rsidR="0039488E" w:rsidRPr="006F3533" w:rsidRDefault="0039488E" w:rsidP="006F0DA0">
            <w:pPr>
              <w:contextualSpacing/>
              <w:jc w:val="both"/>
              <w:rPr>
                <w:rFonts w:cs="Times New Roman"/>
                <w:szCs w:val="24"/>
                <w:lang w:val="bg-BG"/>
              </w:rPr>
            </w:pPr>
          </w:p>
        </w:tc>
        <w:tc>
          <w:tcPr>
            <w:tcW w:w="712" w:type="pct"/>
          </w:tcPr>
          <w:p w14:paraId="788EBD1D" w14:textId="77777777" w:rsidR="0039488E" w:rsidRPr="006F3533" w:rsidRDefault="0039488E" w:rsidP="006F0DA0">
            <w:pPr>
              <w:contextualSpacing/>
              <w:jc w:val="both"/>
              <w:rPr>
                <w:rFonts w:cs="Times New Roman"/>
                <w:szCs w:val="24"/>
                <w:lang w:val="bg-BG"/>
              </w:rPr>
            </w:pPr>
          </w:p>
        </w:tc>
        <w:tc>
          <w:tcPr>
            <w:tcW w:w="452" w:type="pct"/>
          </w:tcPr>
          <w:p w14:paraId="16F9ED6F" w14:textId="77777777" w:rsidR="0039488E" w:rsidRPr="006F3533" w:rsidRDefault="0039488E" w:rsidP="006F0DA0">
            <w:pPr>
              <w:contextualSpacing/>
              <w:jc w:val="both"/>
              <w:rPr>
                <w:rFonts w:cs="Times New Roman"/>
                <w:szCs w:val="24"/>
                <w:lang w:val="bg-BG"/>
              </w:rPr>
            </w:pPr>
          </w:p>
        </w:tc>
        <w:tc>
          <w:tcPr>
            <w:tcW w:w="452" w:type="pct"/>
          </w:tcPr>
          <w:p w14:paraId="0D168462" w14:textId="77777777" w:rsidR="0039488E" w:rsidRPr="006F3533" w:rsidRDefault="0039488E" w:rsidP="006F0DA0">
            <w:pPr>
              <w:contextualSpacing/>
              <w:jc w:val="both"/>
              <w:rPr>
                <w:rFonts w:cs="Times New Roman"/>
                <w:szCs w:val="24"/>
                <w:lang w:val="bg-BG"/>
              </w:rPr>
            </w:pPr>
          </w:p>
        </w:tc>
      </w:tr>
      <w:tr w:rsidR="0039488E" w:rsidRPr="006F3533" w14:paraId="3CB12FB1" w14:textId="77777777" w:rsidTr="006B655E">
        <w:tc>
          <w:tcPr>
            <w:tcW w:w="1719" w:type="pct"/>
          </w:tcPr>
          <w:p w14:paraId="67690557"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Ventilation</w:t>
            </w:r>
            <w:proofErr w:type="spellEnd"/>
          </w:p>
        </w:tc>
        <w:tc>
          <w:tcPr>
            <w:tcW w:w="712" w:type="pct"/>
          </w:tcPr>
          <w:p w14:paraId="42FEC800" w14:textId="77777777" w:rsidR="0039488E" w:rsidRPr="006F3533" w:rsidRDefault="0039488E" w:rsidP="006F0DA0">
            <w:pPr>
              <w:contextualSpacing/>
              <w:jc w:val="both"/>
              <w:rPr>
                <w:rFonts w:cs="Times New Roman"/>
                <w:szCs w:val="24"/>
                <w:lang w:val="bg-BG"/>
              </w:rPr>
            </w:pPr>
          </w:p>
        </w:tc>
        <w:tc>
          <w:tcPr>
            <w:tcW w:w="515" w:type="pct"/>
          </w:tcPr>
          <w:p w14:paraId="434B8955" w14:textId="77777777" w:rsidR="0039488E" w:rsidRPr="006F3533" w:rsidRDefault="0039488E" w:rsidP="006F0DA0">
            <w:pPr>
              <w:contextualSpacing/>
              <w:jc w:val="both"/>
              <w:rPr>
                <w:rFonts w:cs="Times New Roman"/>
                <w:szCs w:val="24"/>
                <w:lang w:val="bg-BG"/>
              </w:rPr>
            </w:pPr>
          </w:p>
        </w:tc>
        <w:tc>
          <w:tcPr>
            <w:tcW w:w="438" w:type="pct"/>
          </w:tcPr>
          <w:p w14:paraId="43E059D8" w14:textId="77777777" w:rsidR="0039488E" w:rsidRPr="006F3533" w:rsidRDefault="0039488E" w:rsidP="006F0DA0">
            <w:pPr>
              <w:contextualSpacing/>
              <w:jc w:val="both"/>
              <w:rPr>
                <w:rFonts w:cs="Times New Roman"/>
                <w:szCs w:val="24"/>
                <w:lang w:val="bg-BG"/>
              </w:rPr>
            </w:pPr>
          </w:p>
        </w:tc>
        <w:tc>
          <w:tcPr>
            <w:tcW w:w="712" w:type="pct"/>
          </w:tcPr>
          <w:p w14:paraId="10E396C0" w14:textId="77777777" w:rsidR="0039488E" w:rsidRPr="006F3533" w:rsidRDefault="0039488E" w:rsidP="006F0DA0">
            <w:pPr>
              <w:contextualSpacing/>
              <w:jc w:val="both"/>
              <w:rPr>
                <w:rFonts w:cs="Times New Roman"/>
                <w:szCs w:val="24"/>
                <w:lang w:val="bg-BG"/>
              </w:rPr>
            </w:pPr>
          </w:p>
        </w:tc>
        <w:tc>
          <w:tcPr>
            <w:tcW w:w="452" w:type="pct"/>
          </w:tcPr>
          <w:p w14:paraId="061B1114" w14:textId="77777777" w:rsidR="0039488E" w:rsidRPr="006F3533" w:rsidRDefault="0039488E" w:rsidP="006F0DA0">
            <w:pPr>
              <w:contextualSpacing/>
              <w:jc w:val="both"/>
              <w:rPr>
                <w:rFonts w:cs="Times New Roman"/>
                <w:szCs w:val="24"/>
                <w:lang w:val="bg-BG"/>
              </w:rPr>
            </w:pPr>
          </w:p>
        </w:tc>
        <w:tc>
          <w:tcPr>
            <w:tcW w:w="452" w:type="pct"/>
          </w:tcPr>
          <w:p w14:paraId="576AF120" w14:textId="77777777" w:rsidR="0039488E" w:rsidRPr="006F3533" w:rsidRDefault="0039488E" w:rsidP="006F0DA0">
            <w:pPr>
              <w:contextualSpacing/>
              <w:jc w:val="both"/>
              <w:rPr>
                <w:rFonts w:cs="Times New Roman"/>
                <w:szCs w:val="24"/>
                <w:lang w:val="bg-BG"/>
              </w:rPr>
            </w:pPr>
          </w:p>
        </w:tc>
      </w:tr>
      <w:tr w:rsidR="0039488E" w:rsidRPr="006F3533" w14:paraId="0B01B2BF" w14:textId="77777777" w:rsidTr="006B655E">
        <w:tc>
          <w:tcPr>
            <w:tcW w:w="1719" w:type="pct"/>
          </w:tcPr>
          <w:p w14:paraId="747F75AF"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lastRenderedPageBreak/>
              <w:t>Built-in</w:t>
            </w:r>
            <w:proofErr w:type="spellEnd"/>
            <w:r w:rsidRPr="006F3533">
              <w:rPr>
                <w:rFonts w:cs="Times New Roman"/>
                <w:szCs w:val="24"/>
                <w:lang w:val="bg-BG"/>
              </w:rPr>
              <w:t xml:space="preserve"> </w:t>
            </w:r>
            <w:proofErr w:type="spellStart"/>
            <w:r w:rsidRPr="006F3533">
              <w:rPr>
                <w:rFonts w:cs="Times New Roman"/>
                <w:szCs w:val="24"/>
                <w:lang w:val="bg-BG"/>
              </w:rPr>
              <w:t>Lighting</w:t>
            </w:r>
            <w:proofErr w:type="spellEnd"/>
          </w:p>
        </w:tc>
        <w:tc>
          <w:tcPr>
            <w:tcW w:w="712" w:type="pct"/>
          </w:tcPr>
          <w:p w14:paraId="58D2B95A" w14:textId="77777777" w:rsidR="0039488E" w:rsidRPr="006F3533" w:rsidRDefault="0039488E" w:rsidP="006F0DA0">
            <w:pPr>
              <w:contextualSpacing/>
              <w:jc w:val="both"/>
              <w:rPr>
                <w:rFonts w:cs="Times New Roman"/>
                <w:szCs w:val="24"/>
                <w:lang w:val="bg-BG"/>
              </w:rPr>
            </w:pPr>
          </w:p>
        </w:tc>
        <w:tc>
          <w:tcPr>
            <w:tcW w:w="515" w:type="pct"/>
          </w:tcPr>
          <w:p w14:paraId="271D986D" w14:textId="77777777" w:rsidR="0039488E" w:rsidRPr="006F3533" w:rsidRDefault="0039488E" w:rsidP="006F0DA0">
            <w:pPr>
              <w:contextualSpacing/>
              <w:jc w:val="both"/>
              <w:rPr>
                <w:rFonts w:cs="Times New Roman"/>
                <w:szCs w:val="24"/>
                <w:lang w:val="bg-BG"/>
              </w:rPr>
            </w:pPr>
          </w:p>
        </w:tc>
        <w:tc>
          <w:tcPr>
            <w:tcW w:w="438" w:type="pct"/>
          </w:tcPr>
          <w:p w14:paraId="356D4233" w14:textId="77777777" w:rsidR="0039488E" w:rsidRPr="006F3533" w:rsidRDefault="0039488E" w:rsidP="006F0DA0">
            <w:pPr>
              <w:contextualSpacing/>
              <w:jc w:val="both"/>
              <w:rPr>
                <w:rFonts w:cs="Times New Roman"/>
                <w:szCs w:val="24"/>
                <w:lang w:val="bg-BG"/>
              </w:rPr>
            </w:pPr>
          </w:p>
        </w:tc>
        <w:tc>
          <w:tcPr>
            <w:tcW w:w="712" w:type="pct"/>
          </w:tcPr>
          <w:p w14:paraId="3B9165A3" w14:textId="77777777" w:rsidR="0039488E" w:rsidRPr="006F3533" w:rsidRDefault="0039488E" w:rsidP="006F0DA0">
            <w:pPr>
              <w:contextualSpacing/>
              <w:jc w:val="both"/>
              <w:rPr>
                <w:rFonts w:cs="Times New Roman"/>
                <w:szCs w:val="24"/>
                <w:lang w:val="bg-BG"/>
              </w:rPr>
            </w:pPr>
          </w:p>
        </w:tc>
        <w:tc>
          <w:tcPr>
            <w:tcW w:w="452" w:type="pct"/>
          </w:tcPr>
          <w:p w14:paraId="53F4E027" w14:textId="77777777" w:rsidR="0039488E" w:rsidRPr="006F3533" w:rsidRDefault="0039488E" w:rsidP="006F0DA0">
            <w:pPr>
              <w:contextualSpacing/>
              <w:jc w:val="both"/>
              <w:rPr>
                <w:rFonts w:cs="Times New Roman"/>
                <w:szCs w:val="24"/>
                <w:lang w:val="bg-BG"/>
              </w:rPr>
            </w:pPr>
          </w:p>
        </w:tc>
        <w:tc>
          <w:tcPr>
            <w:tcW w:w="452" w:type="pct"/>
          </w:tcPr>
          <w:p w14:paraId="74480C03" w14:textId="77777777" w:rsidR="0039488E" w:rsidRPr="006F3533" w:rsidRDefault="0039488E" w:rsidP="006F0DA0">
            <w:pPr>
              <w:contextualSpacing/>
              <w:jc w:val="both"/>
              <w:rPr>
                <w:rFonts w:cs="Times New Roman"/>
                <w:szCs w:val="24"/>
                <w:lang w:val="bg-BG"/>
              </w:rPr>
            </w:pPr>
          </w:p>
        </w:tc>
      </w:tr>
      <w:tr w:rsidR="0039488E" w:rsidRPr="006F3533" w14:paraId="5B05C377" w14:textId="77777777" w:rsidTr="006B655E">
        <w:tc>
          <w:tcPr>
            <w:tcW w:w="1719" w:type="pct"/>
          </w:tcPr>
          <w:p w14:paraId="5B331357"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Other</w:t>
            </w:r>
            <w:proofErr w:type="spellEnd"/>
            <w:r w:rsidRPr="006F3533">
              <w:rPr>
                <w:rFonts w:cs="Times New Roman"/>
                <w:szCs w:val="24"/>
                <w:lang w:val="bg-BG"/>
              </w:rPr>
              <w:t xml:space="preserve"> </w:t>
            </w:r>
            <w:proofErr w:type="spellStart"/>
            <w:r w:rsidRPr="006F3533">
              <w:rPr>
                <w:rFonts w:cs="Times New Roman"/>
                <w:szCs w:val="24"/>
                <w:lang w:val="bg-BG"/>
              </w:rPr>
              <w:t>technical</w:t>
            </w:r>
            <w:proofErr w:type="spellEnd"/>
            <w:r w:rsidRPr="006F3533">
              <w:rPr>
                <w:rFonts w:cs="Times New Roman"/>
                <w:szCs w:val="24"/>
                <w:lang w:val="bg-BG"/>
              </w:rPr>
              <w:t xml:space="preserve"> </w:t>
            </w:r>
            <w:proofErr w:type="spellStart"/>
            <w:r w:rsidRPr="006F3533">
              <w:rPr>
                <w:rFonts w:cs="Times New Roman"/>
                <w:szCs w:val="24"/>
                <w:lang w:val="bg-BG"/>
              </w:rPr>
              <w:t>building</w:t>
            </w:r>
            <w:proofErr w:type="spellEnd"/>
            <w:r w:rsidRPr="006F3533">
              <w:rPr>
                <w:rFonts w:cs="Times New Roman"/>
                <w:szCs w:val="24"/>
                <w:lang w:val="bg-BG"/>
              </w:rPr>
              <w:t xml:space="preserve"> </w:t>
            </w:r>
            <w:proofErr w:type="spellStart"/>
            <w:r w:rsidRPr="006F3533">
              <w:rPr>
                <w:rFonts w:cs="Times New Roman"/>
                <w:szCs w:val="24"/>
                <w:lang w:val="bg-BG"/>
              </w:rPr>
              <w:t>systems</w:t>
            </w:r>
            <w:proofErr w:type="spellEnd"/>
          </w:p>
        </w:tc>
        <w:tc>
          <w:tcPr>
            <w:tcW w:w="712" w:type="pct"/>
          </w:tcPr>
          <w:p w14:paraId="5179D529" w14:textId="77777777" w:rsidR="0039488E" w:rsidRPr="006F3533" w:rsidRDefault="0039488E" w:rsidP="006F0DA0">
            <w:pPr>
              <w:contextualSpacing/>
              <w:jc w:val="both"/>
              <w:rPr>
                <w:rFonts w:cs="Times New Roman"/>
                <w:szCs w:val="24"/>
                <w:lang w:val="bg-BG"/>
              </w:rPr>
            </w:pPr>
          </w:p>
        </w:tc>
        <w:tc>
          <w:tcPr>
            <w:tcW w:w="515" w:type="pct"/>
          </w:tcPr>
          <w:p w14:paraId="49F35698" w14:textId="77777777" w:rsidR="0039488E" w:rsidRPr="006F3533" w:rsidRDefault="0039488E" w:rsidP="006F0DA0">
            <w:pPr>
              <w:contextualSpacing/>
              <w:jc w:val="both"/>
              <w:rPr>
                <w:rFonts w:cs="Times New Roman"/>
                <w:szCs w:val="24"/>
                <w:lang w:val="bg-BG"/>
              </w:rPr>
            </w:pPr>
          </w:p>
        </w:tc>
        <w:tc>
          <w:tcPr>
            <w:tcW w:w="438" w:type="pct"/>
          </w:tcPr>
          <w:p w14:paraId="174DD0C0" w14:textId="77777777" w:rsidR="0039488E" w:rsidRPr="006F3533" w:rsidRDefault="0039488E" w:rsidP="006F0DA0">
            <w:pPr>
              <w:contextualSpacing/>
              <w:jc w:val="both"/>
              <w:rPr>
                <w:rFonts w:cs="Times New Roman"/>
                <w:szCs w:val="24"/>
                <w:lang w:val="bg-BG"/>
              </w:rPr>
            </w:pPr>
          </w:p>
        </w:tc>
        <w:tc>
          <w:tcPr>
            <w:tcW w:w="712" w:type="pct"/>
          </w:tcPr>
          <w:p w14:paraId="1F4E0CD3" w14:textId="77777777" w:rsidR="0039488E" w:rsidRPr="006F3533" w:rsidRDefault="0039488E" w:rsidP="006F0DA0">
            <w:pPr>
              <w:contextualSpacing/>
              <w:jc w:val="both"/>
              <w:rPr>
                <w:rFonts w:cs="Times New Roman"/>
                <w:szCs w:val="24"/>
                <w:lang w:val="bg-BG"/>
              </w:rPr>
            </w:pPr>
          </w:p>
        </w:tc>
        <w:tc>
          <w:tcPr>
            <w:tcW w:w="452" w:type="pct"/>
          </w:tcPr>
          <w:p w14:paraId="104EC18A" w14:textId="77777777" w:rsidR="0039488E" w:rsidRPr="006F3533" w:rsidRDefault="0039488E" w:rsidP="006F0DA0">
            <w:pPr>
              <w:contextualSpacing/>
              <w:jc w:val="both"/>
              <w:rPr>
                <w:rFonts w:cs="Times New Roman"/>
                <w:szCs w:val="24"/>
                <w:lang w:val="bg-BG"/>
              </w:rPr>
            </w:pPr>
          </w:p>
        </w:tc>
        <w:tc>
          <w:tcPr>
            <w:tcW w:w="452" w:type="pct"/>
          </w:tcPr>
          <w:p w14:paraId="3863782A" w14:textId="77777777" w:rsidR="0039488E" w:rsidRPr="006F3533" w:rsidRDefault="0039488E" w:rsidP="006F0DA0">
            <w:pPr>
              <w:contextualSpacing/>
              <w:jc w:val="both"/>
              <w:rPr>
                <w:rFonts w:cs="Times New Roman"/>
                <w:szCs w:val="24"/>
                <w:lang w:val="bg-BG"/>
              </w:rPr>
            </w:pPr>
          </w:p>
        </w:tc>
      </w:tr>
      <w:tr w:rsidR="0039488E" w:rsidRPr="006F3533" w14:paraId="4E037FDA" w14:textId="77777777" w:rsidTr="006B655E">
        <w:tc>
          <w:tcPr>
            <w:tcW w:w="1719" w:type="pct"/>
          </w:tcPr>
          <w:p w14:paraId="07288EC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 xml:space="preserve">Total </w:t>
            </w:r>
          </w:p>
        </w:tc>
        <w:tc>
          <w:tcPr>
            <w:tcW w:w="712" w:type="pct"/>
          </w:tcPr>
          <w:p w14:paraId="39F9A336" w14:textId="77777777" w:rsidR="0039488E" w:rsidRPr="006F3533" w:rsidRDefault="0039488E" w:rsidP="006F0DA0">
            <w:pPr>
              <w:contextualSpacing/>
              <w:jc w:val="both"/>
              <w:rPr>
                <w:rFonts w:cs="Times New Roman"/>
                <w:i/>
                <w:iCs/>
                <w:szCs w:val="24"/>
                <w:lang w:val="bg-BG"/>
              </w:rPr>
            </w:pPr>
            <w:r w:rsidRPr="006F3533">
              <w:rPr>
                <w:rFonts w:cs="Times New Roman"/>
                <w:i/>
                <w:iCs/>
                <w:szCs w:val="24"/>
                <w:lang w:val="bg-BG"/>
              </w:rPr>
              <w:t>[</w:t>
            </w:r>
            <w:proofErr w:type="spellStart"/>
            <w:r w:rsidRPr="006F3533">
              <w:rPr>
                <w:rFonts w:cs="Times New Roman"/>
                <w:i/>
                <w:iCs/>
                <w:szCs w:val="24"/>
                <w:lang w:val="bg-BG"/>
              </w:rPr>
              <w:t>Should</w:t>
            </w:r>
            <w:proofErr w:type="spellEnd"/>
            <w:r w:rsidRPr="006F3533">
              <w:rPr>
                <w:rFonts w:cs="Times New Roman"/>
                <w:i/>
                <w:iCs/>
                <w:szCs w:val="24"/>
                <w:lang w:val="bg-BG"/>
              </w:rPr>
              <w:t xml:space="preserve"> </w:t>
            </w:r>
            <w:proofErr w:type="spellStart"/>
            <w:r w:rsidRPr="006F3533">
              <w:rPr>
                <w:rFonts w:cs="Times New Roman"/>
                <w:i/>
                <w:iCs/>
                <w:szCs w:val="24"/>
                <w:lang w:val="bg-BG"/>
              </w:rPr>
              <w:t>match</w:t>
            </w:r>
            <w:proofErr w:type="spellEnd"/>
            <w:r w:rsidRPr="006F3533">
              <w:rPr>
                <w:rFonts w:cs="Times New Roman"/>
                <w:i/>
                <w:iCs/>
                <w:szCs w:val="24"/>
                <w:lang w:val="bg-BG"/>
              </w:rPr>
              <w:t xml:space="preserve"> </w:t>
            </w:r>
            <w:proofErr w:type="spellStart"/>
            <w:r w:rsidRPr="006F3533">
              <w:rPr>
                <w:rFonts w:cs="Times New Roman"/>
                <w:i/>
                <w:iCs/>
                <w:szCs w:val="24"/>
                <w:lang w:val="bg-BG"/>
              </w:rPr>
              <w:t>preceding</w:t>
            </w:r>
            <w:proofErr w:type="spellEnd"/>
            <w:r w:rsidRPr="006F3533">
              <w:rPr>
                <w:rFonts w:cs="Times New Roman"/>
                <w:i/>
                <w:iCs/>
                <w:szCs w:val="24"/>
                <w:lang w:val="bg-BG"/>
              </w:rPr>
              <w:t xml:space="preserve"> </w:t>
            </w:r>
            <w:proofErr w:type="spellStart"/>
            <w:r w:rsidRPr="006F3533">
              <w:rPr>
                <w:rFonts w:cs="Times New Roman"/>
                <w:i/>
                <w:iCs/>
                <w:szCs w:val="24"/>
                <w:lang w:val="bg-BG"/>
              </w:rPr>
              <w:t>table</w:t>
            </w:r>
            <w:proofErr w:type="spellEnd"/>
            <w:r w:rsidRPr="006F3533">
              <w:rPr>
                <w:rFonts w:cs="Times New Roman"/>
                <w:i/>
                <w:iCs/>
                <w:szCs w:val="24"/>
                <w:lang w:val="bg-BG"/>
              </w:rPr>
              <w:t>]</w:t>
            </w:r>
          </w:p>
        </w:tc>
        <w:tc>
          <w:tcPr>
            <w:tcW w:w="515" w:type="pct"/>
          </w:tcPr>
          <w:p w14:paraId="38F71653" w14:textId="77777777" w:rsidR="0039488E" w:rsidRPr="006F3533" w:rsidRDefault="0039488E" w:rsidP="006F0DA0">
            <w:pPr>
              <w:contextualSpacing/>
              <w:jc w:val="both"/>
              <w:rPr>
                <w:rFonts w:cs="Times New Roman"/>
                <w:i/>
                <w:iCs/>
                <w:szCs w:val="24"/>
                <w:lang w:val="bg-BG"/>
              </w:rPr>
            </w:pPr>
          </w:p>
        </w:tc>
        <w:tc>
          <w:tcPr>
            <w:tcW w:w="438" w:type="pct"/>
          </w:tcPr>
          <w:p w14:paraId="7A204178" w14:textId="77777777" w:rsidR="0039488E" w:rsidRPr="006F3533" w:rsidRDefault="0039488E" w:rsidP="006F0DA0">
            <w:pPr>
              <w:contextualSpacing/>
              <w:jc w:val="both"/>
              <w:rPr>
                <w:rFonts w:cs="Times New Roman"/>
                <w:i/>
                <w:iCs/>
                <w:szCs w:val="24"/>
                <w:lang w:val="bg-BG"/>
              </w:rPr>
            </w:pPr>
          </w:p>
        </w:tc>
        <w:tc>
          <w:tcPr>
            <w:tcW w:w="712" w:type="pct"/>
          </w:tcPr>
          <w:p w14:paraId="427C9832" w14:textId="77777777" w:rsidR="0039488E" w:rsidRPr="006F3533" w:rsidRDefault="0039488E" w:rsidP="006F0DA0">
            <w:pPr>
              <w:contextualSpacing/>
              <w:jc w:val="both"/>
              <w:rPr>
                <w:rFonts w:cs="Times New Roman"/>
                <w:i/>
                <w:iCs/>
                <w:szCs w:val="24"/>
                <w:lang w:val="bg-BG"/>
              </w:rPr>
            </w:pPr>
            <w:proofErr w:type="spellStart"/>
            <w:r w:rsidRPr="006F3533">
              <w:rPr>
                <w:rFonts w:cs="Times New Roman"/>
                <w:i/>
                <w:iCs/>
                <w:szCs w:val="24"/>
                <w:lang w:val="bg-BG"/>
              </w:rPr>
              <w:t>Should</w:t>
            </w:r>
            <w:proofErr w:type="spellEnd"/>
            <w:r w:rsidRPr="006F3533">
              <w:rPr>
                <w:rFonts w:cs="Times New Roman"/>
                <w:i/>
                <w:iCs/>
                <w:szCs w:val="24"/>
                <w:lang w:val="bg-BG"/>
              </w:rPr>
              <w:t xml:space="preserve"> </w:t>
            </w:r>
            <w:proofErr w:type="spellStart"/>
            <w:r w:rsidRPr="006F3533">
              <w:rPr>
                <w:rFonts w:cs="Times New Roman"/>
                <w:i/>
                <w:iCs/>
                <w:szCs w:val="24"/>
                <w:lang w:val="bg-BG"/>
              </w:rPr>
              <w:t>match</w:t>
            </w:r>
            <w:proofErr w:type="spellEnd"/>
            <w:r w:rsidRPr="006F3533">
              <w:rPr>
                <w:rFonts w:cs="Times New Roman"/>
                <w:i/>
                <w:iCs/>
                <w:szCs w:val="24"/>
                <w:lang w:val="bg-BG"/>
              </w:rPr>
              <w:t xml:space="preserve"> </w:t>
            </w:r>
            <w:proofErr w:type="spellStart"/>
            <w:r w:rsidRPr="006F3533">
              <w:rPr>
                <w:rFonts w:cs="Times New Roman"/>
                <w:i/>
                <w:iCs/>
                <w:szCs w:val="24"/>
                <w:lang w:val="bg-BG"/>
              </w:rPr>
              <w:t>preceding</w:t>
            </w:r>
            <w:proofErr w:type="spellEnd"/>
            <w:r w:rsidRPr="006F3533">
              <w:rPr>
                <w:rFonts w:cs="Times New Roman"/>
                <w:i/>
                <w:iCs/>
                <w:szCs w:val="24"/>
                <w:lang w:val="bg-BG"/>
              </w:rPr>
              <w:t xml:space="preserve"> </w:t>
            </w:r>
            <w:proofErr w:type="spellStart"/>
            <w:r w:rsidRPr="006F3533">
              <w:rPr>
                <w:rFonts w:cs="Times New Roman"/>
                <w:i/>
                <w:iCs/>
                <w:szCs w:val="24"/>
                <w:lang w:val="bg-BG"/>
              </w:rPr>
              <w:t>table</w:t>
            </w:r>
            <w:proofErr w:type="spellEnd"/>
            <w:r w:rsidRPr="006F3533">
              <w:rPr>
                <w:rFonts w:cs="Times New Roman"/>
                <w:i/>
                <w:iCs/>
                <w:szCs w:val="24"/>
                <w:lang w:val="bg-BG"/>
              </w:rPr>
              <w:t>]</w:t>
            </w:r>
          </w:p>
        </w:tc>
        <w:tc>
          <w:tcPr>
            <w:tcW w:w="452" w:type="pct"/>
          </w:tcPr>
          <w:p w14:paraId="40E79CE4" w14:textId="77777777" w:rsidR="0039488E" w:rsidRPr="006F3533" w:rsidRDefault="0039488E" w:rsidP="006F0DA0">
            <w:pPr>
              <w:contextualSpacing/>
              <w:jc w:val="both"/>
              <w:rPr>
                <w:rFonts w:cs="Times New Roman"/>
                <w:i/>
                <w:iCs/>
                <w:szCs w:val="24"/>
                <w:lang w:val="bg-BG"/>
              </w:rPr>
            </w:pPr>
          </w:p>
        </w:tc>
        <w:tc>
          <w:tcPr>
            <w:tcW w:w="452" w:type="pct"/>
          </w:tcPr>
          <w:p w14:paraId="107AB1CB" w14:textId="77777777" w:rsidR="0039488E" w:rsidRPr="006F3533" w:rsidRDefault="0039488E" w:rsidP="006F0DA0">
            <w:pPr>
              <w:contextualSpacing/>
              <w:jc w:val="both"/>
              <w:rPr>
                <w:rFonts w:cs="Times New Roman"/>
                <w:i/>
                <w:iCs/>
                <w:szCs w:val="24"/>
                <w:lang w:val="bg-BG"/>
              </w:rPr>
            </w:pPr>
          </w:p>
        </w:tc>
      </w:tr>
      <w:bookmarkEnd w:id="171"/>
      <w:tr w:rsidR="0039488E" w:rsidRPr="006F3533" w14:paraId="5501F9FB" w14:textId="77777777" w:rsidTr="006B655E">
        <w:tc>
          <w:tcPr>
            <w:tcW w:w="5000" w:type="pct"/>
            <w:gridSpan w:val="7"/>
            <w:shd w:val="clear" w:color="auto" w:fill="D9D9D9" w:themeFill="background1" w:themeFillShade="D9"/>
          </w:tcPr>
          <w:p w14:paraId="774CB67E"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Non-residential</w:t>
            </w:r>
            <w:proofErr w:type="spellEnd"/>
            <w:r w:rsidRPr="006F3533">
              <w:rPr>
                <w:rFonts w:cs="Times New Roman"/>
                <w:szCs w:val="24"/>
                <w:lang w:val="bg-BG"/>
              </w:rPr>
              <w:t xml:space="preserve"> </w:t>
            </w:r>
            <w:proofErr w:type="spellStart"/>
            <w:r w:rsidRPr="006F3533">
              <w:rPr>
                <w:rFonts w:cs="Times New Roman"/>
                <w:szCs w:val="24"/>
                <w:lang w:val="bg-BG"/>
              </w:rPr>
              <w:t>buildings</w:t>
            </w:r>
            <w:proofErr w:type="spellEnd"/>
          </w:p>
        </w:tc>
      </w:tr>
      <w:tr w:rsidR="0039488E" w:rsidRPr="006F3533" w14:paraId="0CDA651F" w14:textId="77777777" w:rsidTr="006B655E">
        <w:tc>
          <w:tcPr>
            <w:tcW w:w="1719" w:type="pct"/>
          </w:tcPr>
          <w:p w14:paraId="47DFF5EA"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Space</w:t>
            </w:r>
            <w:proofErr w:type="spellEnd"/>
            <w:r w:rsidRPr="006F3533">
              <w:rPr>
                <w:rFonts w:cs="Times New Roman"/>
                <w:szCs w:val="24"/>
                <w:lang w:val="bg-BG"/>
              </w:rPr>
              <w:t xml:space="preserve"> </w:t>
            </w:r>
            <w:proofErr w:type="spellStart"/>
            <w:r w:rsidRPr="006F3533">
              <w:rPr>
                <w:rFonts w:cs="Times New Roman"/>
                <w:szCs w:val="24"/>
                <w:lang w:val="bg-BG"/>
              </w:rPr>
              <w:t>heating</w:t>
            </w:r>
            <w:proofErr w:type="spellEnd"/>
          </w:p>
        </w:tc>
        <w:tc>
          <w:tcPr>
            <w:tcW w:w="712" w:type="pct"/>
          </w:tcPr>
          <w:p w14:paraId="75E9E2C7" w14:textId="77777777" w:rsidR="0039488E" w:rsidRPr="006F3533" w:rsidRDefault="0039488E" w:rsidP="006F0DA0">
            <w:pPr>
              <w:contextualSpacing/>
              <w:jc w:val="both"/>
              <w:rPr>
                <w:rFonts w:cs="Times New Roman"/>
                <w:szCs w:val="24"/>
                <w:lang w:val="bg-BG"/>
              </w:rPr>
            </w:pPr>
          </w:p>
        </w:tc>
        <w:tc>
          <w:tcPr>
            <w:tcW w:w="515" w:type="pct"/>
          </w:tcPr>
          <w:p w14:paraId="28ADE527" w14:textId="77777777" w:rsidR="0039488E" w:rsidRPr="006F3533" w:rsidRDefault="0039488E" w:rsidP="006F0DA0">
            <w:pPr>
              <w:contextualSpacing/>
              <w:jc w:val="both"/>
              <w:rPr>
                <w:rFonts w:cs="Times New Roman"/>
                <w:szCs w:val="24"/>
                <w:lang w:val="bg-BG"/>
              </w:rPr>
            </w:pPr>
          </w:p>
        </w:tc>
        <w:tc>
          <w:tcPr>
            <w:tcW w:w="438" w:type="pct"/>
          </w:tcPr>
          <w:p w14:paraId="323CE28F" w14:textId="77777777" w:rsidR="0039488E" w:rsidRPr="006F3533" w:rsidRDefault="0039488E" w:rsidP="006F0DA0">
            <w:pPr>
              <w:contextualSpacing/>
              <w:jc w:val="both"/>
              <w:rPr>
                <w:rFonts w:cs="Times New Roman"/>
                <w:szCs w:val="24"/>
                <w:lang w:val="bg-BG"/>
              </w:rPr>
            </w:pPr>
          </w:p>
        </w:tc>
        <w:tc>
          <w:tcPr>
            <w:tcW w:w="712" w:type="pct"/>
          </w:tcPr>
          <w:p w14:paraId="64CC562C" w14:textId="77777777" w:rsidR="0039488E" w:rsidRPr="006F3533" w:rsidRDefault="0039488E" w:rsidP="006F0DA0">
            <w:pPr>
              <w:contextualSpacing/>
              <w:jc w:val="both"/>
              <w:rPr>
                <w:rFonts w:cs="Times New Roman"/>
                <w:szCs w:val="24"/>
                <w:lang w:val="bg-BG"/>
              </w:rPr>
            </w:pPr>
          </w:p>
        </w:tc>
        <w:tc>
          <w:tcPr>
            <w:tcW w:w="452" w:type="pct"/>
          </w:tcPr>
          <w:p w14:paraId="0E12C81B" w14:textId="77777777" w:rsidR="0039488E" w:rsidRPr="006F3533" w:rsidRDefault="0039488E" w:rsidP="006F0DA0">
            <w:pPr>
              <w:contextualSpacing/>
              <w:jc w:val="both"/>
              <w:rPr>
                <w:rFonts w:cs="Times New Roman"/>
                <w:szCs w:val="24"/>
                <w:lang w:val="bg-BG"/>
              </w:rPr>
            </w:pPr>
          </w:p>
        </w:tc>
        <w:tc>
          <w:tcPr>
            <w:tcW w:w="452" w:type="pct"/>
          </w:tcPr>
          <w:p w14:paraId="0193596D" w14:textId="77777777" w:rsidR="0039488E" w:rsidRPr="006F3533" w:rsidRDefault="0039488E" w:rsidP="006F0DA0">
            <w:pPr>
              <w:contextualSpacing/>
              <w:jc w:val="both"/>
              <w:rPr>
                <w:rFonts w:cs="Times New Roman"/>
                <w:szCs w:val="24"/>
                <w:lang w:val="bg-BG"/>
              </w:rPr>
            </w:pPr>
          </w:p>
        </w:tc>
      </w:tr>
      <w:tr w:rsidR="0039488E" w:rsidRPr="006F3533" w14:paraId="450EB72E" w14:textId="77777777" w:rsidTr="006B655E">
        <w:tc>
          <w:tcPr>
            <w:tcW w:w="1719" w:type="pct"/>
          </w:tcPr>
          <w:p w14:paraId="3166046C"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Space</w:t>
            </w:r>
            <w:proofErr w:type="spellEnd"/>
            <w:r w:rsidRPr="006F3533">
              <w:rPr>
                <w:rFonts w:cs="Times New Roman"/>
                <w:szCs w:val="24"/>
                <w:lang w:val="bg-BG"/>
              </w:rPr>
              <w:t xml:space="preserve"> </w:t>
            </w:r>
            <w:proofErr w:type="spellStart"/>
            <w:r w:rsidRPr="006F3533">
              <w:rPr>
                <w:rFonts w:cs="Times New Roman"/>
                <w:szCs w:val="24"/>
                <w:lang w:val="bg-BG"/>
              </w:rPr>
              <w:t>cooling</w:t>
            </w:r>
            <w:proofErr w:type="spellEnd"/>
          </w:p>
        </w:tc>
        <w:tc>
          <w:tcPr>
            <w:tcW w:w="712" w:type="pct"/>
          </w:tcPr>
          <w:p w14:paraId="31C45E04" w14:textId="77777777" w:rsidR="0039488E" w:rsidRPr="006F3533" w:rsidRDefault="0039488E" w:rsidP="006F0DA0">
            <w:pPr>
              <w:contextualSpacing/>
              <w:jc w:val="both"/>
              <w:rPr>
                <w:rFonts w:cs="Times New Roman"/>
                <w:szCs w:val="24"/>
                <w:lang w:val="bg-BG"/>
              </w:rPr>
            </w:pPr>
          </w:p>
        </w:tc>
        <w:tc>
          <w:tcPr>
            <w:tcW w:w="515" w:type="pct"/>
          </w:tcPr>
          <w:p w14:paraId="5557992E" w14:textId="77777777" w:rsidR="0039488E" w:rsidRPr="006F3533" w:rsidRDefault="0039488E" w:rsidP="006F0DA0">
            <w:pPr>
              <w:contextualSpacing/>
              <w:jc w:val="both"/>
              <w:rPr>
                <w:rFonts w:cs="Times New Roman"/>
                <w:szCs w:val="24"/>
                <w:lang w:val="bg-BG"/>
              </w:rPr>
            </w:pPr>
          </w:p>
        </w:tc>
        <w:tc>
          <w:tcPr>
            <w:tcW w:w="438" w:type="pct"/>
          </w:tcPr>
          <w:p w14:paraId="1C9C541D" w14:textId="77777777" w:rsidR="0039488E" w:rsidRPr="006F3533" w:rsidRDefault="0039488E" w:rsidP="006F0DA0">
            <w:pPr>
              <w:contextualSpacing/>
              <w:jc w:val="both"/>
              <w:rPr>
                <w:rFonts w:cs="Times New Roman"/>
                <w:szCs w:val="24"/>
                <w:lang w:val="bg-BG"/>
              </w:rPr>
            </w:pPr>
          </w:p>
        </w:tc>
        <w:tc>
          <w:tcPr>
            <w:tcW w:w="712" w:type="pct"/>
          </w:tcPr>
          <w:p w14:paraId="3453A8F7" w14:textId="77777777" w:rsidR="0039488E" w:rsidRPr="006F3533" w:rsidRDefault="0039488E" w:rsidP="006F0DA0">
            <w:pPr>
              <w:contextualSpacing/>
              <w:jc w:val="both"/>
              <w:rPr>
                <w:rFonts w:cs="Times New Roman"/>
                <w:szCs w:val="24"/>
                <w:lang w:val="bg-BG"/>
              </w:rPr>
            </w:pPr>
          </w:p>
        </w:tc>
        <w:tc>
          <w:tcPr>
            <w:tcW w:w="452" w:type="pct"/>
          </w:tcPr>
          <w:p w14:paraId="0885C9B3" w14:textId="77777777" w:rsidR="0039488E" w:rsidRPr="006F3533" w:rsidRDefault="0039488E" w:rsidP="006F0DA0">
            <w:pPr>
              <w:contextualSpacing/>
              <w:jc w:val="both"/>
              <w:rPr>
                <w:rFonts w:cs="Times New Roman"/>
                <w:szCs w:val="24"/>
                <w:lang w:val="bg-BG"/>
              </w:rPr>
            </w:pPr>
          </w:p>
        </w:tc>
        <w:tc>
          <w:tcPr>
            <w:tcW w:w="452" w:type="pct"/>
          </w:tcPr>
          <w:p w14:paraId="0F9793D3" w14:textId="77777777" w:rsidR="0039488E" w:rsidRPr="006F3533" w:rsidRDefault="0039488E" w:rsidP="006F0DA0">
            <w:pPr>
              <w:contextualSpacing/>
              <w:jc w:val="both"/>
              <w:rPr>
                <w:rFonts w:cs="Times New Roman"/>
                <w:szCs w:val="24"/>
                <w:lang w:val="bg-BG"/>
              </w:rPr>
            </w:pPr>
          </w:p>
        </w:tc>
      </w:tr>
      <w:tr w:rsidR="0039488E" w:rsidRPr="006F3533" w14:paraId="3B1E721E" w14:textId="77777777" w:rsidTr="006B655E">
        <w:tc>
          <w:tcPr>
            <w:tcW w:w="1719" w:type="pct"/>
          </w:tcPr>
          <w:p w14:paraId="60963C05"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Domestic</w:t>
            </w:r>
            <w:proofErr w:type="spellEnd"/>
            <w:r w:rsidRPr="006F3533">
              <w:rPr>
                <w:rFonts w:cs="Times New Roman"/>
                <w:szCs w:val="24"/>
                <w:lang w:val="bg-BG"/>
              </w:rPr>
              <w:t xml:space="preserve"> </w:t>
            </w:r>
            <w:proofErr w:type="spellStart"/>
            <w:r w:rsidRPr="006F3533">
              <w:rPr>
                <w:rFonts w:cs="Times New Roman"/>
                <w:szCs w:val="24"/>
                <w:lang w:val="bg-BG"/>
              </w:rPr>
              <w:t>hot</w:t>
            </w:r>
            <w:proofErr w:type="spellEnd"/>
            <w:r w:rsidRPr="006F3533">
              <w:rPr>
                <w:rFonts w:cs="Times New Roman"/>
                <w:szCs w:val="24"/>
                <w:lang w:val="bg-BG"/>
              </w:rPr>
              <w:t xml:space="preserve"> </w:t>
            </w:r>
            <w:proofErr w:type="spellStart"/>
            <w:r w:rsidRPr="006F3533">
              <w:rPr>
                <w:rFonts w:cs="Times New Roman"/>
                <w:szCs w:val="24"/>
                <w:lang w:val="bg-BG"/>
              </w:rPr>
              <w:t>water</w:t>
            </w:r>
            <w:proofErr w:type="spellEnd"/>
          </w:p>
        </w:tc>
        <w:tc>
          <w:tcPr>
            <w:tcW w:w="712" w:type="pct"/>
          </w:tcPr>
          <w:p w14:paraId="7E8983A0" w14:textId="77777777" w:rsidR="0039488E" w:rsidRPr="006F3533" w:rsidRDefault="0039488E" w:rsidP="006F0DA0">
            <w:pPr>
              <w:contextualSpacing/>
              <w:jc w:val="both"/>
              <w:rPr>
                <w:rFonts w:cs="Times New Roman"/>
                <w:szCs w:val="24"/>
                <w:lang w:val="bg-BG"/>
              </w:rPr>
            </w:pPr>
          </w:p>
        </w:tc>
        <w:tc>
          <w:tcPr>
            <w:tcW w:w="515" w:type="pct"/>
          </w:tcPr>
          <w:p w14:paraId="7C8B7BF8" w14:textId="77777777" w:rsidR="0039488E" w:rsidRPr="006F3533" w:rsidRDefault="0039488E" w:rsidP="006F0DA0">
            <w:pPr>
              <w:contextualSpacing/>
              <w:jc w:val="both"/>
              <w:rPr>
                <w:rFonts w:cs="Times New Roman"/>
                <w:szCs w:val="24"/>
                <w:lang w:val="bg-BG"/>
              </w:rPr>
            </w:pPr>
          </w:p>
        </w:tc>
        <w:tc>
          <w:tcPr>
            <w:tcW w:w="438" w:type="pct"/>
          </w:tcPr>
          <w:p w14:paraId="0E1FDA33" w14:textId="77777777" w:rsidR="0039488E" w:rsidRPr="006F3533" w:rsidRDefault="0039488E" w:rsidP="006F0DA0">
            <w:pPr>
              <w:contextualSpacing/>
              <w:jc w:val="both"/>
              <w:rPr>
                <w:rFonts w:cs="Times New Roman"/>
                <w:szCs w:val="24"/>
                <w:lang w:val="bg-BG"/>
              </w:rPr>
            </w:pPr>
          </w:p>
        </w:tc>
        <w:tc>
          <w:tcPr>
            <w:tcW w:w="712" w:type="pct"/>
          </w:tcPr>
          <w:p w14:paraId="770288CD" w14:textId="77777777" w:rsidR="0039488E" w:rsidRPr="006F3533" w:rsidRDefault="0039488E" w:rsidP="006F0DA0">
            <w:pPr>
              <w:contextualSpacing/>
              <w:jc w:val="both"/>
              <w:rPr>
                <w:rFonts w:cs="Times New Roman"/>
                <w:szCs w:val="24"/>
                <w:lang w:val="bg-BG"/>
              </w:rPr>
            </w:pPr>
          </w:p>
        </w:tc>
        <w:tc>
          <w:tcPr>
            <w:tcW w:w="452" w:type="pct"/>
          </w:tcPr>
          <w:p w14:paraId="37471C1B" w14:textId="77777777" w:rsidR="0039488E" w:rsidRPr="006F3533" w:rsidRDefault="0039488E" w:rsidP="006F0DA0">
            <w:pPr>
              <w:contextualSpacing/>
              <w:jc w:val="both"/>
              <w:rPr>
                <w:rFonts w:cs="Times New Roman"/>
                <w:szCs w:val="24"/>
                <w:lang w:val="bg-BG"/>
              </w:rPr>
            </w:pPr>
          </w:p>
        </w:tc>
        <w:tc>
          <w:tcPr>
            <w:tcW w:w="452" w:type="pct"/>
          </w:tcPr>
          <w:p w14:paraId="3E0E068F" w14:textId="77777777" w:rsidR="0039488E" w:rsidRPr="006F3533" w:rsidRDefault="0039488E" w:rsidP="006F0DA0">
            <w:pPr>
              <w:contextualSpacing/>
              <w:jc w:val="both"/>
              <w:rPr>
                <w:rFonts w:cs="Times New Roman"/>
                <w:szCs w:val="24"/>
                <w:lang w:val="bg-BG"/>
              </w:rPr>
            </w:pPr>
          </w:p>
        </w:tc>
      </w:tr>
      <w:tr w:rsidR="0039488E" w:rsidRPr="006F3533" w14:paraId="7237D763" w14:textId="77777777" w:rsidTr="006B655E">
        <w:tc>
          <w:tcPr>
            <w:tcW w:w="1719" w:type="pct"/>
          </w:tcPr>
          <w:p w14:paraId="1A0CBE65"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Ventilation</w:t>
            </w:r>
            <w:proofErr w:type="spellEnd"/>
          </w:p>
        </w:tc>
        <w:tc>
          <w:tcPr>
            <w:tcW w:w="712" w:type="pct"/>
          </w:tcPr>
          <w:p w14:paraId="75F0E5D4" w14:textId="77777777" w:rsidR="0039488E" w:rsidRPr="006F3533" w:rsidRDefault="0039488E" w:rsidP="006F0DA0">
            <w:pPr>
              <w:contextualSpacing/>
              <w:jc w:val="both"/>
              <w:rPr>
                <w:rFonts w:cs="Times New Roman"/>
                <w:szCs w:val="24"/>
                <w:lang w:val="bg-BG"/>
              </w:rPr>
            </w:pPr>
          </w:p>
        </w:tc>
        <w:tc>
          <w:tcPr>
            <w:tcW w:w="515" w:type="pct"/>
          </w:tcPr>
          <w:p w14:paraId="35ADFE9C" w14:textId="77777777" w:rsidR="0039488E" w:rsidRPr="006F3533" w:rsidRDefault="0039488E" w:rsidP="006F0DA0">
            <w:pPr>
              <w:contextualSpacing/>
              <w:jc w:val="both"/>
              <w:rPr>
                <w:rFonts w:cs="Times New Roman"/>
                <w:szCs w:val="24"/>
                <w:lang w:val="bg-BG"/>
              </w:rPr>
            </w:pPr>
          </w:p>
        </w:tc>
        <w:tc>
          <w:tcPr>
            <w:tcW w:w="438" w:type="pct"/>
          </w:tcPr>
          <w:p w14:paraId="6F0D859A" w14:textId="77777777" w:rsidR="0039488E" w:rsidRPr="006F3533" w:rsidRDefault="0039488E" w:rsidP="006F0DA0">
            <w:pPr>
              <w:contextualSpacing/>
              <w:jc w:val="both"/>
              <w:rPr>
                <w:rFonts w:cs="Times New Roman"/>
                <w:szCs w:val="24"/>
                <w:lang w:val="bg-BG"/>
              </w:rPr>
            </w:pPr>
          </w:p>
        </w:tc>
        <w:tc>
          <w:tcPr>
            <w:tcW w:w="712" w:type="pct"/>
          </w:tcPr>
          <w:p w14:paraId="74CB6A77" w14:textId="77777777" w:rsidR="0039488E" w:rsidRPr="006F3533" w:rsidRDefault="0039488E" w:rsidP="006F0DA0">
            <w:pPr>
              <w:contextualSpacing/>
              <w:jc w:val="both"/>
              <w:rPr>
                <w:rFonts w:cs="Times New Roman"/>
                <w:szCs w:val="24"/>
                <w:lang w:val="bg-BG"/>
              </w:rPr>
            </w:pPr>
          </w:p>
        </w:tc>
        <w:tc>
          <w:tcPr>
            <w:tcW w:w="452" w:type="pct"/>
          </w:tcPr>
          <w:p w14:paraId="3AC04B72" w14:textId="77777777" w:rsidR="0039488E" w:rsidRPr="006F3533" w:rsidRDefault="0039488E" w:rsidP="006F0DA0">
            <w:pPr>
              <w:contextualSpacing/>
              <w:jc w:val="both"/>
              <w:rPr>
                <w:rFonts w:cs="Times New Roman"/>
                <w:szCs w:val="24"/>
                <w:lang w:val="bg-BG"/>
              </w:rPr>
            </w:pPr>
          </w:p>
        </w:tc>
        <w:tc>
          <w:tcPr>
            <w:tcW w:w="452" w:type="pct"/>
          </w:tcPr>
          <w:p w14:paraId="7E1B23C2" w14:textId="77777777" w:rsidR="0039488E" w:rsidRPr="006F3533" w:rsidRDefault="0039488E" w:rsidP="006F0DA0">
            <w:pPr>
              <w:contextualSpacing/>
              <w:jc w:val="both"/>
              <w:rPr>
                <w:rFonts w:cs="Times New Roman"/>
                <w:szCs w:val="24"/>
                <w:lang w:val="bg-BG"/>
              </w:rPr>
            </w:pPr>
          </w:p>
        </w:tc>
      </w:tr>
      <w:tr w:rsidR="0039488E" w:rsidRPr="006F3533" w14:paraId="0065C9DD" w14:textId="77777777" w:rsidTr="006B655E">
        <w:tc>
          <w:tcPr>
            <w:tcW w:w="1719" w:type="pct"/>
          </w:tcPr>
          <w:p w14:paraId="634EF25D"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Built-in</w:t>
            </w:r>
            <w:proofErr w:type="spellEnd"/>
            <w:r w:rsidRPr="006F3533">
              <w:rPr>
                <w:rFonts w:cs="Times New Roman"/>
                <w:szCs w:val="24"/>
                <w:lang w:val="bg-BG"/>
              </w:rPr>
              <w:t xml:space="preserve"> </w:t>
            </w:r>
            <w:proofErr w:type="spellStart"/>
            <w:r w:rsidRPr="006F3533">
              <w:rPr>
                <w:rFonts w:cs="Times New Roman"/>
                <w:szCs w:val="24"/>
                <w:lang w:val="bg-BG"/>
              </w:rPr>
              <w:t>Lighting</w:t>
            </w:r>
            <w:proofErr w:type="spellEnd"/>
          </w:p>
        </w:tc>
        <w:tc>
          <w:tcPr>
            <w:tcW w:w="712" w:type="pct"/>
          </w:tcPr>
          <w:p w14:paraId="66B4CE4C" w14:textId="77777777" w:rsidR="0039488E" w:rsidRPr="006F3533" w:rsidRDefault="0039488E" w:rsidP="006F0DA0">
            <w:pPr>
              <w:contextualSpacing/>
              <w:jc w:val="both"/>
              <w:rPr>
                <w:rFonts w:cs="Times New Roman"/>
                <w:szCs w:val="24"/>
                <w:lang w:val="bg-BG"/>
              </w:rPr>
            </w:pPr>
          </w:p>
        </w:tc>
        <w:tc>
          <w:tcPr>
            <w:tcW w:w="515" w:type="pct"/>
          </w:tcPr>
          <w:p w14:paraId="415B24C2" w14:textId="77777777" w:rsidR="0039488E" w:rsidRPr="006F3533" w:rsidRDefault="0039488E" w:rsidP="006F0DA0">
            <w:pPr>
              <w:contextualSpacing/>
              <w:jc w:val="both"/>
              <w:rPr>
                <w:rFonts w:cs="Times New Roman"/>
                <w:szCs w:val="24"/>
                <w:lang w:val="bg-BG"/>
              </w:rPr>
            </w:pPr>
          </w:p>
        </w:tc>
        <w:tc>
          <w:tcPr>
            <w:tcW w:w="438" w:type="pct"/>
          </w:tcPr>
          <w:p w14:paraId="609DF693" w14:textId="77777777" w:rsidR="0039488E" w:rsidRPr="006F3533" w:rsidRDefault="0039488E" w:rsidP="006F0DA0">
            <w:pPr>
              <w:contextualSpacing/>
              <w:jc w:val="both"/>
              <w:rPr>
                <w:rFonts w:cs="Times New Roman"/>
                <w:szCs w:val="24"/>
                <w:lang w:val="bg-BG"/>
              </w:rPr>
            </w:pPr>
          </w:p>
        </w:tc>
        <w:tc>
          <w:tcPr>
            <w:tcW w:w="712" w:type="pct"/>
          </w:tcPr>
          <w:p w14:paraId="270945E9" w14:textId="77777777" w:rsidR="0039488E" w:rsidRPr="006F3533" w:rsidRDefault="0039488E" w:rsidP="006F0DA0">
            <w:pPr>
              <w:contextualSpacing/>
              <w:jc w:val="both"/>
              <w:rPr>
                <w:rFonts w:cs="Times New Roman"/>
                <w:szCs w:val="24"/>
                <w:lang w:val="bg-BG"/>
              </w:rPr>
            </w:pPr>
          </w:p>
        </w:tc>
        <w:tc>
          <w:tcPr>
            <w:tcW w:w="452" w:type="pct"/>
          </w:tcPr>
          <w:p w14:paraId="29CBD3B0" w14:textId="77777777" w:rsidR="0039488E" w:rsidRPr="006F3533" w:rsidRDefault="0039488E" w:rsidP="006F0DA0">
            <w:pPr>
              <w:contextualSpacing/>
              <w:jc w:val="both"/>
              <w:rPr>
                <w:rFonts w:cs="Times New Roman"/>
                <w:szCs w:val="24"/>
                <w:lang w:val="bg-BG"/>
              </w:rPr>
            </w:pPr>
          </w:p>
        </w:tc>
        <w:tc>
          <w:tcPr>
            <w:tcW w:w="452" w:type="pct"/>
          </w:tcPr>
          <w:p w14:paraId="0B84CAD3" w14:textId="77777777" w:rsidR="0039488E" w:rsidRPr="006F3533" w:rsidRDefault="0039488E" w:rsidP="006F0DA0">
            <w:pPr>
              <w:contextualSpacing/>
              <w:jc w:val="both"/>
              <w:rPr>
                <w:rFonts w:cs="Times New Roman"/>
                <w:szCs w:val="24"/>
                <w:lang w:val="bg-BG"/>
              </w:rPr>
            </w:pPr>
          </w:p>
        </w:tc>
      </w:tr>
      <w:tr w:rsidR="0039488E" w:rsidRPr="006F3533" w14:paraId="02674476" w14:textId="77777777" w:rsidTr="006B655E">
        <w:tc>
          <w:tcPr>
            <w:tcW w:w="1719" w:type="pct"/>
          </w:tcPr>
          <w:p w14:paraId="5BFDC227"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Other</w:t>
            </w:r>
            <w:proofErr w:type="spellEnd"/>
            <w:r w:rsidRPr="006F3533">
              <w:rPr>
                <w:rFonts w:cs="Times New Roman"/>
                <w:szCs w:val="24"/>
                <w:lang w:val="bg-BG"/>
              </w:rPr>
              <w:t xml:space="preserve"> </w:t>
            </w:r>
            <w:proofErr w:type="spellStart"/>
            <w:r w:rsidRPr="006F3533">
              <w:rPr>
                <w:rFonts w:cs="Times New Roman"/>
                <w:szCs w:val="24"/>
                <w:lang w:val="bg-BG"/>
              </w:rPr>
              <w:t>technical</w:t>
            </w:r>
            <w:proofErr w:type="spellEnd"/>
            <w:r w:rsidRPr="006F3533">
              <w:rPr>
                <w:rFonts w:cs="Times New Roman"/>
                <w:szCs w:val="24"/>
                <w:lang w:val="bg-BG"/>
              </w:rPr>
              <w:t xml:space="preserve"> </w:t>
            </w:r>
            <w:proofErr w:type="spellStart"/>
            <w:r w:rsidRPr="006F3533">
              <w:rPr>
                <w:rFonts w:cs="Times New Roman"/>
                <w:szCs w:val="24"/>
                <w:lang w:val="bg-BG"/>
              </w:rPr>
              <w:t>building</w:t>
            </w:r>
            <w:proofErr w:type="spellEnd"/>
            <w:r w:rsidRPr="006F3533">
              <w:rPr>
                <w:rFonts w:cs="Times New Roman"/>
                <w:szCs w:val="24"/>
                <w:lang w:val="bg-BG"/>
              </w:rPr>
              <w:t xml:space="preserve"> </w:t>
            </w:r>
            <w:proofErr w:type="spellStart"/>
            <w:r w:rsidRPr="006F3533">
              <w:rPr>
                <w:rFonts w:cs="Times New Roman"/>
                <w:szCs w:val="24"/>
                <w:lang w:val="bg-BG"/>
              </w:rPr>
              <w:t>systems</w:t>
            </w:r>
            <w:proofErr w:type="spellEnd"/>
          </w:p>
        </w:tc>
        <w:tc>
          <w:tcPr>
            <w:tcW w:w="712" w:type="pct"/>
          </w:tcPr>
          <w:p w14:paraId="310E4C14" w14:textId="77777777" w:rsidR="0039488E" w:rsidRPr="006F3533" w:rsidRDefault="0039488E" w:rsidP="006F0DA0">
            <w:pPr>
              <w:contextualSpacing/>
              <w:jc w:val="both"/>
              <w:rPr>
                <w:rFonts w:cs="Times New Roman"/>
                <w:szCs w:val="24"/>
                <w:lang w:val="bg-BG"/>
              </w:rPr>
            </w:pPr>
          </w:p>
        </w:tc>
        <w:tc>
          <w:tcPr>
            <w:tcW w:w="515" w:type="pct"/>
          </w:tcPr>
          <w:p w14:paraId="0C897170" w14:textId="77777777" w:rsidR="0039488E" w:rsidRPr="006F3533" w:rsidRDefault="0039488E" w:rsidP="006F0DA0">
            <w:pPr>
              <w:contextualSpacing/>
              <w:jc w:val="both"/>
              <w:rPr>
                <w:rFonts w:cs="Times New Roman"/>
                <w:szCs w:val="24"/>
                <w:lang w:val="bg-BG"/>
              </w:rPr>
            </w:pPr>
          </w:p>
        </w:tc>
        <w:tc>
          <w:tcPr>
            <w:tcW w:w="438" w:type="pct"/>
          </w:tcPr>
          <w:p w14:paraId="0FD184D2" w14:textId="77777777" w:rsidR="0039488E" w:rsidRPr="006F3533" w:rsidRDefault="0039488E" w:rsidP="006F0DA0">
            <w:pPr>
              <w:contextualSpacing/>
              <w:jc w:val="both"/>
              <w:rPr>
                <w:rFonts w:cs="Times New Roman"/>
                <w:szCs w:val="24"/>
                <w:lang w:val="bg-BG"/>
              </w:rPr>
            </w:pPr>
          </w:p>
        </w:tc>
        <w:tc>
          <w:tcPr>
            <w:tcW w:w="712" w:type="pct"/>
          </w:tcPr>
          <w:p w14:paraId="73E1296D" w14:textId="77777777" w:rsidR="0039488E" w:rsidRPr="006F3533" w:rsidRDefault="0039488E" w:rsidP="006F0DA0">
            <w:pPr>
              <w:contextualSpacing/>
              <w:jc w:val="both"/>
              <w:rPr>
                <w:rFonts w:cs="Times New Roman"/>
                <w:szCs w:val="24"/>
                <w:lang w:val="bg-BG"/>
              </w:rPr>
            </w:pPr>
          </w:p>
        </w:tc>
        <w:tc>
          <w:tcPr>
            <w:tcW w:w="452" w:type="pct"/>
          </w:tcPr>
          <w:p w14:paraId="1FFF4332" w14:textId="77777777" w:rsidR="0039488E" w:rsidRPr="006F3533" w:rsidRDefault="0039488E" w:rsidP="006F0DA0">
            <w:pPr>
              <w:contextualSpacing/>
              <w:jc w:val="both"/>
              <w:rPr>
                <w:rFonts w:cs="Times New Roman"/>
                <w:szCs w:val="24"/>
                <w:lang w:val="bg-BG"/>
              </w:rPr>
            </w:pPr>
          </w:p>
        </w:tc>
        <w:tc>
          <w:tcPr>
            <w:tcW w:w="452" w:type="pct"/>
          </w:tcPr>
          <w:p w14:paraId="1EC18DBD" w14:textId="77777777" w:rsidR="0039488E" w:rsidRPr="006F3533" w:rsidRDefault="0039488E" w:rsidP="006F0DA0">
            <w:pPr>
              <w:contextualSpacing/>
              <w:jc w:val="both"/>
              <w:rPr>
                <w:rFonts w:cs="Times New Roman"/>
                <w:szCs w:val="24"/>
                <w:lang w:val="bg-BG"/>
              </w:rPr>
            </w:pPr>
          </w:p>
        </w:tc>
      </w:tr>
      <w:tr w:rsidR="0039488E" w:rsidRPr="006F3533" w14:paraId="52CFF95C" w14:textId="77777777" w:rsidTr="006B655E">
        <w:tc>
          <w:tcPr>
            <w:tcW w:w="1719" w:type="pct"/>
          </w:tcPr>
          <w:p w14:paraId="4EBA0A3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 xml:space="preserve">Total </w:t>
            </w:r>
          </w:p>
        </w:tc>
        <w:tc>
          <w:tcPr>
            <w:tcW w:w="712" w:type="pct"/>
          </w:tcPr>
          <w:p w14:paraId="52265498" w14:textId="77777777" w:rsidR="0039488E" w:rsidRPr="006F3533" w:rsidRDefault="0039488E" w:rsidP="006F0DA0">
            <w:pPr>
              <w:contextualSpacing/>
              <w:jc w:val="both"/>
              <w:rPr>
                <w:rFonts w:cs="Times New Roman"/>
                <w:i/>
                <w:iCs/>
                <w:szCs w:val="24"/>
                <w:lang w:val="bg-BG"/>
              </w:rPr>
            </w:pPr>
            <w:r w:rsidRPr="006F3533">
              <w:rPr>
                <w:rFonts w:cs="Times New Roman"/>
                <w:i/>
                <w:iCs/>
                <w:szCs w:val="24"/>
                <w:lang w:val="bg-BG"/>
              </w:rPr>
              <w:t>[</w:t>
            </w:r>
            <w:proofErr w:type="spellStart"/>
            <w:r w:rsidRPr="006F3533">
              <w:rPr>
                <w:rFonts w:cs="Times New Roman"/>
                <w:i/>
                <w:iCs/>
                <w:szCs w:val="24"/>
                <w:lang w:val="bg-BG"/>
              </w:rPr>
              <w:t>Should</w:t>
            </w:r>
            <w:proofErr w:type="spellEnd"/>
            <w:r w:rsidRPr="006F3533">
              <w:rPr>
                <w:rFonts w:cs="Times New Roman"/>
                <w:i/>
                <w:iCs/>
                <w:szCs w:val="24"/>
                <w:lang w:val="bg-BG"/>
              </w:rPr>
              <w:t xml:space="preserve"> </w:t>
            </w:r>
            <w:proofErr w:type="spellStart"/>
            <w:r w:rsidRPr="006F3533">
              <w:rPr>
                <w:rFonts w:cs="Times New Roman"/>
                <w:i/>
                <w:iCs/>
                <w:szCs w:val="24"/>
                <w:lang w:val="bg-BG"/>
              </w:rPr>
              <w:t>match</w:t>
            </w:r>
            <w:proofErr w:type="spellEnd"/>
            <w:r w:rsidRPr="006F3533">
              <w:rPr>
                <w:rFonts w:cs="Times New Roman"/>
                <w:i/>
                <w:iCs/>
                <w:szCs w:val="24"/>
                <w:lang w:val="bg-BG"/>
              </w:rPr>
              <w:t xml:space="preserve"> </w:t>
            </w:r>
            <w:proofErr w:type="spellStart"/>
            <w:r w:rsidRPr="006F3533">
              <w:rPr>
                <w:rFonts w:cs="Times New Roman"/>
                <w:i/>
                <w:iCs/>
                <w:szCs w:val="24"/>
                <w:lang w:val="bg-BG"/>
              </w:rPr>
              <w:t>preceding</w:t>
            </w:r>
            <w:proofErr w:type="spellEnd"/>
            <w:r w:rsidRPr="006F3533">
              <w:rPr>
                <w:rFonts w:cs="Times New Roman"/>
                <w:i/>
                <w:iCs/>
                <w:szCs w:val="24"/>
                <w:lang w:val="bg-BG"/>
              </w:rPr>
              <w:t xml:space="preserve"> </w:t>
            </w:r>
            <w:proofErr w:type="spellStart"/>
            <w:r w:rsidRPr="006F3533">
              <w:rPr>
                <w:rFonts w:cs="Times New Roman"/>
                <w:i/>
                <w:iCs/>
                <w:szCs w:val="24"/>
                <w:lang w:val="bg-BG"/>
              </w:rPr>
              <w:t>table</w:t>
            </w:r>
            <w:proofErr w:type="spellEnd"/>
            <w:r w:rsidRPr="006F3533">
              <w:rPr>
                <w:rFonts w:cs="Times New Roman"/>
                <w:i/>
                <w:iCs/>
                <w:szCs w:val="24"/>
                <w:lang w:val="bg-BG"/>
              </w:rPr>
              <w:t>]</w:t>
            </w:r>
          </w:p>
        </w:tc>
        <w:tc>
          <w:tcPr>
            <w:tcW w:w="515" w:type="pct"/>
          </w:tcPr>
          <w:p w14:paraId="238824AF" w14:textId="77777777" w:rsidR="0039488E" w:rsidRPr="006F3533" w:rsidRDefault="0039488E" w:rsidP="006F0DA0">
            <w:pPr>
              <w:contextualSpacing/>
              <w:jc w:val="both"/>
              <w:rPr>
                <w:rFonts w:cs="Times New Roman"/>
                <w:i/>
                <w:iCs/>
                <w:szCs w:val="24"/>
                <w:lang w:val="bg-BG"/>
              </w:rPr>
            </w:pPr>
          </w:p>
        </w:tc>
        <w:tc>
          <w:tcPr>
            <w:tcW w:w="438" w:type="pct"/>
          </w:tcPr>
          <w:p w14:paraId="38F422C5" w14:textId="77777777" w:rsidR="0039488E" w:rsidRPr="006F3533" w:rsidRDefault="0039488E" w:rsidP="006F0DA0">
            <w:pPr>
              <w:contextualSpacing/>
              <w:jc w:val="both"/>
              <w:rPr>
                <w:rFonts w:cs="Times New Roman"/>
                <w:i/>
                <w:iCs/>
                <w:szCs w:val="24"/>
                <w:lang w:val="bg-BG"/>
              </w:rPr>
            </w:pPr>
          </w:p>
        </w:tc>
        <w:tc>
          <w:tcPr>
            <w:tcW w:w="712" w:type="pct"/>
          </w:tcPr>
          <w:p w14:paraId="08E6A734" w14:textId="77777777" w:rsidR="0039488E" w:rsidRPr="006F3533" w:rsidRDefault="0039488E" w:rsidP="006F0DA0">
            <w:pPr>
              <w:contextualSpacing/>
              <w:jc w:val="both"/>
              <w:rPr>
                <w:rFonts w:cs="Times New Roman"/>
                <w:i/>
                <w:iCs/>
                <w:szCs w:val="24"/>
                <w:lang w:val="bg-BG"/>
              </w:rPr>
            </w:pPr>
            <w:proofErr w:type="spellStart"/>
            <w:r w:rsidRPr="006F3533">
              <w:rPr>
                <w:rFonts w:cs="Times New Roman"/>
                <w:i/>
                <w:iCs/>
                <w:szCs w:val="24"/>
                <w:lang w:val="bg-BG"/>
              </w:rPr>
              <w:t>Should</w:t>
            </w:r>
            <w:proofErr w:type="spellEnd"/>
            <w:r w:rsidRPr="006F3533">
              <w:rPr>
                <w:rFonts w:cs="Times New Roman"/>
                <w:i/>
                <w:iCs/>
                <w:szCs w:val="24"/>
                <w:lang w:val="bg-BG"/>
              </w:rPr>
              <w:t xml:space="preserve"> </w:t>
            </w:r>
            <w:proofErr w:type="spellStart"/>
            <w:r w:rsidRPr="006F3533">
              <w:rPr>
                <w:rFonts w:cs="Times New Roman"/>
                <w:i/>
                <w:iCs/>
                <w:szCs w:val="24"/>
                <w:lang w:val="bg-BG"/>
              </w:rPr>
              <w:t>match</w:t>
            </w:r>
            <w:proofErr w:type="spellEnd"/>
            <w:r w:rsidRPr="006F3533">
              <w:rPr>
                <w:rFonts w:cs="Times New Roman"/>
                <w:i/>
                <w:iCs/>
                <w:szCs w:val="24"/>
                <w:lang w:val="bg-BG"/>
              </w:rPr>
              <w:t xml:space="preserve"> </w:t>
            </w:r>
            <w:proofErr w:type="spellStart"/>
            <w:r w:rsidRPr="006F3533">
              <w:rPr>
                <w:rFonts w:cs="Times New Roman"/>
                <w:i/>
                <w:iCs/>
                <w:szCs w:val="24"/>
                <w:lang w:val="bg-BG"/>
              </w:rPr>
              <w:t>preceding</w:t>
            </w:r>
            <w:proofErr w:type="spellEnd"/>
            <w:r w:rsidRPr="006F3533">
              <w:rPr>
                <w:rFonts w:cs="Times New Roman"/>
                <w:i/>
                <w:iCs/>
                <w:szCs w:val="24"/>
                <w:lang w:val="bg-BG"/>
              </w:rPr>
              <w:t xml:space="preserve"> </w:t>
            </w:r>
            <w:proofErr w:type="spellStart"/>
            <w:r w:rsidRPr="006F3533">
              <w:rPr>
                <w:rFonts w:cs="Times New Roman"/>
                <w:i/>
                <w:iCs/>
                <w:szCs w:val="24"/>
                <w:lang w:val="bg-BG"/>
              </w:rPr>
              <w:t>table</w:t>
            </w:r>
            <w:proofErr w:type="spellEnd"/>
            <w:r w:rsidRPr="006F3533">
              <w:rPr>
                <w:rFonts w:cs="Times New Roman"/>
                <w:i/>
                <w:iCs/>
                <w:szCs w:val="24"/>
                <w:lang w:val="bg-BG"/>
              </w:rPr>
              <w:t>]</w:t>
            </w:r>
          </w:p>
        </w:tc>
        <w:tc>
          <w:tcPr>
            <w:tcW w:w="452" w:type="pct"/>
          </w:tcPr>
          <w:p w14:paraId="13A91BE2" w14:textId="77777777" w:rsidR="0039488E" w:rsidRPr="006F3533" w:rsidRDefault="0039488E" w:rsidP="006F0DA0">
            <w:pPr>
              <w:contextualSpacing/>
              <w:jc w:val="both"/>
              <w:rPr>
                <w:rFonts w:cs="Times New Roman"/>
                <w:i/>
                <w:iCs/>
                <w:szCs w:val="24"/>
                <w:lang w:val="bg-BG"/>
              </w:rPr>
            </w:pPr>
          </w:p>
        </w:tc>
        <w:tc>
          <w:tcPr>
            <w:tcW w:w="452" w:type="pct"/>
          </w:tcPr>
          <w:p w14:paraId="599F6419" w14:textId="77777777" w:rsidR="0039488E" w:rsidRPr="006F3533" w:rsidRDefault="0039488E" w:rsidP="006F0DA0">
            <w:pPr>
              <w:contextualSpacing/>
              <w:jc w:val="both"/>
              <w:rPr>
                <w:rFonts w:cs="Times New Roman"/>
                <w:i/>
                <w:iCs/>
                <w:szCs w:val="24"/>
                <w:lang w:val="bg-BG"/>
              </w:rPr>
            </w:pPr>
          </w:p>
        </w:tc>
      </w:tr>
    </w:tbl>
    <w:p w14:paraId="0F9E15F1" w14:textId="77777777" w:rsidR="0039488E" w:rsidRPr="006F3533" w:rsidRDefault="0039488E" w:rsidP="006F0DA0">
      <w:pPr>
        <w:spacing w:before="100" w:beforeAutospacing="1" w:after="100" w:afterAutospacing="1" w:line="240" w:lineRule="auto"/>
        <w:jc w:val="both"/>
        <w:outlineLvl w:val="1"/>
        <w:rPr>
          <w:rFonts w:eastAsia="Times New Roman" w:cs="Times New Roman"/>
          <w:b/>
          <w:bCs/>
          <w:sz w:val="28"/>
          <w:szCs w:val="28"/>
          <w:lang w:val="bg-BG"/>
        </w:rPr>
      </w:pPr>
      <w:bookmarkStart w:id="172" w:name="_Toc217888808"/>
      <w:r w:rsidRPr="006F3533">
        <w:rPr>
          <w:rFonts w:eastAsia="Times New Roman" w:cs="Times New Roman"/>
          <w:b/>
          <w:bCs/>
          <w:sz w:val="28"/>
          <w:szCs w:val="28"/>
          <w:lang w:val="bg-BG"/>
        </w:rPr>
        <w:t>Фактори за първична енергия</w:t>
      </w:r>
      <w:bookmarkEnd w:id="172"/>
    </w:p>
    <w:p w14:paraId="3EBC7805"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Факторите за първична енергия, използвани при изчисляването на очакваното първично енергийно потребление на нежилищния сграден фонд, са представени в Таблица 17. За целите на настоящия план са използвани действащите към момента национални фактори за първична енергия за съответните енергийни ресурси.</w:t>
      </w:r>
    </w:p>
    <w:p w14:paraId="5F553DDE"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При изготвянето на прогнозите за 2030, 2040 и 2050 г. не са прилагани прогнозни или </w:t>
      </w:r>
      <w:proofErr w:type="spellStart"/>
      <w:r w:rsidRPr="006F3533">
        <w:rPr>
          <w:rFonts w:eastAsia="Times New Roman" w:cs="Times New Roman"/>
          <w:szCs w:val="24"/>
          <w:lang w:val="bg-BG" w:eastAsia="en-GB"/>
        </w:rPr>
        <w:t>сценарни</w:t>
      </w:r>
      <w:proofErr w:type="spellEnd"/>
      <w:r w:rsidRPr="006F3533">
        <w:rPr>
          <w:rFonts w:eastAsia="Times New Roman" w:cs="Times New Roman"/>
          <w:szCs w:val="24"/>
          <w:lang w:val="bg-BG" w:eastAsia="en-GB"/>
        </w:rPr>
        <w:t xml:space="preserve"> фактори за първична енергия, тъй като към момента не са налични официално определени или утвърдени стойности на такива фактори за бъдещи години. Поради това за всички разглеждани години са използвани едни и същи фактори за първична енергия, съответстващи на текущата нормативна рамка.</w:t>
      </w:r>
    </w:p>
    <w:p w14:paraId="6433569F"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Този подход води до консервативна оценка на очакваното първично енергийно потребление, тъй като при реалното развитие на енергийните системи се очаква първичната енергия, съответстваща на дадено ниво на крайно потребление, да бъде по-ниска от изчислената в настоящия план.</w:t>
      </w:r>
    </w:p>
    <w:p w14:paraId="208EFDF6"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В дългосрочен план се очаква промяна на факторите за първична енергия основно за два енергийни носителя</w:t>
      </w:r>
      <w:r w:rsidRPr="006F3533">
        <w:rPr>
          <w:rFonts w:eastAsia="Times New Roman" w:cs="Times New Roman"/>
          <w:b/>
          <w:bCs/>
          <w:szCs w:val="24"/>
          <w:lang w:val="bg-BG" w:eastAsia="en-GB"/>
        </w:rPr>
        <w:t>:</w:t>
      </w:r>
    </w:p>
    <w:p w14:paraId="28B184EF" w14:textId="77777777" w:rsidR="0039488E" w:rsidRPr="006F3533" w:rsidRDefault="0039488E" w:rsidP="00551FED">
      <w:pPr>
        <w:numPr>
          <w:ilvl w:val="0"/>
          <w:numId w:val="90"/>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електрическата енергия;</w:t>
      </w:r>
    </w:p>
    <w:p w14:paraId="3D459200" w14:textId="77777777" w:rsidR="0039488E" w:rsidRPr="006F3533" w:rsidRDefault="0039488E" w:rsidP="00551FED">
      <w:pPr>
        <w:numPr>
          <w:ilvl w:val="0"/>
          <w:numId w:val="90"/>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енергията, доставяна чрез системи за централно топлоснабдяване и охлаждане.</w:t>
      </w:r>
    </w:p>
    <w:p w14:paraId="30FEE749"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По отношение на електрическата енергия, очакваното намаляване на фактора за първична енергия е свързано с промяната в електроенергийния микс, характеризираща се с нарастващ дял на възобновяемите енергийни източници, постепенното извеждане </w:t>
      </w:r>
      <w:r w:rsidRPr="006F3533">
        <w:rPr>
          <w:rFonts w:eastAsia="Times New Roman" w:cs="Times New Roman"/>
          <w:szCs w:val="24"/>
          <w:lang w:val="bg-BG" w:eastAsia="en-GB"/>
        </w:rPr>
        <w:lastRenderedPageBreak/>
        <w:t>от експлоатация на въглеродно интензивни технологии и повишаване на ефективността на електроенергийната система на европейско и национално ниво.</w:t>
      </w:r>
    </w:p>
    <w:p w14:paraId="3DFBBAD4"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Що се отнася до централизираното топлоснабдяване, очакваното изменение на фактора за първична енергия е обусловено от прогресивното увеличаване на дела на енергията от възобновяеми източници и на оползотворената отпадна топлина. Тази тенденция е в съответствие с изискванията на член 26 от Директива (ЕС) 2023/1791 за енергийната ефективност, който поставя акцент върху развитието на ефективни системи за централизирано топлоснабдяване и охлаждане и тяхната трансформация към по-ниска първична енергийна интензивност и по-ниски емисии.</w:t>
      </w:r>
    </w:p>
    <w:p w14:paraId="7D3B32A6"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В рамките на дългосрочното национално планиране се приема, че тези политики и регулаторни изисквания ще доведат до постепенно нарастване на дела на възобновяемата енергия и оползотворената отпадна топлина в топлофикационните системи, в съответствие с общата европейска траектория за повишаване на енергийната ефективност и </w:t>
      </w:r>
      <w:proofErr w:type="spellStart"/>
      <w:r w:rsidRPr="006F3533">
        <w:rPr>
          <w:rFonts w:eastAsia="Times New Roman" w:cs="Times New Roman"/>
          <w:szCs w:val="24"/>
          <w:lang w:val="bg-BG" w:eastAsia="en-GB"/>
        </w:rPr>
        <w:t>декарбонизация</w:t>
      </w:r>
      <w:proofErr w:type="spellEnd"/>
      <w:r w:rsidRPr="006F3533">
        <w:rPr>
          <w:rFonts w:eastAsia="Times New Roman" w:cs="Times New Roman"/>
          <w:szCs w:val="24"/>
          <w:lang w:val="bg-BG" w:eastAsia="en-GB"/>
        </w:rPr>
        <w:t xml:space="preserve"> на сектора.</w:t>
      </w:r>
    </w:p>
    <w:p w14:paraId="63131020"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За останалите енергийни носители не се очакват съществени промени във факторите за първична енергия спрямо действащите национални стойности.</w:t>
      </w:r>
    </w:p>
    <w:p w14:paraId="6D5E8559"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При бъдещо приемане на официално актуализирани фактори за първична енергия на национално или европейско ниво, съответните стойности ще бъдат взети предвид при отчитането на резултатите и ще бъдат отразени в следващите актуализации на </w:t>
      </w:r>
      <w:r w:rsidRPr="006F3533">
        <w:rPr>
          <w:rFonts w:eastAsia="Times New Roman" w:cs="Times New Roman"/>
          <w:i/>
          <w:iCs/>
          <w:szCs w:val="24"/>
          <w:lang w:val="bg-BG" w:eastAsia="en-GB"/>
        </w:rPr>
        <w:t>Националния план за обновяване на сградите</w:t>
      </w:r>
      <w:r w:rsidRPr="006F3533">
        <w:rPr>
          <w:rFonts w:eastAsia="Times New Roman" w:cs="Times New Roman"/>
          <w:szCs w:val="24"/>
          <w:lang w:val="bg-BG" w:eastAsia="en-GB"/>
        </w:rPr>
        <w:t>.</w:t>
      </w:r>
    </w:p>
    <w:p w14:paraId="5E2E8C7C" w14:textId="77777777" w:rsidR="0039488E" w:rsidRPr="006F3533" w:rsidRDefault="0039488E" w:rsidP="00404BDD">
      <w:pPr>
        <w:spacing w:line="240" w:lineRule="auto"/>
        <w:contextualSpacing/>
        <w:jc w:val="both"/>
        <w:rPr>
          <w:rFonts w:cs="Times New Roman"/>
          <w:i/>
          <w:iCs/>
          <w:szCs w:val="24"/>
          <w:lang w:val="bg-BG"/>
        </w:rPr>
      </w:pPr>
      <w:r w:rsidRPr="006F3533">
        <w:rPr>
          <w:rFonts w:cs="Times New Roman"/>
          <w:i/>
          <w:iCs/>
          <w:color w:val="4472C4" w:themeColor="accent1"/>
          <w:szCs w:val="24"/>
          <w:lang w:val="bg-BG"/>
        </w:rPr>
        <w:t>Таблица 17. Използвани фактори за първична енергия за изчисленията на първичното потребление на енергия за  периода 2030-2050 г.</w:t>
      </w:r>
      <w:r w:rsidRPr="006F3533">
        <w:rPr>
          <w:rFonts w:cs="Times New Roman"/>
          <w:i/>
          <w:iCs/>
          <w:szCs w:val="24"/>
          <w:lang w:val="bg-BG"/>
        </w:rPr>
        <w:t xml:space="preserve"> </w:t>
      </w:r>
    </w:p>
    <w:p w14:paraId="59CC7EF9" w14:textId="77777777" w:rsidR="00404BDD" w:rsidRPr="006F3533" w:rsidRDefault="00404BDD" w:rsidP="00404BDD">
      <w:pPr>
        <w:spacing w:line="240" w:lineRule="auto"/>
        <w:contextualSpacing/>
        <w:jc w:val="both"/>
        <w:rPr>
          <w:rFonts w:cs="Times New Roman"/>
          <w:i/>
          <w:iCs/>
          <w:szCs w:val="24"/>
          <w:lang w:val="bg-BG"/>
        </w:rPr>
      </w:pPr>
    </w:p>
    <w:tbl>
      <w:tblPr>
        <w:tblStyle w:val="TableGrid"/>
        <w:tblW w:w="5000" w:type="pct"/>
        <w:tblLook w:val="04A0" w:firstRow="1" w:lastRow="0" w:firstColumn="1" w:lastColumn="0" w:noHBand="0" w:noVBand="1"/>
      </w:tblPr>
      <w:tblGrid>
        <w:gridCol w:w="2028"/>
        <w:gridCol w:w="770"/>
        <w:gridCol w:w="770"/>
        <w:gridCol w:w="807"/>
        <w:gridCol w:w="765"/>
        <w:gridCol w:w="772"/>
        <w:gridCol w:w="845"/>
        <w:gridCol w:w="765"/>
        <w:gridCol w:w="770"/>
        <w:gridCol w:w="770"/>
      </w:tblGrid>
      <w:tr w:rsidR="0039488E" w:rsidRPr="006F3533" w14:paraId="1783C63C" w14:textId="77777777" w:rsidTr="00404BDD">
        <w:tc>
          <w:tcPr>
            <w:tcW w:w="1119" w:type="pct"/>
            <w:vMerge w:val="restart"/>
            <w:shd w:val="clear" w:color="auto" w:fill="D9D9D9" w:themeFill="background1" w:themeFillShade="D9"/>
          </w:tcPr>
          <w:p w14:paraId="3AD05347"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Primary</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factors</w:t>
            </w:r>
            <w:proofErr w:type="spellEnd"/>
            <w:r w:rsidRPr="006F3533">
              <w:rPr>
                <w:rFonts w:cs="Times New Roman"/>
                <w:szCs w:val="24"/>
                <w:lang w:val="bg-BG"/>
              </w:rPr>
              <w:t xml:space="preserve"> </w:t>
            </w:r>
            <w:proofErr w:type="spellStart"/>
            <w:r w:rsidRPr="006F3533">
              <w:rPr>
                <w:rFonts w:cs="Times New Roman"/>
                <w:szCs w:val="24"/>
                <w:lang w:val="bg-BG"/>
              </w:rPr>
              <w:t>per</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carrier</w:t>
            </w:r>
            <w:proofErr w:type="spellEnd"/>
          </w:p>
        </w:tc>
        <w:tc>
          <w:tcPr>
            <w:tcW w:w="1295" w:type="pct"/>
            <w:gridSpan w:val="3"/>
            <w:shd w:val="clear" w:color="auto" w:fill="D9D9D9" w:themeFill="background1" w:themeFillShade="D9"/>
          </w:tcPr>
          <w:p w14:paraId="6517A9A6"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Non-Renewable</w:t>
            </w:r>
            <w:proofErr w:type="spellEnd"/>
            <w:r w:rsidRPr="006F3533">
              <w:rPr>
                <w:rFonts w:cs="Times New Roman"/>
                <w:szCs w:val="24"/>
                <w:lang w:val="bg-BG"/>
              </w:rPr>
              <w:t xml:space="preserve"> (NREN)</w:t>
            </w:r>
          </w:p>
          <w:p w14:paraId="57D443DC" w14:textId="77777777" w:rsidR="0039488E" w:rsidRPr="006F3533" w:rsidRDefault="0039488E" w:rsidP="006F0DA0">
            <w:pPr>
              <w:contextualSpacing/>
              <w:jc w:val="both"/>
              <w:rPr>
                <w:rFonts w:cs="Times New Roman"/>
                <w:szCs w:val="24"/>
                <w:lang w:val="bg-BG"/>
              </w:rPr>
            </w:pPr>
          </w:p>
        </w:tc>
        <w:tc>
          <w:tcPr>
            <w:tcW w:w="1313" w:type="pct"/>
            <w:gridSpan w:val="3"/>
            <w:shd w:val="clear" w:color="auto" w:fill="D9D9D9" w:themeFill="background1" w:themeFillShade="D9"/>
          </w:tcPr>
          <w:p w14:paraId="053C20BF"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Renewable</w:t>
            </w:r>
            <w:proofErr w:type="spellEnd"/>
            <w:r w:rsidRPr="006F3533">
              <w:rPr>
                <w:rFonts w:cs="Times New Roman"/>
                <w:szCs w:val="24"/>
                <w:lang w:val="bg-BG"/>
              </w:rPr>
              <w:t xml:space="preserve"> (REN)</w:t>
            </w:r>
          </w:p>
          <w:p w14:paraId="6EC10059" w14:textId="77777777" w:rsidR="0039488E" w:rsidRPr="006F3533" w:rsidRDefault="0039488E" w:rsidP="006F0DA0">
            <w:pPr>
              <w:contextualSpacing/>
              <w:jc w:val="both"/>
              <w:rPr>
                <w:rFonts w:cs="Times New Roman"/>
                <w:szCs w:val="24"/>
                <w:lang w:val="bg-BG"/>
              </w:rPr>
            </w:pPr>
          </w:p>
        </w:tc>
        <w:tc>
          <w:tcPr>
            <w:tcW w:w="1272" w:type="pct"/>
            <w:gridSpan w:val="3"/>
            <w:shd w:val="clear" w:color="auto" w:fill="D9D9D9" w:themeFill="background1" w:themeFillShade="D9"/>
          </w:tcPr>
          <w:p w14:paraId="7D3742AD"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Total</w:t>
            </w:r>
          </w:p>
          <w:p w14:paraId="4C05D9DD" w14:textId="77777777" w:rsidR="0039488E" w:rsidRPr="006F3533" w:rsidRDefault="0039488E" w:rsidP="006F0DA0">
            <w:pPr>
              <w:contextualSpacing/>
              <w:jc w:val="both"/>
              <w:rPr>
                <w:rFonts w:cs="Times New Roman"/>
                <w:szCs w:val="24"/>
                <w:lang w:val="bg-BG"/>
              </w:rPr>
            </w:pPr>
          </w:p>
        </w:tc>
      </w:tr>
      <w:tr w:rsidR="0039488E" w:rsidRPr="006F3533" w14:paraId="782F7727" w14:textId="77777777" w:rsidTr="00404BDD">
        <w:tc>
          <w:tcPr>
            <w:tcW w:w="1119" w:type="pct"/>
            <w:vMerge/>
            <w:shd w:val="clear" w:color="auto" w:fill="D9D9D9" w:themeFill="background1" w:themeFillShade="D9"/>
          </w:tcPr>
          <w:p w14:paraId="3558A232" w14:textId="77777777" w:rsidR="0039488E" w:rsidRPr="006F3533" w:rsidRDefault="0039488E" w:rsidP="006F0DA0">
            <w:pPr>
              <w:contextualSpacing/>
              <w:jc w:val="both"/>
              <w:rPr>
                <w:rFonts w:cs="Times New Roman"/>
                <w:szCs w:val="24"/>
                <w:lang w:val="bg-BG"/>
              </w:rPr>
            </w:pPr>
          </w:p>
        </w:tc>
        <w:tc>
          <w:tcPr>
            <w:tcW w:w="425" w:type="pct"/>
            <w:shd w:val="clear" w:color="auto" w:fill="D9D9D9" w:themeFill="background1" w:themeFillShade="D9"/>
          </w:tcPr>
          <w:p w14:paraId="24532D0F"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2030</w:t>
            </w:r>
          </w:p>
        </w:tc>
        <w:tc>
          <w:tcPr>
            <w:tcW w:w="425" w:type="pct"/>
            <w:shd w:val="clear" w:color="auto" w:fill="D9D9D9" w:themeFill="background1" w:themeFillShade="D9"/>
          </w:tcPr>
          <w:p w14:paraId="25F46A9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2040</w:t>
            </w:r>
          </w:p>
        </w:tc>
        <w:tc>
          <w:tcPr>
            <w:tcW w:w="445" w:type="pct"/>
            <w:shd w:val="clear" w:color="auto" w:fill="D9D9D9" w:themeFill="background1" w:themeFillShade="D9"/>
          </w:tcPr>
          <w:p w14:paraId="2CA93FE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2050</w:t>
            </w:r>
          </w:p>
        </w:tc>
        <w:tc>
          <w:tcPr>
            <w:tcW w:w="422" w:type="pct"/>
            <w:shd w:val="clear" w:color="auto" w:fill="D9D9D9" w:themeFill="background1" w:themeFillShade="D9"/>
          </w:tcPr>
          <w:p w14:paraId="7404503C"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2030</w:t>
            </w:r>
          </w:p>
        </w:tc>
        <w:tc>
          <w:tcPr>
            <w:tcW w:w="426" w:type="pct"/>
            <w:shd w:val="clear" w:color="auto" w:fill="D9D9D9" w:themeFill="background1" w:themeFillShade="D9"/>
          </w:tcPr>
          <w:p w14:paraId="64870229"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2040</w:t>
            </w:r>
          </w:p>
        </w:tc>
        <w:tc>
          <w:tcPr>
            <w:tcW w:w="466" w:type="pct"/>
            <w:shd w:val="clear" w:color="auto" w:fill="D9D9D9" w:themeFill="background1" w:themeFillShade="D9"/>
          </w:tcPr>
          <w:p w14:paraId="2A6ABC2F"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2050</w:t>
            </w:r>
          </w:p>
        </w:tc>
        <w:tc>
          <w:tcPr>
            <w:tcW w:w="422" w:type="pct"/>
            <w:shd w:val="clear" w:color="auto" w:fill="D9D9D9" w:themeFill="background1" w:themeFillShade="D9"/>
          </w:tcPr>
          <w:p w14:paraId="5BC21005"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2030</w:t>
            </w:r>
          </w:p>
        </w:tc>
        <w:tc>
          <w:tcPr>
            <w:tcW w:w="425" w:type="pct"/>
            <w:shd w:val="clear" w:color="auto" w:fill="D9D9D9" w:themeFill="background1" w:themeFillShade="D9"/>
          </w:tcPr>
          <w:p w14:paraId="3EED6B7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2040</w:t>
            </w:r>
          </w:p>
        </w:tc>
        <w:tc>
          <w:tcPr>
            <w:tcW w:w="426" w:type="pct"/>
            <w:shd w:val="clear" w:color="auto" w:fill="D9D9D9" w:themeFill="background1" w:themeFillShade="D9"/>
          </w:tcPr>
          <w:p w14:paraId="3540209A"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2050</w:t>
            </w:r>
          </w:p>
        </w:tc>
      </w:tr>
      <w:tr w:rsidR="0039488E" w:rsidRPr="006F3533" w14:paraId="0FCA0254" w14:textId="77777777" w:rsidTr="00404BDD">
        <w:tc>
          <w:tcPr>
            <w:tcW w:w="1119" w:type="pct"/>
          </w:tcPr>
          <w:p w14:paraId="4FFB10BF"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Gas</w:t>
            </w:r>
            <w:proofErr w:type="spellEnd"/>
          </w:p>
        </w:tc>
        <w:tc>
          <w:tcPr>
            <w:tcW w:w="425" w:type="pct"/>
          </w:tcPr>
          <w:p w14:paraId="6DBE59B5"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5" w:type="pct"/>
          </w:tcPr>
          <w:p w14:paraId="3A846B4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45" w:type="pct"/>
          </w:tcPr>
          <w:p w14:paraId="0514DD8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2" w:type="pct"/>
          </w:tcPr>
          <w:p w14:paraId="0C82A616"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6" w:type="pct"/>
          </w:tcPr>
          <w:p w14:paraId="0B2A560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66" w:type="pct"/>
          </w:tcPr>
          <w:p w14:paraId="72327785"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2" w:type="pct"/>
          </w:tcPr>
          <w:p w14:paraId="15201FA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5" w:type="pct"/>
          </w:tcPr>
          <w:p w14:paraId="0C6A362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6" w:type="pct"/>
          </w:tcPr>
          <w:p w14:paraId="61AB9D9A"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r>
      <w:tr w:rsidR="0039488E" w:rsidRPr="006F3533" w14:paraId="309B4443" w14:textId="77777777" w:rsidTr="00404BDD">
        <w:tc>
          <w:tcPr>
            <w:tcW w:w="1119" w:type="pct"/>
          </w:tcPr>
          <w:p w14:paraId="53C7FAC6"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Electricity</w:t>
            </w:r>
            <w:proofErr w:type="spellEnd"/>
            <w:r w:rsidRPr="006F3533">
              <w:rPr>
                <w:rFonts w:cs="Times New Roman"/>
                <w:szCs w:val="24"/>
                <w:lang w:val="bg-BG"/>
              </w:rPr>
              <w:t xml:space="preserve"> </w:t>
            </w:r>
            <w:proofErr w:type="spellStart"/>
            <w:r w:rsidRPr="006F3533">
              <w:rPr>
                <w:rFonts w:cs="Times New Roman"/>
                <w:szCs w:val="24"/>
                <w:lang w:val="bg-BG"/>
              </w:rPr>
              <w:t>grid</w:t>
            </w:r>
            <w:proofErr w:type="spellEnd"/>
          </w:p>
        </w:tc>
        <w:tc>
          <w:tcPr>
            <w:tcW w:w="425" w:type="pct"/>
          </w:tcPr>
          <w:p w14:paraId="39EC68DA"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2,3</w:t>
            </w:r>
          </w:p>
        </w:tc>
        <w:tc>
          <w:tcPr>
            <w:tcW w:w="425" w:type="pct"/>
          </w:tcPr>
          <w:p w14:paraId="3D7F54C1"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2,3</w:t>
            </w:r>
          </w:p>
        </w:tc>
        <w:tc>
          <w:tcPr>
            <w:tcW w:w="445" w:type="pct"/>
          </w:tcPr>
          <w:p w14:paraId="58E3369F"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2,3</w:t>
            </w:r>
          </w:p>
        </w:tc>
        <w:tc>
          <w:tcPr>
            <w:tcW w:w="422" w:type="pct"/>
          </w:tcPr>
          <w:p w14:paraId="1FB348AE"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0,2</w:t>
            </w:r>
          </w:p>
        </w:tc>
        <w:tc>
          <w:tcPr>
            <w:tcW w:w="426" w:type="pct"/>
          </w:tcPr>
          <w:p w14:paraId="3BF809A9"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0,2</w:t>
            </w:r>
          </w:p>
        </w:tc>
        <w:tc>
          <w:tcPr>
            <w:tcW w:w="466" w:type="pct"/>
          </w:tcPr>
          <w:p w14:paraId="3597790E"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0,2</w:t>
            </w:r>
          </w:p>
        </w:tc>
        <w:tc>
          <w:tcPr>
            <w:tcW w:w="422" w:type="pct"/>
          </w:tcPr>
          <w:p w14:paraId="0F0BCDB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2,5</w:t>
            </w:r>
          </w:p>
        </w:tc>
        <w:tc>
          <w:tcPr>
            <w:tcW w:w="425" w:type="pct"/>
          </w:tcPr>
          <w:p w14:paraId="52DF2E08"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2,5</w:t>
            </w:r>
          </w:p>
        </w:tc>
        <w:tc>
          <w:tcPr>
            <w:tcW w:w="426" w:type="pct"/>
          </w:tcPr>
          <w:p w14:paraId="56F5D939"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2,5</w:t>
            </w:r>
          </w:p>
        </w:tc>
      </w:tr>
      <w:tr w:rsidR="0039488E" w:rsidRPr="006F3533" w14:paraId="02B2F4F5" w14:textId="77777777" w:rsidTr="00404BDD">
        <w:tc>
          <w:tcPr>
            <w:tcW w:w="1119" w:type="pct"/>
          </w:tcPr>
          <w:p w14:paraId="4F968F09"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Oil</w:t>
            </w:r>
          </w:p>
        </w:tc>
        <w:tc>
          <w:tcPr>
            <w:tcW w:w="425" w:type="pct"/>
          </w:tcPr>
          <w:p w14:paraId="5DFA3E29"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5" w:type="pct"/>
          </w:tcPr>
          <w:p w14:paraId="642F885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45" w:type="pct"/>
          </w:tcPr>
          <w:p w14:paraId="0E8DEBC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2" w:type="pct"/>
          </w:tcPr>
          <w:p w14:paraId="759A6B3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6" w:type="pct"/>
          </w:tcPr>
          <w:p w14:paraId="4010BD01"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66" w:type="pct"/>
          </w:tcPr>
          <w:p w14:paraId="5D2FB1E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2" w:type="pct"/>
          </w:tcPr>
          <w:p w14:paraId="09C8729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5" w:type="pct"/>
          </w:tcPr>
          <w:p w14:paraId="69DFC60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6" w:type="pct"/>
          </w:tcPr>
          <w:p w14:paraId="48BC812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r>
      <w:tr w:rsidR="0039488E" w:rsidRPr="006F3533" w14:paraId="541CB111" w14:textId="77777777" w:rsidTr="00404BDD">
        <w:tc>
          <w:tcPr>
            <w:tcW w:w="1119" w:type="pct"/>
          </w:tcPr>
          <w:p w14:paraId="266C1B4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GPL</w:t>
            </w:r>
          </w:p>
        </w:tc>
        <w:tc>
          <w:tcPr>
            <w:tcW w:w="425" w:type="pct"/>
          </w:tcPr>
          <w:p w14:paraId="1C5FE03F"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425" w:type="pct"/>
          </w:tcPr>
          <w:p w14:paraId="252A8CC2"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445" w:type="pct"/>
          </w:tcPr>
          <w:p w14:paraId="6C66A6F8"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422" w:type="pct"/>
          </w:tcPr>
          <w:p w14:paraId="392076A6"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426" w:type="pct"/>
          </w:tcPr>
          <w:p w14:paraId="2D749034"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466" w:type="pct"/>
          </w:tcPr>
          <w:p w14:paraId="6BCCE2D2"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422" w:type="pct"/>
          </w:tcPr>
          <w:p w14:paraId="2E267A84"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425" w:type="pct"/>
          </w:tcPr>
          <w:p w14:paraId="1536E6E8"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c>
          <w:tcPr>
            <w:tcW w:w="426" w:type="pct"/>
          </w:tcPr>
          <w:p w14:paraId="76451AA9"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n.a</w:t>
            </w:r>
            <w:proofErr w:type="spellEnd"/>
            <w:r w:rsidRPr="006F3533">
              <w:rPr>
                <w:rFonts w:cs="Times New Roman"/>
                <w:szCs w:val="24"/>
                <w:lang w:val="bg-BG"/>
              </w:rPr>
              <w:t>.</w:t>
            </w:r>
          </w:p>
        </w:tc>
      </w:tr>
      <w:tr w:rsidR="0039488E" w:rsidRPr="006F3533" w14:paraId="18113F10" w14:textId="77777777" w:rsidTr="00404BDD">
        <w:tc>
          <w:tcPr>
            <w:tcW w:w="1119" w:type="pct"/>
          </w:tcPr>
          <w:p w14:paraId="6BC1B3C3"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Coal</w:t>
            </w:r>
            <w:proofErr w:type="spellEnd"/>
          </w:p>
        </w:tc>
        <w:tc>
          <w:tcPr>
            <w:tcW w:w="425" w:type="pct"/>
          </w:tcPr>
          <w:p w14:paraId="011A30D6"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5" w:type="pct"/>
          </w:tcPr>
          <w:p w14:paraId="64D031E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45" w:type="pct"/>
          </w:tcPr>
          <w:p w14:paraId="2217FCB6"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2" w:type="pct"/>
          </w:tcPr>
          <w:p w14:paraId="0D46861F"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6" w:type="pct"/>
          </w:tcPr>
          <w:p w14:paraId="659408FC"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66" w:type="pct"/>
          </w:tcPr>
          <w:p w14:paraId="7B298E7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2" w:type="pct"/>
          </w:tcPr>
          <w:p w14:paraId="044AC8FE"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5" w:type="pct"/>
          </w:tcPr>
          <w:p w14:paraId="440D6B7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c>
          <w:tcPr>
            <w:tcW w:w="426" w:type="pct"/>
          </w:tcPr>
          <w:p w14:paraId="51DFF6F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1,1</w:t>
            </w:r>
          </w:p>
        </w:tc>
      </w:tr>
      <w:tr w:rsidR="0039488E" w:rsidRPr="006F3533" w14:paraId="4F0BA6B4" w14:textId="77777777" w:rsidTr="00404BDD">
        <w:tc>
          <w:tcPr>
            <w:tcW w:w="1119" w:type="pct"/>
          </w:tcPr>
          <w:p w14:paraId="68AD1589"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Solid</w:t>
            </w:r>
            <w:proofErr w:type="spellEnd"/>
            <w:r w:rsidRPr="006F3533">
              <w:rPr>
                <w:rFonts w:cs="Times New Roman"/>
                <w:szCs w:val="24"/>
                <w:lang w:val="bg-BG"/>
              </w:rPr>
              <w:t xml:space="preserve"> </w:t>
            </w:r>
            <w:proofErr w:type="spellStart"/>
            <w:r w:rsidRPr="006F3533">
              <w:rPr>
                <w:rFonts w:cs="Times New Roman"/>
                <w:szCs w:val="24"/>
                <w:lang w:val="bg-BG"/>
              </w:rPr>
              <w:t>Biomass</w:t>
            </w:r>
            <w:proofErr w:type="spellEnd"/>
          </w:p>
        </w:tc>
        <w:tc>
          <w:tcPr>
            <w:tcW w:w="425" w:type="pct"/>
          </w:tcPr>
          <w:p w14:paraId="532028F9"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0,2</w:t>
            </w:r>
          </w:p>
        </w:tc>
        <w:tc>
          <w:tcPr>
            <w:tcW w:w="425" w:type="pct"/>
          </w:tcPr>
          <w:p w14:paraId="13D0AA2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0,2</w:t>
            </w:r>
          </w:p>
        </w:tc>
        <w:tc>
          <w:tcPr>
            <w:tcW w:w="445" w:type="pct"/>
          </w:tcPr>
          <w:p w14:paraId="471B8D61"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0,2</w:t>
            </w:r>
          </w:p>
        </w:tc>
        <w:tc>
          <w:tcPr>
            <w:tcW w:w="422" w:type="pct"/>
          </w:tcPr>
          <w:p w14:paraId="070B9078"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61B1F0F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66" w:type="pct"/>
          </w:tcPr>
          <w:p w14:paraId="0276BF87"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2" w:type="pct"/>
          </w:tcPr>
          <w:p w14:paraId="209E589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1,2</w:t>
            </w:r>
          </w:p>
        </w:tc>
        <w:tc>
          <w:tcPr>
            <w:tcW w:w="425" w:type="pct"/>
          </w:tcPr>
          <w:p w14:paraId="75B860D5"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1,2</w:t>
            </w:r>
          </w:p>
        </w:tc>
        <w:tc>
          <w:tcPr>
            <w:tcW w:w="426" w:type="pct"/>
          </w:tcPr>
          <w:p w14:paraId="3D67B807"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1,2</w:t>
            </w:r>
          </w:p>
        </w:tc>
      </w:tr>
      <w:tr w:rsidR="0039488E" w:rsidRPr="006F3533" w14:paraId="1392D9D9" w14:textId="77777777" w:rsidTr="00404BDD">
        <w:tc>
          <w:tcPr>
            <w:tcW w:w="1119" w:type="pct"/>
          </w:tcPr>
          <w:p w14:paraId="0D073025"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Liquid</w:t>
            </w:r>
            <w:proofErr w:type="spellEnd"/>
            <w:r w:rsidRPr="006F3533">
              <w:rPr>
                <w:rFonts w:cs="Times New Roman"/>
                <w:szCs w:val="24"/>
                <w:lang w:val="bg-BG"/>
              </w:rPr>
              <w:t xml:space="preserve"> </w:t>
            </w:r>
            <w:proofErr w:type="spellStart"/>
            <w:r w:rsidRPr="006F3533">
              <w:rPr>
                <w:rFonts w:cs="Times New Roman"/>
                <w:szCs w:val="24"/>
                <w:lang w:val="bg-BG"/>
              </w:rPr>
              <w:t>Biomass</w:t>
            </w:r>
            <w:proofErr w:type="spellEnd"/>
          </w:p>
        </w:tc>
        <w:tc>
          <w:tcPr>
            <w:tcW w:w="425" w:type="pct"/>
          </w:tcPr>
          <w:p w14:paraId="67CEAC5E"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0,5</w:t>
            </w:r>
          </w:p>
        </w:tc>
        <w:tc>
          <w:tcPr>
            <w:tcW w:w="425" w:type="pct"/>
          </w:tcPr>
          <w:p w14:paraId="7EB7837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0,5</w:t>
            </w:r>
          </w:p>
        </w:tc>
        <w:tc>
          <w:tcPr>
            <w:tcW w:w="445" w:type="pct"/>
          </w:tcPr>
          <w:p w14:paraId="613A521A"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0,5</w:t>
            </w:r>
          </w:p>
        </w:tc>
        <w:tc>
          <w:tcPr>
            <w:tcW w:w="422" w:type="pct"/>
          </w:tcPr>
          <w:p w14:paraId="156C976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01F7EEE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66" w:type="pct"/>
          </w:tcPr>
          <w:p w14:paraId="1F93FFA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2" w:type="pct"/>
          </w:tcPr>
          <w:p w14:paraId="0BC2D827"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1,5</w:t>
            </w:r>
          </w:p>
        </w:tc>
        <w:tc>
          <w:tcPr>
            <w:tcW w:w="425" w:type="pct"/>
          </w:tcPr>
          <w:p w14:paraId="4CEB02A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1,5</w:t>
            </w:r>
          </w:p>
        </w:tc>
        <w:tc>
          <w:tcPr>
            <w:tcW w:w="426" w:type="pct"/>
          </w:tcPr>
          <w:p w14:paraId="6ED2444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1,5</w:t>
            </w:r>
          </w:p>
        </w:tc>
      </w:tr>
      <w:tr w:rsidR="0039488E" w:rsidRPr="006F3533" w14:paraId="7BE0432E" w14:textId="77777777" w:rsidTr="00404BDD">
        <w:tc>
          <w:tcPr>
            <w:tcW w:w="1119" w:type="pct"/>
          </w:tcPr>
          <w:p w14:paraId="03BC2331"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Solar</w:t>
            </w:r>
            <w:proofErr w:type="spellEnd"/>
            <w:r w:rsidRPr="006F3533">
              <w:rPr>
                <w:rFonts w:cs="Times New Roman"/>
                <w:szCs w:val="24"/>
                <w:lang w:val="bg-BG"/>
              </w:rPr>
              <w:t xml:space="preserve"> PV</w:t>
            </w:r>
          </w:p>
        </w:tc>
        <w:tc>
          <w:tcPr>
            <w:tcW w:w="425" w:type="pct"/>
          </w:tcPr>
          <w:p w14:paraId="639EBB9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5" w:type="pct"/>
          </w:tcPr>
          <w:p w14:paraId="5B901AF9"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45" w:type="pct"/>
          </w:tcPr>
          <w:p w14:paraId="4267B15A"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2" w:type="pct"/>
          </w:tcPr>
          <w:p w14:paraId="1F0B9CF1"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1B909BD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66" w:type="pct"/>
          </w:tcPr>
          <w:p w14:paraId="15B6B211"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2" w:type="pct"/>
          </w:tcPr>
          <w:p w14:paraId="1CD9E36F"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5" w:type="pct"/>
          </w:tcPr>
          <w:p w14:paraId="6DF6E81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3431F71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r>
      <w:tr w:rsidR="0039488E" w:rsidRPr="006F3533" w14:paraId="65A424D5" w14:textId="77777777" w:rsidTr="00404BDD">
        <w:tc>
          <w:tcPr>
            <w:tcW w:w="1119" w:type="pct"/>
          </w:tcPr>
          <w:p w14:paraId="657E2D27"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Solar</w:t>
            </w:r>
            <w:proofErr w:type="spellEnd"/>
            <w:r w:rsidRPr="006F3533">
              <w:rPr>
                <w:rFonts w:cs="Times New Roman"/>
                <w:szCs w:val="24"/>
                <w:lang w:val="bg-BG"/>
              </w:rPr>
              <w:t xml:space="preserve"> </w:t>
            </w:r>
            <w:proofErr w:type="spellStart"/>
            <w:r w:rsidRPr="006F3533">
              <w:rPr>
                <w:rFonts w:cs="Times New Roman"/>
                <w:szCs w:val="24"/>
                <w:lang w:val="bg-BG"/>
              </w:rPr>
              <w:t>thermal</w:t>
            </w:r>
            <w:proofErr w:type="spellEnd"/>
          </w:p>
        </w:tc>
        <w:tc>
          <w:tcPr>
            <w:tcW w:w="425" w:type="pct"/>
          </w:tcPr>
          <w:p w14:paraId="34970B4F"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5" w:type="pct"/>
          </w:tcPr>
          <w:p w14:paraId="21999CE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45" w:type="pct"/>
          </w:tcPr>
          <w:p w14:paraId="1D24530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2" w:type="pct"/>
          </w:tcPr>
          <w:p w14:paraId="1591437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00D576D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66" w:type="pct"/>
          </w:tcPr>
          <w:p w14:paraId="183BA97C"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2" w:type="pct"/>
          </w:tcPr>
          <w:p w14:paraId="43E1BC0F"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5" w:type="pct"/>
          </w:tcPr>
          <w:p w14:paraId="45F871C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673133F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r>
      <w:tr w:rsidR="0039488E" w:rsidRPr="006F3533" w14:paraId="3E007EA0" w14:textId="77777777" w:rsidTr="00404BDD">
        <w:tc>
          <w:tcPr>
            <w:tcW w:w="1119" w:type="pct"/>
          </w:tcPr>
          <w:p w14:paraId="6525FADC"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Wind</w:t>
            </w:r>
            <w:proofErr w:type="spellEnd"/>
          </w:p>
        </w:tc>
        <w:tc>
          <w:tcPr>
            <w:tcW w:w="425" w:type="pct"/>
          </w:tcPr>
          <w:p w14:paraId="7D15B0F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5" w:type="pct"/>
          </w:tcPr>
          <w:p w14:paraId="44322AC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45" w:type="pct"/>
          </w:tcPr>
          <w:p w14:paraId="539EE4E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2" w:type="pct"/>
          </w:tcPr>
          <w:p w14:paraId="11BFA9D7"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00E35AA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66" w:type="pct"/>
          </w:tcPr>
          <w:p w14:paraId="2D186479"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2" w:type="pct"/>
          </w:tcPr>
          <w:p w14:paraId="1BD34037"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5" w:type="pct"/>
          </w:tcPr>
          <w:p w14:paraId="12533D3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1E5F02F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r>
      <w:tr w:rsidR="0039488E" w:rsidRPr="006F3533" w14:paraId="5AD6A0B3" w14:textId="77777777" w:rsidTr="00404BDD">
        <w:tc>
          <w:tcPr>
            <w:tcW w:w="1119" w:type="pct"/>
          </w:tcPr>
          <w:p w14:paraId="3406A29F"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Hydropower</w:t>
            </w:r>
            <w:proofErr w:type="spellEnd"/>
          </w:p>
        </w:tc>
        <w:tc>
          <w:tcPr>
            <w:tcW w:w="425" w:type="pct"/>
          </w:tcPr>
          <w:p w14:paraId="7D996B80"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5" w:type="pct"/>
          </w:tcPr>
          <w:p w14:paraId="01BE011E"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45" w:type="pct"/>
          </w:tcPr>
          <w:p w14:paraId="713D99DD"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2" w:type="pct"/>
          </w:tcPr>
          <w:p w14:paraId="63449571"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5925FF05"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66" w:type="pct"/>
          </w:tcPr>
          <w:p w14:paraId="21B53D08"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2" w:type="pct"/>
          </w:tcPr>
          <w:p w14:paraId="40F32A0F"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5" w:type="pct"/>
          </w:tcPr>
          <w:p w14:paraId="4BA1463C"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c>
          <w:tcPr>
            <w:tcW w:w="426" w:type="pct"/>
          </w:tcPr>
          <w:p w14:paraId="05103BE6"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1,0</w:t>
            </w:r>
          </w:p>
        </w:tc>
      </w:tr>
      <w:tr w:rsidR="0039488E" w:rsidRPr="006F3533" w14:paraId="0180EEC3" w14:textId="77777777" w:rsidTr="00404BDD">
        <w:tc>
          <w:tcPr>
            <w:tcW w:w="1119" w:type="pct"/>
          </w:tcPr>
          <w:p w14:paraId="76DFCB11"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District</w:t>
            </w:r>
            <w:proofErr w:type="spellEnd"/>
            <w:r w:rsidRPr="006F3533">
              <w:rPr>
                <w:rFonts w:cs="Times New Roman"/>
                <w:szCs w:val="24"/>
                <w:lang w:val="bg-BG"/>
              </w:rPr>
              <w:t xml:space="preserve"> </w:t>
            </w:r>
            <w:proofErr w:type="spellStart"/>
            <w:r w:rsidRPr="006F3533">
              <w:rPr>
                <w:rFonts w:cs="Times New Roman"/>
                <w:szCs w:val="24"/>
                <w:lang w:val="bg-BG"/>
              </w:rPr>
              <w:t>heating</w:t>
            </w:r>
            <w:proofErr w:type="spellEnd"/>
            <w:r w:rsidRPr="006F3533">
              <w:rPr>
                <w:rFonts w:cs="Times New Roman"/>
                <w:szCs w:val="24"/>
                <w:lang w:val="bg-BG"/>
              </w:rPr>
              <w:t>/</w:t>
            </w:r>
            <w:proofErr w:type="spellStart"/>
            <w:r w:rsidRPr="006F3533">
              <w:rPr>
                <w:rFonts w:cs="Times New Roman"/>
                <w:szCs w:val="24"/>
                <w:lang w:val="bg-BG"/>
              </w:rPr>
              <w:t>cooling</w:t>
            </w:r>
            <w:proofErr w:type="spellEnd"/>
            <w:r w:rsidRPr="006F3533">
              <w:rPr>
                <w:rFonts w:cs="Times New Roman"/>
                <w:szCs w:val="24"/>
                <w:lang w:val="bg-BG"/>
              </w:rPr>
              <w:t xml:space="preserve"> (</w:t>
            </w:r>
            <w:proofErr w:type="spellStart"/>
            <w:r w:rsidRPr="006F3533">
              <w:rPr>
                <w:rFonts w:cs="Times New Roman"/>
                <w:szCs w:val="24"/>
                <w:lang w:val="bg-BG"/>
              </w:rPr>
              <w:t>could</w:t>
            </w:r>
            <w:proofErr w:type="spellEnd"/>
            <w:r w:rsidRPr="006F3533">
              <w:rPr>
                <w:rFonts w:cs="Times New Roman"/>
                <w:szCs w:val="24"/>
                <w:lang w:val="bg-BG"/>
              </w:rPr>
              <w:t xml:space="preserve"> </w:t>
            </w:r>
            <w:proofErr w:type="spellStart"/>
            <w:r w:rsidRPr="006F3533">
              <w:rPr>
                <w:rFonts w:cs="Times New Roman"/>
                <w:szCs w:val="24"/>
                <w:lang w:val="bg-BG"/>
              </w:rPr>
              <w:t>be</w:t>
            </w:r>
            <w:proofErr w:type="spellEnd"/>
            <w:r w:rsidRPr="006F3533">
              <w:rPr>
                <w:rFonts w:cs="Times New Roman"/>
                <w:szCs w:val="24"/>
                <w:lang w:val="bg-BG"/>
              </w:rPr>
              <w:t xml:space="preserve"> a </w:t>
            </w:r>
            <w:proofErr w:type="spellStart"/>
            <w:r w:rsidRPr="006F3533">
              <w:rPr>
                <w:rFonts w:cs="Times New Roman"/>
                <w:szCs w:val="24"/>
                <w:lang w:val="bg-BG"/>
              </w:rPr>
              <w:t>national</w:t>
            </w:r>
            <w:proofErr w:type="spellEnd"/>
            <w:r w:rsidRPr="006F3533">
              <w:rPr>
                <w:rFonts w:cs="Times New Roman"/>
                <w:szCs w:val="24"/>
                <w:lang w:val="bg-BG"/>
              </w:rPr>
              <w:t xml:space="preserve"> </w:t>
            </w:r>
            <w:proofErr w:type="spellStart"/>
            <w:r w:rsidRPr="006F3533">
              <w:rPr>
                <w:rFonts w:cs="Times New Roman"/>
                <w:szCs w:val="24"/>
                <w:lang w:val="bg-BG"/>
              </w:rPr>
              <w:t>average</w:t>
            </w:r>
            <w:proofErr w:type="spellEnd"/>
            <w:r w:rsidRPr="006F3533">
              <w:rPr>
                <w:rFonts w:cs="Times New Roman"/>
                <w:szCs w:val="24"/>
                <w:lang w:val="bg-BG"/>
              </w:rPr>
              <w:t>)</w:t>
            </w:r>
          </w:p>
        </w:tc>
        <w:tc>
          <w:tcPr>
            <w:tcW w:w="425" w:type="pct"/>
          </w:tcPr>
          <w:p w14:paraId="027E356E"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1,3</w:t>
            </w:r>
          </w:p>
        </w:tc>
        <w:tc>
          <w:tcPr>
            <w:tcW w:w="425" w:type="pct"/>
          </w:tcPr>
          <w:p w14:paraId="3ED45FF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1,3</w:t>
            </w:r>
          </w:p>
        </w:tc>
        <w:tc>
          <w:tcPr>
            <w:tcW w:w="445" w:type="pct"/>
          </w:tcPr>
          <w:p w14:paraId="7471E6CF"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1,3</w:t>
            </w:r>
          </w:p>
        </w:tc>
        <w:tc>
          <w:tcPr>
            <w:tcW w:w="422" w:type="pct"/>
          </w:tcPr>
          <w:p w14:paraId="50B09BDE"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6" w:type="pct"/>
          </w:tcPr>
          <w:p w14:paraId="2258797A"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66" w:type="pct"/>
          </w:tcPr>
          <w:p w14:paraId="37391164"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0,0</w:t>
            </w:r>
          </w:p>
        </w:tc>
        <w:tc>
          <w:tcPr>
            <w:tcW w:w="422" w:type="pct"/>
          </w:tcPr>
          <w:p w14:paraId="235CFB87"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1,3</w:t>
            </w:r>
          </w:p>
        </w:tc>
        <w:tc>
          <w:tcPr>
            <w:tcW w:w="425" w:type="pct"/>
          </w:tcPr>
          <w:p w14:paraId="412A277C"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1,3</w:t>
            </w:r>
          </w:p>
        </w:tc>
        <w:tc>
          <w:tcPr>
            <w:tcW w:w="426" w:type="pct"/>
          </w:tcPr>
          <w:p w14:paraId="093997C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1,3</w:t>
            </w:r>
          </w:p>
        </w:tc>
      </w:tr>
    </w:tbl>
    <w:p w14:paraId="4A54622A" w14:textId="77777777" w:rsidR="0039488E" w:rsidRPr="006F3533" w:rsidRDefault="0039488E" w:rsidP="006F0DA0">
      <w:pPr>
        <w:spacing w:line="240" w:lineRule="auto"/>
        <w:ind w:left="1440"/>
        <w:contextualSpacing/>
        <w:jc w:val="both"/>
        <w:rPr>
          <w:rFonts w:cs="Times New Roman"/>
          <w:szCs w:val="24"/>
          <w:lang w:val="bg-BG"/>
        </w:rPr>
      </w:pPr>
    </w:p>
    <w:p w14:paraId="2246CF5C" w14:textId="77777777" w:rsidR="0039488E" w:rsidRPr="006F3533" w:rsidRDefault="0039488E" w:rsidP="006F0DA0">
      <w:pPr>
        <w:spacing w:before="100" w:beforeAutospacing="1" w:after="100" w:afterAutospacing="1" w:line="240" w:lineRule="auto"/>
        <w:jc w:val="both"/>
        <w:outlineLvl w:val="1"/>
        <w:rPr>
          <w:rFonts w:eastAsia="Times New Roman" w:cs="Times New Roman"/>
          <w:b/>
          <w:bCs/>
          <w:sz w:val="28"/>
          <w:szCs w:val="28"/>
          <w:lang w:val="bg-BG"/>
        </w:rPr>
      </w:pPr>
      <w:bookmarkStart w:id="173" w:name="_Toc217888809"/>
      <w:r w:rsidRPr="006F3533">
        <w:rPr>
          <w:rFonts w:eastAsia="Times New Roman" w:cs="Times New Roman"/>
          <w:b/>
          <w:bCs/>
          <w:sz w:val="28"/>
          <w:szCs w:val="28"/>
          <w:lang w:val="bg-BG"/>
        </w:rPr>
        <w:t>Очаквани енергийни спестявания</w:t>
      </w:r>
      <w:bookmarkEnd w:id="173"/>
    </w:p>
    <w:p w14:paraId="6F029439" w14:textId="77777777" w:rsidR="00404BDD" w:rsidRPr="006F3533" w:rsidRDefault="00404BDD" w:rsidP="00404BD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Таблица 18 представя очакваните енергийни спестявания за нежилищния и жилищния сграден фонд в резултат на изпълнението на мерките, заложени в пътната карта за обновяване до 2030 г., с ориентировъчна перспектива към 2040 и 2050 г.</w:t>
      </w:r>
    </w:p>
    <w:p w14:paraId="50FD47CA" w14:textId="77777777" w:rsidR="00404BDD" w:rsidRPr="006F3533" w:rsidRDefault="00404BDD" w:rsidP="00404BDD">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Нежилищни сгради</w:t>
      </w:r>
    </w:p>
    <w:p w14:paraId="1FB7FE9B" w14:textId="77777777" w:rsidR="00404BDD" w:rsidRPr="006F3533" w:rsidRDefault="00404BDD" w:rsidP="00404BD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Енергийните спестявания са определени като разлика между изходното енергийно потребление (2025 г.) и прогнозното енергийно потребление за съответните години, изчислено въз основа на:</w:t>
      </w:r>
    </w:p>
    <w:p w14:paraId="70AF3B33" w14:textId="77777777" w:rsidR="00404BDD" w:rsidRPr="006F3533" w:rsidRDefault="00404BDD" w:rsidP="00551FED">
      <w:pPr>
        <w:numPr>
          <w:ilvl w:val="0"/>
          <w:numId w:val="91"/>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обновяването на съществуващите нежилищни сгради в съответствие с изискванията за минимални стандарти за енергийни характеристики (МСЕХ);</w:t>
      </w:r>
    </w:p>
    <w:p w14:paraId="0D7F0AE4" w14:textId="77777777" w:rsidR="00404BDD" w:rsidRPr="006F3533" w:rsidRDefault="00404BDD" w:rsidP="00551FED">
      <w:pPr>
        <w:numPr>
          <w:ilvl w:val="0"/>
          <w:numId w:val="91"/>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годишния темп на цялостно обновяване на публичните сгради;</w:t>
      </w:r>
    </w:p>
    <w:p w14:paraId="5DD18DF0" w14:textId="77777777" w:rsidR="00404BDD" w:rsidRPr="006F3533" w:rsidRDefault="00404BDD" w:rsidP="00551FED">
      <w:pPr>
        <w:numPr>
          <w:ilvl w:val="0"/>
          <w:numId w:val="91"/>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въвеждането на нови високоефективни сгради и извеждането от експлоатация на част от стария сграден фонд.</w:t>
      </w:r>
    </w:p>
    <w:p w14:paraId="4B3F2A78" w14:textId="77777777" w:rsidR="00404BDD" w:rsidRPr="006F3533" w:rsidRDefault="00404BDD" w:rsidP="00404BD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Спестяванията са представени както по отношение на крайната енергия, така и на първичната енергия, като стойностите за първична енергия са изчислени чрез прилагане на факторите за първична енергия, описани в Таблица 17. Следва да се отбележи, че действителните спестявания на първична енергия се очаква да бъдат по-значителни, след като бъдат приети и приложени официални актуализирани фактори за първична енергия, които ще отразяват промените в електроенергийния производствен микс, описани в подточката за факторите за първична енергия.</w:t>
      </w:r>
    </w:p>
    <w:p w14:paraId="514D2837" w14:textId="77777777" w:rsidR="00404BDD" w:rsidRPr="006F3533" w:rsidRDefault="00404BDD" w:rsidP="00404BD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Представените резултати отразяват нетния ефект от всички разглеждани процеси и следва да се разглеждат като ориентировъчни оценки, зависещи от действителното темпо на обновяване, пазарното развитие и прилагането на политиките в областта на енергийната ефективност.</w:t>
      </w:r>
    </w:p>
    <w:p w14:paraId="180CB208" w14:textId="77777777" w:rsidR="00404BDD" w:rsidRPr="006F3533" w:rsidRDefault="00404BDD" w:rsidP="00404BDD">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Жилищни сгради</w:t>
      </w:r>
    </w:p>
    <w:p w14:paraId="3A168D89" w14:textId="77777777" w:rsidR="00404BDD" w:rsidRPr="006F3533" w:rsidRDefault="00404BDD" w:rsidP="00404BD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За изчисляване на спестявания на ПЕП е приложен следния подход:</w:t>
      </w:r>
    </w:p>
    <w:p w14:paraId="0E409631" w14:textId="77777777" w:rsidR="00404BDD" w:rsidRPr="006F3533" w:rsidRDefault="00404BDD" w:rsidP="00551FED">
      <w:pPr>
        <w:numPr>
          <w:ilvl w:val="0"/>
          <w:numId w:val="121"/>
        </w:numPr>
        <w:spacing w:before="100" w:beforeAutospacing="1" w:after="100" w:afterAutospacing="1" w:line="240" w:lineRule="auto"/>
        <w:contextualSpacing/>
        <w:jc w:val="both"/>
        <w:rPr>
          <w:rFonts w:eastAsia="Times New Roman" w:cs="Times New Roman"/>
          <w:szCs w:val="24"/>
          <w:lang w:val="bg-BG" w:eastAsia="en-GB"/>
        </w:rPr>
      </w:pPr>
      <w:r w:rsidRPr="006F3533">
        <w:rPr>
          <w:lang w:val="bg-BG"/>
        </w:rPr>
        <w:t>Определена е разгънатата застроена площ (РЗП) на сградите, които ще се санират, съгласно Таблица 15а по-горе и като се отчитат изложените там съображения.</w:t>
      </w:r>
    </w:p>
    <w:p w14:paraId="5ECE8BF9" w14:textId="77777777" w:rsidR="00404BDD" w:rsidRPr="006F3533" w:rsidRDefault="00404BDD" w:rsidP="00551FED">
      <w:pPr>
        <w:numPr>
          <w:ilvl w:val="0"/>
          <w:numId w:val="121"/>
        </w:numPr>
        <w:spacing w:before="100" w:beforeAutospacing="1" w:after="100" w:afterAutospacing="1" w:line="240" w:lineRule="auto"/>
        <w:contextualSpacing/>
        <w:jc w:val="both"/>
        <w:rPr>
          <w:rFonts w:eastAsia="Times New Roman" w:cs="Times New Roman"/>
          <w:szCs w:val="24"/>
          <w:lang w:val="bg-BG" w:eastAsia="en-GB"/>
        </w:rPr>
      </w:pPr>
      <w:r w:rsidRPr="006F3533">
        <w:rPr>
          <w:lang w:val="bg-BG"/>
        </w:rPr>
        <w:t>За определяне на постигнатите спестявания при преминаване от класове C, D, E, F, G към клас B и при поетапно преминаване от клас G към F (за еднофамилни и многофамилни жилищни сгради) е използвана базата данни на АУЕР за 6028 обследвани съществуващи жилищни сгради. Получените средни стойности на спестяванията са използвани при изчисляването, както следва:</w:t>
      </w:r>
    </w:p>
    <w:tbl>
      <w:tblPr>
        <w:tblW w:w="5586" w:type="dxa"/>
        <w:tblInd w:w="704" w:type="dxa"/>
        <w:tblLook w:val="04A0" w:firstRow="1" w:lastRow="0" w:firstColumn="1" w:lastColumn="0" w:noHBand="0" w:noVBand="1"/>
      </w:tblPr>
      <w:tblGrid>
        <w:gridCol w:w="4111"/>
        <w:gridCol w:w="1589"/>
      </w:tblGrid>
      <w:tr w:rsidR="00404BDD" w:rsidRPr="006F3533" w14:paraId="7BB5A948" w14:textId="77777777" w:rsidTr="00541E06">
        <w:trPr>
          <w:trHeight w:val="288"/>
        </w:trPr>
        <w:tc>
          <w:tcPr>
            <w:tcW w:w="4111" w:type="dxa"/>
            <w:tcBorders>
              <w:top w:val="single" w:sz="4" w:space="0" w:color="auto"/>
              <w:left w:val="single" w:sz="4" w:space="0" w:color="auto"/>
              <w:bottom w:val="single" w:sz="4" w:space="0" w:color="auto"/>
              <w:right w:val="single" w:sz="4" w:space="0" w:color="auto"/>
            </w:tcBorders>
            <w:shd w:val="clear" w:color="000000" w:fill="D9D9D9"/>
            <w:noWrap/>
            <w:vAlign w:val="bottom"/>
          </w:tcPr>
          <w:p w14:paraId="34DCB5CF" w14:textId="77777777" w:rsidR="00404BDD" w:rsidRPr="006F3533" w:rsidRDefault="00404BDD" w:rsidP="00541E06">
            <w:pPr>
              <w:spacing w:after="0" w:line="240" w:lineRule="auto"/>
              <w:jc w:val="both"/>
              <w:rPr>
                <w:rFonts w:eastAsia="Times New Roman" w:cs="Times New Roman"/>
                <w:b/>
                <w:bCs/>
                <w:szCs w:val="24"/>
                <w:lang w:val="bg-BG"/>
              </w:rPr>
            </w:pPr>
            <w:r w:rsidRPr="006F3533">
              <w:rPr>
                <w:rFonts w:eastAsia="Times New Roman" w:cs="Times New Roman"/>
                <w:b/>
                <w:bCs/>
                <w:szCs w:val="24"/>
                <w:lang w:val="bg-BG"/>
              </w:rPr>
              <w:t>Преминаване от клас ... в клас ...</w:t>
            </w:r>
          </w:p>
        </w:tc>
        <w:tc>
          <w:tcPr>
            <w:tcW w:w="1475" w:type="dxa"/>
            <w:tcBorders>
              <w:top w:val="single" w:sz="4" w:space="0" w:color="auto"/>
              <w:left w:val="nil"/>
              <w:bottom w:val="single" w:sz="4" w:space="0" w:color="auto"/>
              <w:right w:val="single" w:sz="4" w:space="0" w:color="auto"/>
            </w:tcBorders>
            <w:shd w:val="clear" w:color="000000" w:fill="D9D9D9"/>
            <w:noWrap/>
            <w:vAlign w:val="bottom"/>
          </w:tcPr>
          <w:p w14:paraId="1237A4B0" w14:textId="77777777" w:rsidR="00404BDD" w:rsidRPr="006F3533" w:rsidRDefault="00404BDD" w:rsidP="00541E06">
            <w:pPr>
              <w:spacing w:after="0" w:line="240" w:lineRule="auto"/>
              <w:jc w:val="both"/>
              <w:rPr>
                <w:rFonts w:eastAsia="Times New Roman" w:cs="Times New Roman"/>
                <w:b/>
                <w:bCs/>
                <w:szCs w:val="24"/>
                <w:lang w:val="bg-BG"/>
              </w:rPr>
            </w:pPr>
            <w:r w:rsidRPr="006F3533">
              <w:rPr>
                <w:rFonts w:eastAsia="Times New Roman" w:cs="Times New Roman"/>
                <w:b/>
                <w:bCs/>
                <w:szCs w:val="24"/>
                <w:lang w:val="bg-BG"/>
              </w:rPr>
              <w:t xml:space="preserve">Спестявания, </w:t>
            </w:r>
            <w:proofErr w:type="spellStart"/>
            <w:r w:rsidRPr="006F3533">
              <w:rPr>
                <w:rFonts w:eastAsia="Times New Roman" w:cs="Times New Roman"/>
                <w:b/>
                <w:bCs/>
                <w:szCs w:val="24"/>
                <w:lang w:val="bg-BG"/>
              </w:rPr>
              <w:t>KWh</w:t>
            </w:r>
            <w:proofErr w:type="spellEnd"/>
            <w:r w:rsidRPr="006F3533">
              <w:rPr>
                <w:rFonts w:eastAsia="Times New Roman" w:cs="Times New Roman"/>
                <w:b/>
                <w:bCs/>
                <w:szCs w:val="24"/>
                <w:lang w:val="bg-BG"/>
              </w:rPr>
              <w:t>/m2</w:t>
            </w:r>
          </w:p>
        </w:tc>
      </w:tr>
      <w:tr w:rsidR="00404BDD" w:rsidRPr="006F3533" w14:paraId="7259059C" w14:textId="77777777" w:rsidTr="00541E06">
        <w:trPr>
          <w:trHeight w:val="372"/>
        </w:trPr>
        <w:tc>
          <w:tcPr>
            <w:tcW w:w="4111" w:type="dxa"/>
            <w:tcBorders>
              <w:top w:val="nil"/>
              <w:left w:val="single" w:sz="4" w:space="0" w:color="auto"/>
              <w:bottom w:val="single" w:sz="4" w:space="0" w:color="auto"/>
              <w:right w:val="single" w:sz="4" w:space="0" w:color="auto"/>
            </w:tcBorders>
            <w:noWrap/>
            <w:vAlign w:val="bottom"/>
          </w:tcPr>
          <w:p w14:paraId="032C3BF3" w14:textId="77777777" w:rsidR="00404BDD" w:rsidRPr="006F3533" w:rsidRDefault="00404BDD" w:rsidP="00541E06">
            <w:pPr>
              <w:spacing w:after="0" w:line="240" w:lineRule="auto"/>
              <w:jc w:val="both"/>
              <w:rPr>
                <w:rFonts w:eastAsia="Times New Roman" w:cs="Times New Roman"/>
                <w:szCs w:val="24"/>
                <w:lang w:val="bg-BG"/>
              </w:rPr>
            </w:pPr>
            <w:r w:rsidRPr="006F3533">
              <w:rPr>
                <w:rFonts w:eastAsia="Times New Roman" w:cs="Times New Roman"/>
                <w:szCs w:val="24"/>
                <w:lang w:val="bg-BG"/>
              </w:rPr>
              <w:t>От клас С до клас В - МФЖС</w:t>
            </w:r>
          </w:p>
        </w:tc>
        <w:tc>
          <w:tcPr>
            <w:tcW w:w="1475" w:type="dxa"/>
            <w:tcBorders>
              <w:top w:val="nil"/>
              <w:left w:val="nil"/>
              <w:bottom w:val="single" w:sz="4" w:space="0" w:color="auto"/>
              <w:right w:val="single" w:sz="4" w:space="0" w:color="auto"/>
            </w:tcBorders>
            <w:noWrap/>
            <w:vAlign w:val="bottom"/>
          </w:tcPr>
          <w:p w14:paraId="53049871" w14:textId="77777777" w:rsidR="00404BDD" w:rsidRPr="006F3533" w:rsidRDefault="00404BDD" w:rsidP="00541E06">
            <w:pPr>
              <w:spacing w:after="0" w:line="240" w:lineRule="auto"/>
              <w:jc w:val="right"/>
              <w:rPr>
                <w:rFonts w:eastAsia="Times New Roman" w:cs="Times New Roman"/>
                <w:szCs w:val="24"/>
                <w:lang w:val="bg-BG"/>
              </w:rPr>
            </w:pPr>
            <w:r w:rsidRPr="006F3533">
              <w:rPr>
                <w:rFonts w:eastAsia="Times New Roman" w:cs="Times New Roman"/>
                <w:szCs w:val="24"/>
                <w:lang w:val="bg-BG"/>
              </w:rPr>
              <w:t>98.90</w:t>
            </w:r>
          </w:p>
        </w:tc>
      </w:tr>
      <w:tr w:rsidR="00404BDD" w:rsidRPr="006F3533" w14:paraId="14C11944" w14:textId="77777777" w:rsidTr="00541E06">
        <w:trPr>
          <w:trHeight w:val="288"/>
        </w:trPr>
        <w:tc>
          <w:tcPr>
            <w:tcW w:w="4111" w:type="dxa"/>
            <w:tcBorders>
              <w:top w:val="nil"/>
              <w:left w:val="single" w:sz="4" w:space="0" w:color="auto"/>
              <w:bottom w:val="single" w:sz="4" w:space="0" w:color="auto"/>
              <w:right w:val="single" w:sz="4" w:space="0" w:color="auto"/>
            </w:tcBorders>
            <w:noWrap/>
            <w:vAlign w:val="bottom"/>
          </w:tcPr>
          <w:p w14:paraId="5C392B5B" w14:textId="77777777" w:rsidR="00404BDD" w:rsidRPr="006F3533" w:rsidRDefault="00404BDD" w:rsidP="00541E06">
            <w:pPr>
              <w:spacing w:after="0" w:line="240" w:lineRule="auto"/>
              <w:jc w:val="both"/>
              <w:rPr>
                <w:rFonts w:eastAsia="Times New Roman" w:cs="Times New Roman"/>
                <w:szCs w:val="24"/>
                <w:lang w:val="bg-BG"/>
              </w:rPr>
            </w:pPr>
            <w:r w:rsidRPr="006F3533">
              <w:rPr>
                <w:rFonts w:eastAsia="Times New Roman" w:cs="Times New Roman"/>
                <w:szCs w:val="24"/>
                <w:lang w:val="bg-BG"/>
              </w:rPr>
              <w:t>От клас  D до клас В - МФЖС</w:t>
            </w:r>
          </w:p>
        </w:tc>
        <w:tc>
          <w:tcPr>
            <w:tcW w:w="1475" w:type="dxa"/>
            <w:tcBorders>
              <w:top w:val="nil"/>
              <w:left w:val="nil"/>
              <w:bottom w:val="single" w:sz="4" w:space="0" w:color="auto"/>
              <w:right w:val="single" w:sz="4" w:space="0" w:color="auto"/>
            </w:tcBorders>
            <w:noWrap/>
            <w:vAlign w:val="bottom"/>
          </w:tcPr>
          <w:p w14:paraId="18411B4D" w14:textId="77777777" w:rsidR="00404BDD" w:rsidRPr="006F3533" w:rsidRDefault="00404BDD" w:rsidP="00541E06">
            <w:pPr>
              <w:spacing w:after="0" w:line="240" w:lineRule="auto"/>
              <w:jc w:val="right"/>
              <w:rPr>
                <w:rFonts w:eastAsia="Times New Roman" w:cs="Times New Roman"/>
                <w:szCs w:val="24"/>
                <w:lang w:val="bg-BG"/>
              </w:rPr>
            </w:pPr>
            <w:r w:rsidRPr="006F3533">
              <w:rPr>
                <w:rFonts w:eastAsia="Times New Roman" w:cs="Times New Roman"/>
                <w:szCs w:val="24"/>
                <w:lang w:val="bg-BG"/>
              </w:rPr>
              <w:t>139.09</w:t>
            </w:r>
          </w:p>
        </w:tc>
      </w:tr>
      <w:tr w:rsidR="00404BDD" w:rsidRPr="006F3533" w14:paraId="6A6EE484" w14:textId="77777777" w:rsidTr="00541E06">
        <w:trPr>
          <w:trHeight w:val="288"/>
        </w:trPr>
        <w:tc>
          <w:tcPr>
            <w:tcW w:w="4111" w:type="dxa"/>
            <w:tcBorders>
              <w:top w:val="nil"/>
              <w:left w:val="single" w:sz="4" w:space="0" w:color="auto"/>
              <w:bottom w:val="single" w:sz="4" w:space="0" w:color="auto"/>
              <w:right w:val="single" w:sz="4" w:space="0" w:color="auto"/>
            </w:tcBorders>
            <w:noWrap/>
            <w:vAlign w:val="bottom"/>
          </w:tcPr>
          <w:p w14:paraId="4EF2F355" w14:textId="77777777" w:rsidR="00404BDD" w:rsidRPr="006F3533" w:rsidRDefault="00404BDD" w:rsidP="00541E06">
            <w:pPr>
              <w:spacing w:after="0" w:line="240" w:lineRule="auto"/>
              <w:jc w:val="both"/>
              <w:rPr>
                <w:rFonts w:eastAsia="Times New Roman" w:cs="Times New Roman"/>
                <w:szCs w:val="24"/>
                <w:lang w:val="bg-BG"/>
              </w:rPr>
            </w:pPr>
            <w:r w:rsidRPr="006F3533">
              <w:rPr>
                <w:rFonts w:eastAsia="Times New Roman" w:cs="Times New Roman"/>
                <w:szCs w:val="24"/>
                <w:lang w:val="bg-BG"/>
              </w:rPr>
              <w:lastRenderedPageBreak/>
              <w:t>От клас  E до клас В - МФЖС</w:t>
            </w:r>
          </w:p>
        </w:tc>
        <w:tc>
          <w:tcPr>
            <w:tcW w:w="1475" w:type="dxa"/>
            <w:tcBorders>
              <w:top w:val="nil"/>
              <w:left w:val="nil"/>
              <w:bottom w:val="single" w:sz="4" w:space="0" w:color="auto"/>
              <w:right w:val="single" w:sz="4" w:space="0" w:color="auto"/>
            </w:tcBorders>
            <w:noWrap/>
            <w:vAlign w:val="bottom"/>
          </w:tcPr>
          <w:p w14:paraId="596DF578" w14:textId="77777777" w:rsidR="00404BDD" w:rsidRPr="006F3533" w:rsidRDefault="00404BDD" w:rsidP="00541E06">
            <w:pPr>
              <w:spacing w:after="0" w:line="240" w:lineRule="auto"/>
              <w:jc w:val="right"/>
              <w:rPr>
                <w:rFonts w:eastAsia="Times New Roman" w:cs="Times New Roman"/>
                <w:szCs w:val="24"/>
                <w:lang w:val="bg-BG"/>
              </w:rPr>
            </w:pPr>
            <w:r w:rsidRPr="006F3533">
              <w:rPr>
                <w:rFonts w:eastAsia="Times New Roman" w:cs="Times New Roman"/>
                <w:szCs w:val="24"/>
                <w:lang w:val="bg-BG"/>
              </w:rPr>
              <w:t>188.21</w:t>
            </w:r>
          </w:p>
        </w:tc>
      </w:tr>
      <w:tr w:rsidR="00404BDD" w:rsidRPr="006F3533" w14:paraId="5F6609E3" w14:textId="77777777" w:rsidTr="00541E06">
        <w:trPr>
          <w:trHeight w:val="288"/>
        </w:trPr>
        <w:tc>
          <w:tcPr>
            <w:tcW w:w="4111" w:type="dxa"/>
            <w:tcBorders>
              <w:top w:val="nil"/>
              <w:left w:val="single" w:sz="4" w:space="0" w:color="auto"/>
              <w:bottom w:val="single" w:sz="4" w:space="0" w:color="auto"/>
              <w:right w:val="single" w:sz="4" w:space="0" w:color="auto"/>
            </w:tcBorders>
            <w:noWrap/>
            <w:vAlign w:val="bottom"/>
          </w:tcPr>
          <w:p w14:paraId="3B4199AF" w14:textId="77777777" w:rsidR="00404BDD" w:rsidRPr="006F3533" w:rsidRDefault="00404BDD" w:rsidP="00541E06">
            <w:pPr>
              <w:spacing w:after="0" w:line="240" w:lineRule="auto"/>
              <w:jc w:val="both"/>
              <w:rPr>
                <w:rFonts w:eastAsia="Times New Roman" w:cs="Times New Roman"/>
                <w:szCs w:val="24"/>
                <w:lang w:val="bg-BG"/>
              </w:rPr>
            </w:pPr>
            <w:r w:rsidRPr="006F3533">
              <w:rPr>
                <w:rFonts w:eastAsia="Times New Roman" w:cs="Times New Roman"/>
                <w:szCs w:val="24"/>
                <w:lang w:val="bg-BG"/>
              </w:rPr>
              <w:t>От клас  F до клас В - МФЖС</w:t>
            </w:r>
          </w:p>
        </w:tc>
        <w:tc>
          <w:tcPr>
            <w:tcW w:w="1475" w:type="dxa"/>
            <w:tcBorders>
              <w:top w:val="nil"/>
              <w:left w:val="nil"/>
              <w:bottom w:val="single" w:sz="4" w:space="0" w:color="auto"/>
              <w:right w:val="single" w:sz="4" w:space="0" w:color="auto"/>
            </w:tcBorders>
            <w:noWrap/>
            <w:vAlign w:val="bottom"/>
          </w:tcPr>
          <w:p w14:paraId="5EB1A078" w14:textId="77777777" w:rsidR="00404BDD" w:rsidRPr="006F3533" w:rsidRDefault="00404BDD" w:rsidP="00541E06">
            <w:pPr>
              <w:spacing w:after="0" w:line="240" w:lineRule="auto"/>
              <w:jc w:val="right"/>
              <w:rPr>
                <w:rFonts w:eastAsia="Times New Roman" w:cs="Times New Roman"/>
                <w:szCs w:val="24"/>
                <w:lang w:val="bg-BG"/>
              </w:rPr>
            </w:pPr>
            <w:r w:rsidRPr="006F3533">
              <w:rPr>
                <w:rFonts w:eastAsia="Times New Roman" w:cs="Times New Roman"/>
                <w:szCs w:val="24"/>
                <w:lang w:val="bg-BG"/>
              </w:rPr>
              <w:t>240.34</w:t>
            </w:r>
          </w:p>
        </w:tc>
      </w:tr>
      <w:tr w:rsidR="00404BDD" w:rsidRPr="006F3533" w14:paraId="5DC8461F" w14:textId="77777777" w:rsidTr="00541E06">
        <w:trPr>
          <w:trHeight w:val="288"/>
        </w:trPr>
        <w:tc>
          <w:tcPr>
            <w:tcW w:w="4111" w:type="dxa"/>
            <w:tcBorders>
              <w:top w:val="nil"/>
              <w:left w:val="single" w:sz="4" w:space="0" w:color="auto"/>
              <w:bottom w:val="single" w:sz="4" w:space="0" w:color="auto"/>
              <w:right w:val="single" w:sz="4" w:space="0" w:color="auto"/>
            </w:tcBorders>
            <w:noWrap/>
            <w:vAlign w:val="bottom"/>
          </w:tcPr>
          <w:p w14:paraId="689631B0" w14:textId="77777777" w:rsidR="00404BDD" w:rsidRPr="006F3533" w:rsidRDefault="00404BDD" w:rsidP="00541E06">
            <w:pPr>
              <w:spacing w:after="0" w:line="240" w:lineRule="auto"/>
              <w:jc w:val="both"/>
              <w:rPr>
                <w:rFonts w:eastAsia="Times New Roman" w:cs="Times New Roman"/>
                <w:szCs w:val="24"/>
                <w:lang w:val="bg-BG"/>
              </w:rPr>
            </w:pPr>
            <w:r w:rsidRPr="006F3533">
              <w:rPr>
                <w:rFonts w:eastAsia="Times New Roman" w:cs="Times New Roman"/>
                <w:szCs w:val="24"/>
                <w:lang w:val="bg-BG"/>
              </w:rPr>
              <w:t>От клас  G до клас В - МФЖС</w:t>
            </w:r>
          </w:p>
        </w:tc>
        <w:tc>
          <w:tcPr>
            <w:tcW w:w="1475" w:type="dxa"/>
            <w:tcBorders>
              <w:top w:val="nil"/>
              <w:left w:val="nil"/>
              <w:bottom w:val="single" w:sz="4" w:space="0" w:color="auto"/>
              <w:right w:val="single" w:sz="4" w:space="0" w:color="auto"/>
            </w:tcBorders>
            <w:noWrap/>
            <w:vAlign w:val="bottom"/>
          </w:tcPr>
          <w:p w14:paraId="64FD202D" w14:textId="77777777" w:rsidR="00404BDD" w:rsidRPr="006F3533" w:rsidRDefault="00404BDD" w:rsidP="00541E06">
            <w:pPr>
              <w:spacing w:after="0" w:line="240" w:lineRule="auto"/>
              <w:jc w:val="right"/>
              <w:rPr>
                <w:rFonts w:eastAsia="Times New Roman" w:cs="Times New Roman"/>
                <w:szCs w:val="24"/>
                <w:lang w:val="bg-BG"/>
              </w:rPr>
            </w:pPr>
            <w:r w:rsidRPr="006F3533">
              <w:rPr>
                <w:rFonts w:eastAsia="Times New Roman" w:cs="Times New Roman"/>
                <w:szCs w:val="24"/>
                <w:lang w:val="bg-BG"/>
              </w:rPr>
              <w:t>339.86</w:t>
            </w:r>
          </w:p>
        </w:tc>
      </w:tr>
      <w:tr w:rsidR="00404BDD" w:rsidRPr="006F3533" w14:paraId="0BFE1A41" w14:textId="77777777" w:rsidTr="00541E06">
        <w:trPr>
          <w:trHeight w:val="288"/>
        </w:trPr>
        <w:tc>
          <w:tcPr>
            <w:tcW w:w="4111" w:type="dxa"/>
            <w:tcBorders>
              <w:top w:val="nil"/>
              <w:left w:val="single" w:sz="4" w:space="0" w:color="auto"/>
              <w:bottom w:val="single" w:sz="4" w:space="0" w:color="auto"/>
              <w:right w:val="single" w:sz="4" w:space="0" w:color="auto"/>
            </w:tcBorders>
            <w:noWrap/>
            <w:vAlign w:val="bottom"/>
          </w:tcPr>
          <w:p w14:paraId="6737030D" w14:textId="77777777" w:rsidR="00404BDD" w:rsidRPr="006F3533" w:rsidRDefault="00404BDD" w:rsidP="00541E06">
            <w:pPr>
              <w:spacing w:after="0" w:line="240" w:lineRule="auto"/>
              <w:jc w:val="both"/>
              <w:rPr>
                <w:rFonts w:eastAsia="Times New Roman" w:cs="Times New Roman"/>
                <w:szCs w:val="24"/>
                <w:lang w:val="bg-BG"/>
              </w:rPr>
            </w:pPr>
            <w:r w:rsidRPr="006F3533">
              <w:rPr>
                <w:rFonts w:eastAsia="Times New Roman" w:cs="Times New Roman"/>
                <w:szCs w:val="24"/>
                <w:lang w:val="bg-BG"/>
              </w:rPr>
              <w:t>Поетапно обновяване от клас  G до клас F - МФЖС</w:t>
            </w:r>
          </w:p>
        </w:tc>
        <w:tc>
          <w:tcPr>
            <w:tcW w:w="1475" w:type="dxa"/>
            <w:tcBorders>
              <w:top w:val="nil"/>
              <w:left w:val="nil"/>
              <w:bottom w:val="single" w:sz="4" w:space="0" w:color="auto"/>
              <w:right w:val="single" w:sz="4" w:space="0" w:color="auto"/>
            </w:tcBorders>
            <w:noWrap/>
            <w:vAlign w:val="bottom"/>
          </w:tcPr>
          <w:p w14:paraId="447D0A3A" w14:textId="77777777" w:rsidR="00404BDD" w:rsidRPr="006F3533" w:rsidRDefault="00404BDD" w:rsidP="00541E06">
            <w:pPr>
              <w:spacing w:after="0" w:line="240" w:lineRule="auto"/>
              <w:jc w:val="right"/>
              <w:rPr>
                <w:rFonts w:eastAsia="Times New Roman" w:cs="Times New Roman"/>
                <w:szCs w:val="24"/>
                <w:lang w:val="bg-BG"/>
              </w:rPr>
            </w:pPr>
            <w:r w:rsidRPr="006F3533">
              <w:rPr>
                <w:rFonts w:eastAsia="Times New Roman" w:cs="Times New Roman"/>
                <w:szCs w:val="24"/>
                <w:lang w:val="bg-BG"/>
              </w:rPr>
              <w:t>55.00</w:t>
            </w:r>
          </w:p>
        </w:tc>
      </w:tr>
      <w:tr w:rsidR="00404BDD" w:rsidRPr="006F3533" w14:paraId="600B21A9" w14:textId="77777777" w:rsidTr="00541E06">
        <w:trPr>
          <w:trHeight w:val="288"/>
        </w:trPr>
        <w:tc>
          <w:tcPr>
            <w:tcW w:w="4111" w:type="dxa"/>
            <w:tcBorders>
              <w:top w:val="nil"/>
              <w:left w:val="single" w:sz="4" w:space="0" w:color="auto"/>
              <w:bottom w:val="single" w:sz="4" w:space="0" w:color="auto"/>
              <w:right w:val="single" w:sz="4" w:space="0" w:color="auto"/>
            </w:tcBorders>
            <w:noWrap/>
            <w:vAlign w:val="bottom"/>
          </w:tcPr>
          <w:p w14:paraId="2E41F885" w14:textId="77777777" w:rsidR="00404BDD" w:rsidRPr="006F3533" w:rsidRDefault="00404BDD" w:rsidP="00541E06">
            <w:pPr>
              <w:spacing w:after="0" w:line="240" w:lineRule="auto"/>
              <w:jc w:val="both"/>
              <w:rPr>
                <w:rFonts w:eastAsia="Times New Roman" w:cs="Times New Roman"/>
                <w:szCs w:val="24"/>
                <w:lang w:val="bg-BG"/>
              </w:rPr>
            </w:pPr>
            <w:r w:rsidRPr="006F3533">
              <w:rPr>
                <w:rFonts w:eastAsia="Times New Roman" w:cs="Times New Roman"/>
                <w:szCs w:val="24"/>
                <w:lang w:val="bg-BG"/>
              </w:rPr>
              <w:t>Поетапно обновяване от клас  G до клас F - ЕФЖС</w:t>
            </w:r>
          </w:p>
        </w:tc>
        <w:tc>
          <w:tcPr>
            <w:tcW w:w="1475" w:type="dxa"/>
            <w:tcBorders>
              <w:top w:val="nil"/>
              <w:left w:val="nil"/>
              <w:bottom w:val="single" w:sz="4" w:space="0" w:color="auto"/>
              <w:right w:val="single" w:sz="4" w:space="0" w:color="auto"/>
            </w:tcBorders>
            <w:noWrap/>
            <w:vAlign w:val="bottom"/>
          </w:tcPr>
          <w:p w14:paraId="33E7D60B" w14:textId="77777777" w:rsidR="00404BDD" w:rsidRPr="006F3533" w:rsidRDefault="00404BDD" w:rsidP="00541E06">
            <w:pPr>
              <w:spacing w:after="0" w:line="240" w:lineRule="auto"/>
              <w:jc w:val="right"/>
              <w:rPr>
                <w:rFonts w:eastAsia="Times New Roman" w:cs="Times New Roman"/>
                <w:szCs w:val="24"/>
                <w:lang w:val="bg-BG"/>
              </w:rPr>
            </w:pPr>
            <w:r w:rsidRPr="006F3533">
              <w:rPr>
                <w:rFonts w:eastAsia="Times New Roman" w:cs="Times New Roman"/>
                <w:szCs w:val="24"/>
                <w:lang w:val="bg-BG"/>
              </w:rPr>
              <w:t>70.00</w:t>
            </w:r>
          </w:p>
        </w:tc>
      </w:tr>
    </w:tbl>
    <w:p w14:paraId="26173D0B" w14:textId="77777777" w:rsidR="00404BDD" w:rsidRPr="006F3533" w:rsidRDefault="00404BDD" w:rsidP="00404BDD">
      <w:pPr>
        <w:spacing w:line="240" w:lineRule="auto"/>
        <w:ind w:left="1440"/>
        <w:contextualSpacing/>
        <w:jc w:val="both"/>
        <w:rPr>
          <w:rFonts w:cs="Times New Roman"/>
          <w:i/>
          <w:iCs/>
          <w:szCs w:val="24"/>
          <w:lang w:val="bg-BG"/>
        </w:rPr>
      </w:pPr>
    </w:p>
    <w:p w14:paraId="648D9102" w14:textId="77777777" w:rsidR="00404BDD" w:rsidRPr="006F3533" w:rsidRDefault="00404BDD" w:rsidP="00404BDD">
      <w:pPr>
        <w:spacing w:line="240" w:lineRule="auto"/>
        <w:contextualSpacing/>
        <w:jc w:val="both"/>
        <w:rPr>
          <w:rFonts w:cs="Times New Roman"/>
          <w:i/>
          <w:iCs/>
          <w:color w:val="4472C4" w:themeColor="accent1"/>
          <w:szCs w:val="24"/>
          <w:lang w:val="bg-BG"/>
        </w:rPr>
      </w:pPr>
      <w:bookmarkStart w:id="174" w:name="_Hlk217855705"/>
      <w:r w:rsidRPr="006F3533">
        <w:rPr>
          <w:rFonts w:cs="Times New Roman"/>
          <w:i/>
          <w:iCs/>
          <w:color w:val="4472C4" w:themeColor="accent1"/>
          <w:szCs w:val="24"/>
          <w:lang w:val="bg-BG"/>
        </w:rPr>
        <w:t xml:space="preserve">Таблица 18. Цели за спестявания на първична и крайна енергия в сградите за периода 2030-2050 г. </w:t>
      </w:r>
    </w:p>
    <w:p w14:paraId="141B556A" w14:textId="77777777" w:rsidR="00404BDD" w:rsidRPr="006F3533" w:rsidRDefault="00404BDD" w:rsidP="00404BDD">
      <w:pPr>
        <w:spacing w:line="240" w:lineRule="auto"/>
        <w:contextualSpacing/>
        <w:jc w:val="both"/>
        <w:rPr>
          <w:rFonts w:cs="Times New Roman"/>
          <w:i/>
          <w:iCs/>
          <w:color w:val="4472C4" w:themeColor="accent1"/>
          <w:szCs w:val="24"/>
          <w:lang w:val="bg-BG"/>
        </w:rPr>
      </w:pPr>
    </w:p>
    <w:tbl>
      <w:tblPr>
        <w:tblStyle w:val="TableGrid"/>
        <w:tblW w:w="5000" w:type="pct"/>
        <w:tblLook w:val="04A0" w:firstRow="1" w:lastRow="0" w:firstColumn="1" w:lastColumn="0" w:noHBand="0" w:noVBand="1"/>
      </w:tblPr>
      <w:tblGrid>
        <w:gridCol w:w="1632"/>
        <w:gridCol w:w="1878"/>
        <w:gridCol w:w="926"/>
        <w:gridCol w:w="926"/>
        <w:gridCol w:w="1878"/>
        <w:gridCol w:w="910"/>
        <w:gridCol w:w="912"/>
      </w:tblGrid>
      <w:tr w:rsidR="00404BDD" w:rsidRPr="006F3533" w14:paraId="723DB406" w14:textId="77777777" w:rsidTr="00404BDD">
        <w:tc>
          <w:tcPr>
            <w:tcW w:w="901" w:type="pct"/>
            <w:vMerge w:val="restart"/>
            <w:shd w:val="clear" w:color="auto" w:fill="D9D9D9" w:themeFill="background1" w:themeFillShade="D9"/>
          </w:tcPr>
          <w:p w14:paraId="2600D48B"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 xml:space="preserve">Building </w:t>
            </w:r>
            <w:proofErr w:type="spellStart"/>
            <w:r w:rsidRPr="006F3533">
              <w:rPr>
                <w:rFonts w:cs="Times New Roman"/>
                <w:szCs w:val="24"/>
                <w:lang w:val="bg-BG"/>
              </w:rPr>
              <w:t>type</w:t>
            </w:r>
            <w:proofErr w:type="spellEnd"/>
          </w:p>
        </w:tc>
        <w:tc>
          <w:tcPr>
            <w:tcW w:w="2058" w:type="pct"/>
            <w:gridSpan w:val="3"/>
            <w:shd w:val="clear" w:color="auto" w:fill="D9D9D9" w:themeFill="background1" w:themeFillShade="D9"/>
          </w:tcPr>
          <w:p w14:paraId="08E691AC" w14:textId="77777777" w:rsidR="00404BDD" w:rsidRPr="006F3533" w:rsidRDefault="00404BDD" w:rsidP="00541E06">
            <w:pPr>
              <w:contextualSpacing/>
              <w:jc w:val="center"/>
              <w:rPr>
                <w:rFonts w:cs="Times New Roman"/>
                <w:szCs w:val="24"/>
                <w:lang w:val="bg-BG"/>
              </w:rPr>
            </w:pPr>
            <w:proofErr w:type="spellStart"/>
            <w:r w:rsidRPr="006F3533">
              <w:rPr>
                <w:rFonts w:cs="Times New Roman"/>
                <w:szCs w:val="24"/>
                <w:lang w:val="bg-BG"/>
              </w:rPr>
              <w:t>Savings</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primary</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p>
          <w:p w14:paraId="106F174E" w14:textId="77777777" w:rsidR="00404BDD" w:rsidRPr="006F3533" w:rsidRDefault="00404BDD" w:rsidP="00541E06">
            <w:pPr>
              <w:contextualSpacing/>
              <w:jc w:val="center"/>
              <w:rPr>
                <w:rFonts w:cs="Times New Roman"/>
                <w:szCs w:val="24"/>
                <w:lang w:val="bg-BG"/>
              </w:rPr>
            </w:pPr>
            <w:proofErr w:type="spellStart"/>
            <w:r w:rsidRPr="006F3533">
              <w:rPr>
                <w:rFonts w:cs="Times New Roman"/>
                <w:szCs w:val="24"/>
                <w:lang w:val="bg-BG"/>
              </w:rPr>
              <w:t>ktoe</w:t>
            </w:r>
            <w:proofErr w:type="spellEnd"/>
          </w:p>
        </w:tc>
        <w:tc>
          <w:tcPr>
            <w:tcW w:w="2041" w:type="pct"/>
            <w:gridSpan w:val="3"/>
            <w:shd w:val="clear" w:color="auto" w:fill="D9D9D9" w:themeFill="background1" w:themeFillShade="D9"/>
          </w:tcPr>
          <w:p w14:paraId="10DDB812" w14:textId="77777777" w:rsidR="00404BDD" w:rsidRPr="006F3533" w:rsidRDefault="00404BDD" w:rsidP="00541E06">
            <w:pPr>
              <w:contextualSpacing/>
              <w:jc w:val="center"/>
              <w:rPr>
                <w:rFonts w:cs="Times New Roman"/>
                <w:szCs w:val="24"/>
                <w:lang w:val="bg-BG"/>
              </w:rPr>
            </w:pPr>
            <w:proofErr w:type="spellStart"/>
            <w:r w:rsidRPr="006F3533">
              <w:rPr>
                <w:rFonts w:cs="Times New Roman"/>
                <w:szCs w:val="24"/>
                <w:lang w:val="bg-BG"/>
              </w:rPr>
              <w:t>Savings</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final</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Pr="006F3533">
              <w:rPr>
                <w:rFonts w:cs="Times New Roman"/>
                <w:szCs w:val="24"/>
                <w:lang w:val="bg-BG"/>
              </w:rPr>
              <w:t xml:space="preserve"> </w:t>
            </w:r>
          </w:p>
          <w:p w14:paraId="24EB4EE0" w14:textId="77777777" w:rsidR="00404BDD" w:rsidRPr="006F3533" w:rsidRDefault="00404BDD" w:rsidP="00541E06">
            <w:pPr>
              <w:contextualSpacing/>
              <w:jc w:val="center"/>
              <w:rPr>
                <w:rFonts w:cs="Times New Roman"/>
                <w:szCs w:val="24"/>
                <w:lang w:val="bg-BG"/>
              </w:rPr>
            </w:pPr>
            <w:proofErr w:type="spellStart"/>
            <w:r w:rsidRPr="006F3533">
              <w:rPr>
                <w:rFonts w:cs="Times New Roman"/>
                <w:szCs w:val="24"/>
                <w:lang w:val="bg-BG"/>
              </w:rPr>
              <w:t>ktoe</w:t>
            </w:r>
            <w:proofErr w:type="spellEnd"/>
          </w:p>
        </w:tc>
      </w:tr>
      <w:tr w:rsidR="00404BDD" w:rsidRPr="006F3533" w14:paraId="6D5233E7" w14:textId="77777777" w:rsidTr="00404BDD">
        <w:tc>
          <w:tcPr>
            <w:tcW w:w="901" w:type="pct"/>
            <w:vMerge/>
          </w:tcPr>
          <w:p w14:paraId="4430436A" w14:textId="77777777" w:rsidR="00404BDD" w:rsidRPr="006F3533" w:rsidRDefault="00404BDD" w:rsidP="00541E06">
            <w:pPr>
              <w:contextualSpacing/>
              <w:jc w:val="both"/>
              <w:rPr>
                <w:rFonts w:cs="Times New Roman"/>
                <w:szCs w:val="24"/>
                <w:lang w:val="bg-BG"/>
              </w:rPr>
            </w:pPr>
          </w:p>
        </w:tc>
        <w:tc>
          <w:tcPr>
            <w:tcW w:w="1036" w:type="pct"/>
            <w:shd w:val="clear" w:color="auto" w:fill="D9D9D9" w:themeFill="background1" w:themeFillShade="D9"/>
          </w:tcPr>
          <w:p w14:paraId="0A970F74"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2030</w:t>
            </w:r>
          </w:p>
        </w:tc>
        <w:tc>
          <w:tcPr>
            <w:tcW w:w="511" w:type="pct"/>
            <w:shd w:val="clear" w:color="auto" w:fill="D9D9D9" w:themeFill="background1" w:themeFillShade="D9"/>
          </w:tcPr>
          <w:p w14:paraId="603895BA"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2040</w:t>
            </w:r>
          </w:p>
        </w:tc>
        <w:tc>
          <w:tcPr>
            <w:tcW w:w="511" w:type="pct"/>
            <w:shd w:val="clear" w:color="auto" w:fill="D9D9D9" w:themeFill="background1" w:themeFillShade="D9"/>
          </w:tcPr>
          <w:p w14:paraId="75D4F06F"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2050</w:t>
            </w:r>
          </w:p>
        </w:tc>
        <w:tc>
          <w:tcPr>
            <w:tcW w:w="1036" w:type="pct"/>
            <w:shd w:val="clear" w:color="auto" w:fill="D9D9D9" w:themeFill="background1" w:themeFillShade="D9"/>
          </w:tcPr>
          <w:p w14:paraId="0518D9CC"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2030</w:t>
            </w:r>
          </w:p>
        </w:tc>
        <w:tc>
          <w:tcPr>
            <w:tcW w:w="502" w:type="pct"/>
            <w:shd w:val="clear" w:color="auto" w:fill="D9D9D9" w:themeFill="background1" w:themeFillShade="D9"/>
          </w:tcPr>
          <w:p w14:paraId="25682A2C"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2040</w:t>
            </w:r>
          </w:p>
        </w:tc>
        <w:tc>
          <w:tcPr>
            <w:tcW w:w="502" w:type="pct"/>
            <w:shd w:val="clear" w:color="auto" w:fill="D9D9D9" w:themeFill="background1" w:themeFillShade="D9"/>
          </w:tcPr>
          <w:p w14:paraId="2826A344"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2050</w:t>
            </w:r>
          </w:p>
        </w:tc>
      </w:tr>
      <w:tr w:rsidR="00404BDD" w:rsidRPr="006F3533" w14:paraId="65A735EA" w14:textId="77777777" w:rsidTr="00404BDD">
        <w:tc>
          <w:tcPr>
            <w:tcW w:w="901" w:type="pct"/>
          </w:tcPr>
          <w:p w14:paraId="059E1AB6" w14:textId="77777777" w:rsidR="00404BDD" w:rsidRPr="006F3533" w:rsidRDefault="00404BDD" w:rsidP="00541E06">
            <w:pPr>
              <w:contextualSpacing/>
              <w:jc w:val="both"/>
              <w:rPr>
                <w:rFonts w:cs="Times New Roman"/>
                <w:szCs w:val="24"/>
                <w:lang w:val="bg-BG"/>
              </w:rPr>
            </w:pPr>
            <w:proofErr w:type="spellStart"/>
            <w:r w:rsidRPr="006F3533">
              <w:rPr>
                <w:rFonts w:cs="Times New Roman"/>
                <w:szCs w:val="24"/>
                <w:lang w:val="bg-BG"/>
              </w:rPr>
              <w:t>Residential</w:t>
            </w:r>
            <w:proofErr w:type="spellEnd"/>
          </w:p>
        </w:tc>
        <w:tc>
          <w:tcPr>
            <w:tcW w:w="1036" w:type="pct"/>
          </w:tcPr>
          <w:p w14:paraId="1D7359EA"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663</w:t>
            </w:r>
          </w:p>
        </w:tc>
        <w:tc>
          <w:tcPr>
            <w:tcW w:w="511" w:type="pct"/>
          </w:tcPr>
          <w:p w14:paraId="6D4D1669" w14:textId="77777777" w:rsidR="00404BDD" w:rsidRPr="006F3533" w:rsidRDefault="00404BDD" w:rsidP="00541E06">
            <w:pPr>
              <w:contextualSpacing/>
              <w:jc w:val="center"/>
              <w:rPr>
                <w:rFonts w:cs="Times New Roman"/>
                <w:szCs w:val="24"/>
                <w:lang w:val="bg-BG"/>
              </w:rPr>
            </w:pPr>
          </w:p>
        </w:tc>
        <w:tc>
          <w:tcPr>
            <w:tcW w:w="511" w:type="pct"/>
          </w:tcPr>
          <w:p w14:paraId="4161A105" w14:textId="77777777" w:rsidR="00404BDD" w:rsidRPr="006F3533" w:rsidRDefault="00404BDD" w:rsidP="00541E06">
            <w:pPr>
              <w:contextualSpacing/>
              <w:jc w:val="center"/>
              <w:rPr>
                <w:rFonts w:cs="Times New Roman"/>
                <w:szCs w:val="24"/>
                <w:lang w:val="bg-BG"/>
              </w:rPr>
            </w:pPr>
          </w:p>
        </w:tc>
        <w:tc>
          <w:tcPr>
            <w:tcW w:w="1036" w:type="pct"/>
          </w:tcPr>
          <w:p w14:paraId="596B25CA"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381</w:t>
            </w:r>
          </w:p>
        </w:tc>
        <w:tc>
          <w:tcPr>
            <w:tcW w:w="502" w:type="pct"/>
          </w:tcPr>
          <w:p w14:paraId="7E95A293" w14:textId="77777777" w:rsidR="00404BDD" w:rsidRPr="006F3533" w:rsidRDefault="00404BDD" w:rsidP="00541E06">
            <w:pPr>
              <w:contextualSpacing/>
              <w:jc w:val="center"/>
              <w:rPr>
                <w:rFonts w:cs="Times New Roman"/>
                <w:szCs w:val="24"/>
                <w:lang w:val="bg-BG"/>
              </w:rPr>
            </w:pPr>
          </w:p>
        </w:tc>
        <w:tc>
          <w:tcPr>
            <w:tcW w:w="502" w:type="pct"/>
          </w:tcPr>
          <w:p w14:paraId="4D8AECB2" w14:textId="77777777" w:rsidR="00404BDD" w:rsidRPr="006F3533" w:rsidRDefault="00404BDD" w:rsidP="00541E06">
            <w:pPr>
              <w:contextualSpacing/>
              <w:jc w:val="center"/>
              <w:rPr>
                <w:rFonts w:cs="Times New Roman"/>
                <w:szCs w:val="24"/>
                <w:lang w:val="bg-BG"/>
              </w:rPr>
            </w:pPr>
          </w:p>
        </w:tc>
      </w:tr>
      <w:tr w:rsidR="00404BDD" w:rsidRPr="006F3533" w14:paraId="3D3AA185" w14:textId="77777777" w:rsidTr="00404BDD">
        <w:tc>
          <w:tcPr>
            <w:tcW w:w="901" w:type="pct"/>
          </w:tcPr>
          <w:p w14:paraId="5ACC3643" w14:textId="77777777" w:rsidR="00404BDD" w:rsidRPr="006F3533" w:rsidRDefault="00404BDD" w:rsidP="00541E06">
            <w:pPr>
              <w:contextualSpacing/>
              <w:jc w:val="both"/>
              <w:rPr>
                <w:rFonts w:cs="Times New Roman"/>
                <w:szCs w:val="24"/>
                <w:lang w:val="bg-BG"/>
              </w:rPr>
            </w:pPr>
            <w:proofErr w:type="spellStart"/>
            <w:r w:rsidRPr="006F3533">
              <w:rPr>
                <w:rFonts w:cs="Times New Roman"/>
                <w:szCs w:val="24"/>
                <w:lang w:val="bg-BG"/>
              </w:rPr>
              <w:t>Non-residential</w:t>
            </w:r>
            <w:proofErr w:type="spellEnd"/>
            <w:r w:rsidRPr="006F3533">
              <w:rPr>
                <w:rFonts w:cs="Times New Roman"/>
                <w:szCs w:val="24"/>
                <w:lang w:val="bg-BG"/>
              </w:rPr>
              <w:t xml:space="preserve"> </w:t>
            </w:r>
          </w:p>
        </w:tc>
        <w:tc>
          <w:tcPr>
            <w:tcW w:w="1036" w:type="pct"/>
          </w:tcPr>
          <w:p w14:paraId="674A8387"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87.15</w:t>
            </w:r>
          </w:p>
        </w:tc>
        <w:tc>
          <w:tcPr>
            <w:tcW w:w="511" w:type="pct"/>
          </w:tcPr>
          <w:p w14:paraId="30A4AE0E"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626.64</w:t>
            </w:r>
          </w:p>
        </w:tc>
        <w:tc>
          <w:tcPr>
            <w:tcW w:w="511" w:type="pct"/>
          </w:tcPr>
          <w:p w14:paraId="38B62B06"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993.95</w:t>
            </w:r>
          </w:p>
        </w:tc>
        <w:tc>
          <w:tcPr>
            <w:tcW w:w="1036" w:type="pct"/>
          </w:tcPr>
          <w:p w14:paraId="3F9D5A26"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63.84</w:t>
            </w:r>
          </w:p>
        </w:tc>
        <w:tc>
          <w:tcPr>
            <w:tcW w:w="502" w:type="pct"/>
          </w:tcPr>
          <w:p w14:paraId="12983CE6"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362.79</w:t>
            </w:r>
          </w:p>
        </w:tc>
        <w:tc>
          <w:tcPr>
            <w:tcW w:w="502" w:type="pct"/>
          </w:tcPr>
          <w:p w14:paraId="7564F5E7"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544.63</w:t>
            </w:r>
          </w:p>
        </w:tc>
      </w:tr>
      <w:tr w:rsidR="00404BDD" w:rsidRPr="006F3533" w14:paraId="4F9E6560" w14:textId="77777777" w:rsidTr="00404BDD">
        <w:tc>
          <w:tcPr>
            <w:tcW w:w="901" w:type="pct"/>
          </w:tcPr>
          <w:p w14:paraId="0D5335E0" w14:textId="77777777" w:rsidR="00404BDD" w:rsidRPr="006F3533" w:rsidRDefault="00404BDD" w:rsidP="00541E06">
            <w:pPr>
              <w:contextualSpacing/>
              <w:jc w:val="right"/>
              <w:rPr>
                <w:rFonts w:cs="Times New Roman"/>
                <w:szCs w:val="24"/>
                <w:lang w:val="bg-BG"/>
              </w:rPr>
            </w:pPr>
            <w:r w:rsidRPr="006F3533">
              <w:rPr>
                <w:rFonts w:cs="Times New Roman"/>
                <w:szCs w:val="24"/>
                <w:lang w:val="bg-BG"/>
              </w:rPr>
              <w:t xml:space="preserve">Total </w:t>
            </w:r>
            <w:proofErr w:type="spellStart"/>
            <w:r w:rsidRPr="006F3533">
              <w:rPr>
                <w:rFonts w:cs="Times New Roman"/>
                <w:szCs w:val="24"/>
                <w:lang w:val="bg-BG"/>
              </w:rPr>
              <w:t>savings</w:t>
            </w:r>
            <w:proofErr w:type="spellEnd"/>
            <w:r w:rsidRPr="006F3533">
              <w:rPr>
                <w:rFonts w:cs="Times New Roman"/>
                <w:szCs w:val="24"/>
                <w:lang w:val="bg-BG"/>
              </w:rPr>
              <w:t xml:space="preserve"> </w:t>
            </w:r>
          </w:p>
        </w:tc>
        <w:tc>
          <w:tcPr>
            <w:tcW w:w="1036" w:type="pct"/>
          </w:tcPr>
          <w:p w14:paraId="4C467B96"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750.15</w:t>
            </w:r>
          </w:p>
        </w:tc>
        <w:tc>
          <w:tcPr>
            <w:tcW w:w="511" w:type="pct"/>
          </w:tcPr>
          <w:p w14:paraId="46FFFF96" w14:textId="77777777" w:rsidR="00404BDD" w:rsidRPr="006F3533" w:rsidRDefault="00404BDD" w:rsidP="00541E06">
            <w:pPr>
              <w:contextualSpacing/>
              <w:jc w:val="center"/>
              <w:rPr>
                <w:rFonts w:cs="Times New Roman"/>
                <w:szCs w:val="24"/>
                <w:lang w:val="bg-BG"/>
              </w:rPr>
            </w:pPr>
          </w:p>
        </w:tc>
        <w:tc>
          <w:tcPr>
            <w:tcW w:w="511" w:type="pct"/>
          </w:tcPr>
          <w:p w14:paraId="65FCEC04" w14:textId="77777777" w:rsidR="00404BDD" w:rsidRPr="006F3533" w:rsidRDefault="00404BDD" w:rsidP="00541E06">
            <w:pPr>
              <w:contextualSpacing/>
              <w:jc w:val="center"/>
              <w:rPr>
                <w:rFonts w:cs="Times New Roman"/>
                <w:szCs w:val="24"/>
                <w:lang w:val="bg-BG"/>
              </w:rPr>
            </w:pPr>
          </w:p>
        </w:tc>
        <w:tc>
          <w:tcPr>
            <w:tcW w:w="1036" w:type="pct"/>
          </w:tcPr>
          <w:p w14:paraId="32F73D14" w14:textId="77777777" w:rsidR="00404BDD" w:rsidRPr="006F3533" w:rsidRDefault="00404BDD" w:rsidP="00541E06">
            <w:pPr>
              <w:contextualSpacing/>
              <w:jc w:val="center"/>
              <w:rPr>
                <w:rFonts w:cs="Times New Roman"/>
                <w:szCs w:val="24"/>
                <w:lang w:val="bg-BG"/>
              </w:rPr>
            </w:pPr>
            <w:r w:rsidRPr="006F3533">
              <w:rPr>
                <w:rFonts w:cs="Times New Roman"/>
                <w:szCs w:val="24"/>
                <w:lang w:val="bg-BG"/>
              </w:rPr>
              <w:t>444.84</w:t>
            </w:r>
          </w:p>
        </w:tc>
        <w:tc>
          <w:tcPr>
            <w:tcW w:w="502" w:type="pct"/>
          </w:tcPr>
          <w:p w14:paraId="51EF0A1F" w14:textId="77777777" w:rsidR="00404BDD" w:rsidRPr="006F3533" w:rsidRDefault="00404BDD" w:rsidP="00541E06">
            <w:pPr>
              <w:contextualSpacing/>
              <w:jc w:val="center"/>
              <w:rPr>
                <w:rFonts w:cs="Times New Roman"/>
                <w:szCs w:val="24"/>
                <w:lang w:val="bg-BG"/>
              </w:rPr>
            </w:pPr>
          </w:p>
        </w:tc>
        <w:tc>
          <w:tcPr>
            <w:tcW w:w="502" w:type="pct"/>
          </w:tcPr>
          <w:p w14:paraId="5A6429A4" w14:textId="77777777" w:rsidR="00404BDD" w:rsidRPr="006F3533" w:rsidRDefault="00404BDD" w:rsidP="00541E06">
            <w:pPr>
              <w:contextualSpacing/>
              <w:jc w:val="center"/>
              <w:rPr>
                <w:rFonts w:cs="Times New Roman"/>
                <w:szCs w:val="24"/>
                <w:lang w:val="bg-BG"/>
              </w:rPr>
            </w:pPr>
          </w:p>
        </w:tc>
      </w:tr>
    </w:tbl>
    <w:p w14:paraId="7CAEB656" w14:textId="77777777" w:rsidR="0039488E" w:rsidRPr="006F3533" w:rsidRDefault="0039488E" w:rsidP="006F0DA0">
      <w:pPr>
        <w:spacing w:before="100" w:beforeAutospacing="1" w:after="100" w:afterAutospacing="1" w:line="240" w:lineRule="auto"/>
        <w:jc w:val="both"/>
        <w:outlineLvl w:val="1"/>
        <w:rPr>
          <w:rFonts w:eastAsia="Times New Roman" w:cs="Times New Roman"/>
          <w:b/>
          <w:bCs/>
          <w:sz w:val="28"/>
          <w:szCs w:val="28"/>
          <w:lang w:val="bg-BG"/>
        </w:rPr>
      </w:pPr>
      <w:bookmarkStart w:id="175" w:name="_Toc217888810"/>
      <w:bookmarkEnd w:id="174"/>
      <w:r w:rsidRPr="006F3533">
        <w:rPr>
          <w:rFonts w:eastAsia="Times New Roman" w:cs="Times New Roman"/>
          <w:b/>
          <w:bCs/>
          <w:sz w:val="28"/>
          <w:szCs w:val="28"/>
          <w:lang w:val="bg-BG"/>
        </w:rPr>
        <w:t xml:space="preserve">Цели за увеличаване на дела на енергията от възобновяеми източници в сградите </w:t>
      </w:r>
      <w:r w:rsidRPr="006F3533">
        <w:rPr>
          <w:rFonts w:eastAsia="Times New Roman" w:cs="Times New Roman"/>
          <w:b/>
          <w:bCs/>
          <w:i/>
          <w:iCs/>
          <w:sz w:val="28"/>
          <w:szCs w:val="28"/>
          <w:lang w:val="bg-BG"/>
        </w:rPr>
        <w:t>(в съответствие с член 15a от Директива (ЕС) 2018/2001)</w:t>
      </w:r>
      <w:bookmarkEnd w:id="175"/>
    </w:p>
    <w:p w14:paraId="5595F561"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Настоящата точка разглежда очакваното нарастване на използването на енергия от възобновяеми енергийни източници (ВЕИ) в нежилищните сгради, в съответствие с изискванията на член 15a от Директива (ЕС) 2018/2001 относно насърчаването на използването на енергия от възобновяеми източници.</w:t>
      </w:r>
    </w:p>
    <w:p w14:paraId="74F3790E" w14:textId="48765DE5"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Таблица 19 от образеца предвижда представяне на прогнозен дял на енергията от ВЕИ в сградите. Към момента обаче не е налична надеждна и съпоставима информация за текущия дял на ВЕИ в нежилищните </w:t>
      </w:r>
      <w:r w:rsidR="00404BDD" w:rsidRPr="006F3533">
        <w:rPr>
          <w:rFonts w:eastAsia="Times New Roman" w:cs="Times New Roman"/>
          <w:szCs w:val="24"/>
          <w:lang w:val="bg-BG" w:eastAsia="en-GB"/>
        </w:rPr>
        <w:t xml:space="preserve">и жилищните </w:t>
      </w:r>
      <w:r w:rsidRPr="006F3533">
        <w:rPr>
          <w:rFonts w:eastAsia="Times New Roman" w:cs="Times New Roman"/>
          <w:szCs w:val="24"/>
          <w:lang w:val="bg-BG" w:eastAsia="en-GB"/>
        </w:rPr>
        <w:t>сгради, поради което не е възможно да бъде изчислена валидна прогноза за бъдещия дял на енергията от ВЕИ като относителен показател.</w:t>
      </w:r>
    </w:p>
    <w:p w14:paraId="3B7800BA" w14:textId="5FF4D76D"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Поради тази причина Таблица 19 остава </w:t>
      </w:r>
      <w:proofErr w:type="spellStart"/>
      <w:r w:rsidRPr="006F3533">
        <w:rPr>
          <w:rFonts w:eastAsia="Times New Roman" w:cs="Times New Roman"/>
          <w:szCs w:val="24"/>
          <w:lang w:val="bg-BG" w:eastAsia="en-GB"/>
        </w:rPr>
        <w:t>непопълнена</w:t>
      </w:r>
      <w:proofErr w:type="spellEnd"/>
      <w:r w:rsidRPr="006F3533">
        <w:rPr>
          <w:rFonts w:eastAsia="Times New Roman" w:cs="Times New Roman"/>
          <w:szCs w:val="24"/>
          <w:lang w:val="bg-BG" w:eastAsia="en-GB"/>
        </w:rPr>
        <w:t>, като вместо това оценката е фокусирана върху качествен анализ на политиките</w:t>
      </w:r>
      <w:r w:rsidR="006F0DA0" w:rsidRPr="006F3533">
        <w:rPr>
          <w:lang w:val="bg-BG"/>
        </w:rPr>
        <w:t xml:space="preserve">. </w:t>
      </w:r>
      <w:r w:rsidR="00404BDD" w:rsidRPr="006F3533">
        <w:rPr>
          <w:rFonts w:eastAsia="Times New Roman" w:cs="Times New Roman"/>
          <w:szCs w:val="24"/>
          <w:lang w:val="bg-BG" w:eastAsia="en-GB"/>
        </w:rPr>
        <w:t xml:space="preserve">Количествената оценка на произведената енергия от ВЕИ в сградите </w:t>
      </w:r>
      <w:r w:rsidR="006F0DA0" w:rsidRPr="006F3533">
        <w:rPr>
          <w:lang w:val="bg-BG"/>
        </w:rPr>
        <w:t>ще бъде добавен</w:t>
      </w:r>
      <w:r w:rsidR="00404BDD" w:rsidRPr="006F3533">
        <w:rPr>
          <w:lang w:val="bg-BG"/>
        </w:rPr>
        <w:t>а</w:t>
      </w:r>
      <w:r w:rsidR="006F0DA0" w:rsidRPr="006F3533">
        <w:rPr>
          <w:lang w:val="bg-BG"/>
        </w:rPr>
        <w:t xml:space="preserve"> в окончателната версия на плана.</w:t>
      </w:r>
    </w:p>
    <w:p w14:paraId="05C0B61E" w14:textId="77777777" w:rsidR="0039488E" w:rsidRPr="006F3533" w:rsidRDefault="0039488E" w:rsidP="00404BDD">
      <w:pPr>
        <w:spacing w:line="240" w:lineRule="auto"/>
        <w:contextualSpacing/>
        <w:jc w:val="both"/>
        <w:rPr>
          <w:rFonts w:cs="Times New Roman"/>
          <w:i/>
          <w:iCs/>
          <w:color w:val="4472C4" w:themeColor="accent1"/>
          <w:szCs w:val="24"/>
          <w:lang w:val="bg-BG"/>
        </w:rPr>
      </w:pPr>
      <w:r w:rsidRPr="006F3533">
        <w:rPr>
          <w:rFonts w:cs="Times New Roman"/>
          <w:i/>
          <w:iCs/>
          <w:color w:val="4472C4" w:themeColor="accent1"/>
          <w:szCs w:val="24"/>
          <w:lang w:val="bg-BG"/>
        </w:rPr>
        <w:t>Таблица 19. Цели за дела на енергията от ВИ в сградите за периода 2026-2030 г.</w:t>
      </w:r>
    </w:p>
    <w:p w14:paraId="6D230077" w14:textId="77777777" w:rsidR="00404BDD" w:rsidRPr="006F3533" w:rsidRDefault="00404BDD" w:rsidP="00404BDD">
      <w:pPr>
        <w:spacing w:line="240" w:lineRule="auto"/>
        <w:contextualSpacing/>
        <w:jc w:val="both"/>
        <w:rPr>
          <w:rFonts w:cs="Times New Roman"/>
          <w:i/>
          <w:iCs/>
          <w:color w:val="4472C4" w:themeColor="accent1"/>
          <w:szCs w:val="24"/>
          <w:lang w:val="bg-BG"/>
        </w:rPr>
      </w:pPr>
    </w:p>
    <w:tbl>
      <w:tblPr>
        <w:tblStyle w:val="TableGrid"/>
        <w:tblW w:w="5000" w:type="pct"/>
        <w:tblLook w:val="04A0" w:firstRow="1" w:lastRow="0" w:firstColumn="1" w:lastColumn="0" w:noHBand="0" w:noVBand="1"/>
      </w:tblPr>
      <w:tblGrid>
        <w:gridCol w:w="1509"/>
        <w:gridCol w:w="1511"/>
        <w:gridCol w:w="1512"/>
        <w:gridCol w:w="1510"/>
        <w:gridCol w:w="1512"/>
        <w:gridCol w:w="1508"/>
      </w:tblGrid>
      <w:tr w:rsidR="0039488E" w:rsidRPr="006F3533" w14:paraId="733FE82F" w14:textId="77777777" w:rsidTr="00404BDD">
        <w:tc>
          <w:tcPr>
            <w:tcW w:w="833" w:type="pct"/>
            <w:vMerge w:val="restart"/>
            <w:shd w:val="clear" w:color="auto" w:fill="D9D9D9" w:themeFill="background1" w:themeFillShade="D9"/>
          </w:tcPr>
          <w:p w14:paraId="4D17488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 xml:space="preserve">Building </w:t>
            </w:r>
            <w:proofErr w:type="spellStart"/>
            <w:r w:rsidRPr="006F3533">
              <w:rPr>
                <w:rFonts w:cs="Times New Roman"/>
                <w:szCs w:val="24"/>
                <w:lang w:val="bg-BG"/>
              </w:rPr>
              <w:t>type</w:t>
            </w:r>
            <w:proofErr w:type="spellEnd"/>
          </w:p>
        </w:tc>
        <w:tc>
          <w:tcPr>
            <w:tcW w:w="4167" w:type="pct"/>
            <w:gridSpan w:val="5"/>
            <w:shd w:val="clear" w:color="auto" w:fill="D9D9D9" w:themeFill="background1" w:themeFillShade="D9"/>
          </w:tcPr>
          <w:p w14:paraId="11457221"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Target</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
          <w:p w14:paraId="303819B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w:t>
            </w:r>
            <w:proofErr w:type="spellStart"/>
            <w:r w:rsidRPr="006F3533">
              <w:rPr>
                <w:rFonts w:cs="Times New Roman"/>
                <w:szCs w:val="24"/>
                <w:lang w:val="bg-BG"/>
              </w:rPr>
              <w:t>share</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RE </w:t>
            </w:r>
            <w:proofErr w:type="spellStart"/>
            <w:r w:rsidRPr="006F3533">
              <w:rPr>
                <w:rFonts w:cs="Times New Roman"/>
                <w:szCs w:val="24"/>
                <w:lang w:val="bg-BG"/>
              </w:rPr>
              <w:t>versus</w:t>
            </w:r>
            <w:proofErr w:type="spellEnd"/>
            <w:r w:rsidRPr="006F3533">
              <w:rPr>
                <w:rFonts w:cs="Times New Roman"/>
                <w:szCs w:val="24"/>
                <w:lang w:val="bg-BG"/>
              </w:rPr>
              <w:t xml:space="preserve"> </w:t>
            </w:r>
            <w:proofErr w:type="spellStart"/>
            <w:r w:rsidRPr="006F3533">
              <w:rPr>
                <w:rFonts w:cs="Times New Roman"/>
                <w:szCs w:val="24"/>
                <w:lang w:val="bg-BG"/>
              </w:rPr>
              <w:t>final</w:t>
            </w:r>
            <w:proofErr w:type="spellEnd"/>
            <w:r w:rsidRPr="006F3533">
              <w:rPr>
                <w:rFonts w:cs="Times New Roman"/>
                <w:szCs w:val="24"/>
                <w:lang w:val="bg-BG"/>
              </w:rPr>
              <w:t xml:space="preserve"> </w:t>
            </w:r>
            <w:proofErr w:type="spellStart"/>
            <w:r w:rsidRPr="006F3533">
              <w:rPr>
                <w:rFonts w:cs="Times New Roman"/>
                <w:szCs w:val="24"/>
                <w:lang w:val="bg-BG"/>
              </w:rPr>
              <w:t>energy</w:t>
            </w:r>
            <w:proofErr w:type="spellEnd"/>
            <w:r w:rsidRPr="006F3533">
              <w:rPr>
                <w:rFonts w:cs="Times New Roman"/>
                <w:szCs w:val="24"/>
                <w:lang w:val="bg-BG"/>
              </w:rPr>
              <w:t xml:space="preserve"> </w:t>
            </w:r>
            <w:proofErr w:type="spellStart"/>
            <w:r w:rsidRPr="006F3533">
              <w:rPr>
                <w:rFonts w:cs="Times New Roman"/>
                <w:szCs w:val="24"/>
                <w:lang w:val="bg-BG"/>
              </w:rPr>
              <w:t>consumption</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the</w:t>
            </w:r>
            <w:proofErr w:type="spellEnd"/>
            <w:r w:rsidRPr="006F3533">
              <w:rPr>
                <w:rFonts w:cs="Times New Roman"/>
                <w:szCs w:val="24"/>
                <w:lang w:val="bg-BG"/>
              </w:rPr>
              <w:t xml:space="preserve"> </w:t>
            </w:r>
            <w:proofErr w:type="spellStart"/>
            <w:r w:rsidRPr="006F3533">
              <w:rPr>
                <w:rFonts w:cs="Times New Roman"/>
                <w:szCs w:val="24"/>
                <w:lang w:val="bg-BG"/>
              </w:rPr>
              <w:t>building</w:t>
            </w:r>
            <w:proofErr w:type="spellEnd"/>
            <w:r w:rsidRPr="006F3533">
              <w:rPr>
                <w:rFonts w:cs="Times New Roman"/>
                <w:szCs w:val="24"/>
                <w:lang w:val="bg-BG"/>
              </w:rPr>
              <w:t xml:space="preserve"> </w:t>
            </w:r>
            <w:proofErr w:type="spellStart"/>
            <w:r w:rsidRPr="006F3533">
              <w:rPr>
                <w:rFonts w:cs="Times New Roman"/>
                <w:szCs w:val="24"/>
                <w:lang w:val="bg-BG"/>
              </w:rPr>
              <w:t>sector</w:t>
            </w:r>
            <w:proofErr w:type="spellEnd"/>
            <w:r w:rsidRPr="006F3533">
              <w:rPr>
                <w:rFonts w:cs="Times New Roman"/>
                <w:szCs w:val="24"/>
                <w:lang w:val="bg-BG"/>
              </w:rPr>
              <w:t>)</w:t>
            </w:r>
          </w:p>
        </w:tc>
      </w:tr>
      <w:tr w:rsidR="0039488E" w:rsidRPr="006F3533" w14:paraId="55692888" w14:textId="77777777" w:rsidTr="00404BDD">
        <w:tc>
          <w:tcPr>
            <w:tcW w:w="833" w:type="pct"/>
            <w:vMerge/>
            <w:shd w:val="clear" w:color="auto" w:fill="D9D9D9" w:themeFill="background1" w:themeFillShade="D9"/>
          </w:tcPr>
          <w:p w14:paraId="75BB3753" w14:textId="77777777" w:rsidR="0039488E" w:rsidRPr="006F3533" w:rsidRDefault="0039488E" w:rsidP="006F0DA0">
            <w:pPr>
              <w:contextualSpacing/>
              <w:jc w:val="both"/>
              <w:rPr>
                <w:rFonts w:cs="Times New Roman"/>
                <w:szCs w:val="24"/>
                <w:lang w:val="bg-BG"/>
              </w:rPr>
            </w:pPr>
          </w:p>
        </w:tc>
        <w:tc>
          <w:tcPr>
            <w:tcW w:w="834" w:type="pct"/>
            <w:shd w:val="clear" w:color="auto" w:fill="D9D9D9" w:themeFill="background1" w:themeFillShade="D9"/>
          </w:tcPr>
          <w:p w14:paraId="2A466CDB"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2026</w:t>
            </w:r>
          </w:p>
        </w:tc>
        <w:tc>
          <w:tcPr>
            <w:tcW w:w="834" w:type="pct"/>
            <w:shd w:val="clear" w:color="auto" w:fill="D9D9D9" w:themeFill="background1" w:themeFillShade="D9"/>
          </w:tcPr>
          <w:p w14:paraId="6ACAD137"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2027</w:t>
            </w:r>
          </w:p>
        </w:tc>
        <w:tc>
          <w:tcPr>
            <w:tcW w:w="833" w:type="pct"/>
            <w:shd w:val="clear" w:color="auto" w:fill="D9D9D9" w:themeFill="background1" w:themeFillShade="D9"/>
          </w:tcPr>
          <w:p w14:paraId="01C92C03"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2028</w:t>
            </w:r>
          </w:p>
        </w:tc>
        <w:tc>
          <w:tcPr>
            <w:tcW w:w="834" w:type="pct"/>
            <w:shd w:val="clear" w:color="auto" w:fill="D9D9D9" w:themeFill="background1" w:themeFillShade="D9"/>
          </w:tcPr>
          <w:p w14:paraId="1DAA1A7A"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2029</w:t>
            </w:r>
          </w:p>
        </w:tc>
        <w:tc>
          <w:tcPr>
            <w:tcW w:w="834" w:type="pct"/>
            <w:shd w:val="clear" w:color="auto" w:fill="D9D9D9" w:themeFill="background1" w:themeFillShade="D9"/>
          </w:tcPr>
          <w:p w14:paraId="21C67452" w14:textId="77777777" w:rsidR="0039488E" w:rsidRPr="006F3533" w:rsidRDefault="0039488E" w:rsidP="006F0DA0">
            <w:pPr>
              <w:contextualSpacing/>
              <w:jc w:val="both"/>
              <w:rPr>
                <w:rFonts w:cs="Times New Roman"/>
                <w:szCs w:val="24"/>
                <w:lang w:val="bg-BG"/>
              </w:rPr>
            </w:pPr>
            <w:r w:rsidRPr="006F3533">
              <w:rPr>
                <w:rFonts w:cs="Times New Roman"/>
                <w:szCs w:val="24"/>
                <w:lang w:val="bg-BG"/>
              </w:rPr>
              <w:t>2030</w:t>
            </w:r>
          </w:p>
        </w:tc>
      </w:tr>
      <w:tr w:rsidR="0039488E" w:rsidRPr="006F3533" w14:paraId="3557239F" w14:textId="77777777" w:rsidTr="00404BDD">
        <w:tc>
          <w:tcPr>
            <w:tcW w:w="833" w:type="pct"/>
          </w:tcPr>
          <w:p w14:paraId="3E44D2D5"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Residential</w:t>
            </w:r>
            <w:proofErr w:type="spellEnd"/>
          </w:p>
        </w:tc>
        <w:tc>
          <w:tcPr>
            <w:tcW w:w="834" w:type="pct"/>
          </w:tcPr>
          <w:p w14:paraId="7158FEA8" w14:textId="77777777" w:rsidR="0039488E" w:rsidRPr="006F3533" w:rsidRDefault="0039488E" w:rsidP="006F0DA0">
            <w:pPr>
              <w:contextualSpacing/>
              <w:jc w:val="both"/>
              <w:rPr>
                <w:rFonts w:cs="Times New Roman"/>
                <w:szCs w:val="24"/>
                <w:lang w:val="bg-BG"/>
              </w:rPr>
            </w:pPr>
          </w:p>
        </w:tc>
        <w:tc>
          <w:tcPr>
            <w:tcW w:w="834" w:type="pct"/>
          </w:tcPr>
          <w:p w14:paraId="7E2E6598" w14:textId="77777777" w:rsidR="0039488E" w:rsidRPr="006F3533" w:rsidRDefault="0039488E" w:rsidP="006F0DA0">
            <w:pPr>
              <w:contextualSpacing/>
              <w:jc w:val="both"/>
              <w:rPr>
                <w:rFonts w:cs="Times New Roman"/>
                <w:szCs w:val="24"/>
                <w:lang w:val="bg-BG"/>
              </w:rPr>
            </w:pPr>
          </w:p>
        </w:tc>
        <w:tc>
          <w:tcPr>
            <w:tcW w:w="833" w:type="pct"/>
          </w:tcPr>
          <w:p w14:paraId="54FC6E14" w14:textId="77777777" w:rsidR="0039488E" w:rsidRPr="006F3533" w:rsidRDefault="0039488E" w:rsidP="006F0DA0">
            <w:pPr>
              <w:contextualSpacing/>
              <w:jc w:val="both"/>
              <w:rPr>
                <w:rFonts w:cs="Times New Roman"/>
                <w:szCs w:val="24"/>
                <w:lang w:val="bg-BG"/>
              </w:rPr>
            </w:pPr>
          </w:p>
        </w:tc>
        <w:tc>
          <w:tcPr>
            <w:tcW w:w="834" w:type="pct"/>
          </w:tcPr>
          <w:p w14:paraId="7317EAD3" w14:textId="77777777" w:rsidR="0039488E" w:rsidRPr="006F3533" w:rsidRDefault="0039488E" w:rsidP="006F0DA0">
            <w:pPr>
              <w:contextualSpacing/>
              <w:jc w:val="both"/>
              <w:rPr>
                <w:rFonts w:cs="Times New Roman"/>
                <w:szCs w:val="24"/>
                <w:lang w:val="bg-BG"/>
              </w:rPr>
            </w:pPr>
          </w:p>
        </w:tc>
        <w:tc>
          <w:tcPr>
            <w:tcW w:w="834" w:type="pct"/>
          </w:tcPr>
          <w:p w14:paraId="7798A0A0" w14:textId="77777777" w:rsidR="0039488E" w:rsidRPr="006F3533" w:rsidRDefault="0039488E" w:rsidP="006F0DA0">
            <w:pPr>
              <w:contextualSpacing/>
              <w:jc w:val="both"/>
              <w:rPr>
                <w:rFonts w:cs="Times New Roman"/>
                <w:szCs w:val="24"/>
                <w:lang w:val="bg-BG"/>
              </w:rPr>
            </w:pPr>
          </w:p>
        </w:tc>
      </w:tr>
      <w:tr w:rsidR="0039488E" w:rsidRPr="006F3533" w14:paraId="1D2373A8" w14:textId="77777777" w:rsidTr="00404BDD">
        <w:tc>
          <w:tcPr>
            <w:tcW w:w="833" w:type="pct"/>
          </w:tcPr>
          <w:p w14:paraId="6AFE4A39" w14:textId="77777777" w:rsidR="0039488E" w:rsidRPr="006F3533" w:rsidRDefault="0039488E" w:rsidP="006F0DA0">
            <w:pPr>
              <w:contextualSpacing/>
              <w:jc w:val="both"/>
              <w:rPr>
                <w:rFonts w:cs="Times New Roman"/>
                <w:szCs w:val="24"/>
                <w:lang w:val="bg-BG"/>
              </w:rPr>
            </w:pPr>
            <w:proofErr w:type="spellStart"/>
            <w:r w:rsidRPr="006F3533">
              <w:rPr>
                <w:rFonts w:cs="Times New Roman"/>
                <w:szCs w:val="24"/>
                <w:lang w:val="bg-BG"/>
              </w:rPr>
              <w:t>Non-residential</w:t>
            </w:r>
            <w:proofErr w:type="spellEnd"/>
          </w:p>
        </w:tc>
        <w:tc>
          <w:tcPr>
            <w:tcW w:w="834" w:type="pct"/>
          </w:tcPr>
          <w:p w14:paraId="38726724" w14:textId="77777777" w:rsidR="0039488E" w:rsidRPr="006F3533" w:rsidRDefault="0039488E" w:rsidP="006F0DA0">
            <w:pPr>
              <w:contextualSpacing/>
              <w:jc w:val="both"/>
              <w:rPr>
                <w:rFonts w:cs="Times New Roman"/>
                <w:szCs w:val="24"/>
                <w:lang w:val="bg-BG"/>
              </w:rPr>
            </w:pPr>
          </w:p>
        </w:tc>
        <w:tc>
          <w:tcPr>
            <w:tcW w:w="834" w:type="pct"/>
          </w:tcPr>
          <w:p w14:paraId="17EBA26D" w14:textId="77777777" w:rsidR="0039488E" w:rsidRPr="006F3533" w:rsidRDefault="0039488E" w:rsidP="006F0DA0">
            <w:pPr>
              <w:contextualSpacing/>
              <w:jc w:val="both"/>
              <w:rPr>
                <w:rFonts w:cs="Times New Roman"/>
                <w:szCs w:val="24"/>
                <w:lang w:val="bg-BG"/>
              </w:rPr>
            </w:pPr>
          </w:p>
        </w:tc>
        <w:tc>
          <w:tcPr>
            <w:tcW w:w="833" w:type="pct"/>
          </w:tcPr>
          <w:p w14:paraId="45C2FAFA" w14:textId="77777777" w:rsidR="0039488E" w:rsidRPr="006F3533" w:rsidRDefault="0039488E" w:rsidP="006F0DA0">
            <w:pPr>
              <w:contextualSpacing/>
              <w:jc w:val="both"/>
              <w:rPr>
                <w:rFonts w:cs="Times New Roman"/>
                <w:szCs w:val="24"/>
                <w:lang w:val="bg-BG"/>
              </w:rPr>
            </w:pPr>
          </w:p>
        </w:tc>
        <w:tc>
          <w:tcPr>
            <w:tcW w:w="834" w:type="pct"/>
          </w:tcPr>
          <w:p w14:paraId="64231851" w14:textId="77777777" w:rsidR="0039488E" w:rsidRPr="006F3533" w:rsidRDefault="0039488E" w:rsidP="006F0DA0">
            <w:pPr>
              <w:contextualSpacing/>
              <w:jc w:val="both"/>
              <w:rPr>
                <w:rFonts w:cs="Times New Roman"/>
                <w:szCs w:val="24"/>
                <w:lang w:val="bg-BG"/>
              </w:rPr>
            </w:pPr>
          </w:p>
        </w:tc>
        <w:tc>
          <w:tcPr>
            <w:tcW w:w="834" w:type="pct"/>
          </w:tcPr>
          <w:p w14:paraId="3168D0EA" w14:textId="77777777" w:rsidR="0039488E" w:rsidRPr="006F3533" w:rsidRDefault="0039488E" w:rsidP="006F0DA0">
            <w:pPr>
              <w:contextualSpacing/>
              <w:jc w:val="both"/>
              <w:rPr>
                <w:rFonts w:cs="Times New Roman"/>
                <w:szCs w:val="24"/>
                <w:lang w:val="bg-BG"/>
              </w:rPr>
            </w:pPr>
          </w:p>
        </w:tc>
      </w:tr>
      <w:tr w:rsidR="0039488E" w:rsidRPr="006F3533" w14:paraId="424E8729" w14:textId="77777777" w:rsidTr="00404BDD">
        <w:tc>
          <w:tcPr>
            <w:tcW w:w="833" w:type="pct"/>
          </w:tcPr>
          <w:p w14:paraId="7418B4EB" w14:textId="77777777" w:rsidR="0039488E" w:rsidRPr="006F3533" w:rsidRDefault="0039488E" w:rsidP="006F0DA0">
            <w:pPr>
              <w:contextualSpacing/>
              <w:jc w:val="both"/>
              <w:rPr>
                <w:rFonts w:cs="Times New Roman"/>
                <w:b/>
                <w:bCs/>
                <w:szCs w:val="24"/>
                <w:lang w:val="bg-BG"/>
              </w:rPr>
            </w:pPr>
            <w:r w:rsidRPr="006F3533">
              <w:rPr>
                <w:rFonts w:cs="Times New Roman"/>
                <w:b/>
                <w:bCs/>
                <w:szCs w:val="24"/>
                <w:lang w:val="bg-BG"/>
              </w:rPr>
              <w:lastRenderedPageBreak/>
              <w:t>Total</w:t>
            </w:r>
          </w:p>
        </w:tc>
        <w:tc>
          <w:tcPr>
            <w:tcW w:w="834" w:type="pct"/>
          </w:tcPr>
          <w:p w14:paraId="72E180BF" w14:textId="77777777" w:rsidR="0039488E" w:rsidRPr="006F3533" w:rsidRDefault="0039488E" w:rsidP="006F0DA0">
            <w:pPr>
              <w:contextualSpacing/>
              <w:jc w:val="both"/>
              <w:rPr>
                <w:rFonts w:cs="Times New Roman"/>
                <w:szCs w:val="24"/>
                <w:lang w:val="bg-BG"/>
              </w:rPr>
            </w:pPr>
          </w:p>
        </w:tc>
        <w:tc>
          <w:tcPr>
            <w:tcW w:w="834" w:type="pct"/>
          </w:tcPr>
          <w:p w14:paraId="50151672" w14:textId="77777777" w:rsidR="0039488E" w:rsidRPr="006F3533" w:rsidRDefault="0039488E" w:rsidP="006F0DA0">
            <w:pPr>
              <w:contextualSpacing/>
              <w:jc w:val="both"/>
              <w:rPr>
                <w:rFonts w:cs="Times New Roman"/>
                <w:szCs w:val="24"/>
                <w:lang w:val="bg-BG"/>
              </w:rPr>
            </w:pPr>
          </w:p>
        </w:tc>
        <w:tc>
          <w:tcPr>
            <w:tcW w:w="833" w:type="pct"/>
          </w:tcPr>
          <w:p w14:paraId="540B0561" w14:textId="77777777" w:rsidR="0039488E" w:rsidRPr="006F3533" w:rsidRDefault="0039488E" w:rsidP="006F0DA0">
            <w:pPr>
              <w:contextualSpacing/>
              <w:jc w:val="both"/>
              <w:rPr>
                <w:rFonts w:cs="Times New Roman"/>
                <w:szCs w:val="24"/>
                <w:lang w:val="bg-BG"/>
              </w:rPr>
            </w:pPr>
          </w:p>
        </w:tc>
        <w:tc>
          <w:tcPr>
            <w:tcW w:w="834" w:type="pct"/>
          </w:tcPr>
          <w:p w14:paraId="45DA3EA4" w14:textId="77777777" w:rsidR="0039488E" w:rsidRPr="006F3533" w:rsidRDefault="0039488E" w:rsidP="006F0DA0">
            <w:pPr>
              <w:contextualSpacing/>
              <w:jc w:val="both"/>
              <w:rPr>
                <w:rFonts w:cs="Times New Roman"/>
                <w:szCs w:val="24"/>
                <w:lang w:val="bg-BG"/>
              </w:rPr>
            </w:pPr>
          </w:p>
        </w:tc>
        <w:tc>
          <w:tcPr>
            <w:tcW w:w="834" w:type="pct"/>
          </w:tcPr>
          <w:p w14:paraId="60A202B3" w14:textId="77777777" w:rsidR="0039488E" w:rsidRPr="006F3533" w:rsidRDefault="0039488E" w:rsidP="006F0DA0">
            <w:pPr>
              <w:contextualSpacing/>
              <w:jc w:val="both"/>
              <w:rPr>
                <w:rFonts w:cs="Times New Roman"/>
                <w:szCs w:val="24"/>
                <w:lang w:val="bg-BG"/>
              </w:rPr>
            </w:pPr>
          </w:p>
        </w:tc>
      </w:tr>
    </w:tbl>
    <w:p w14:paraId="05837E0F"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Независимо от ограниченията по отношение на наличните данни, съществуват ясни регулаторни изисквания и политики, които ще доведат до значително увеличаване на използването на енергия от ВЕИ в сградите, включително:</w:t>
      </w:r>
    </w:p>
    <w:p w14:paraId="2087B555" w14:textId="77777777" w:rsidR="0039488E" w:rsidRPr="006F3533" w:rsidRDefault="0039488E" w:rsidP="00551FED">
      <w:pPr>
        <w:numPr>
          <w:ilvl w:val="0"/>
          <w:numId w:val="92"/>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Съгласно националната дефиниция за сгради с близко до нулево потребление на енергия (СБНПЕ), за всички нови сгради се изисква най-малко 55% от необходимата потребна енергия</w:t>
      </w:r>
      <w:r w:rsidRPr="006F3533">
        <w:rPr>
          <w:rFonts w:eastAsia="Times New Roman" w:cs="Times New Roman"/>
          <w:b/>
          <w:bCs/>
          <w:szCs w:val="24"/>
          <w:lang w:val="bg-BG" w:eastAsia="en-GB"/>
        </w:rPr>
        <w:t xml:space="preserve"> </w:t>
      </w:r>
      <w:r w:rsidRPr="006F3533">
        <w:rPr>
          <w:rFonts w:eastAsia="Times New Roman" w:cs="Times New Roman"/>
          <w:szCs w:val="24"/>
          <w:lang w:val="bg-BG" w:eastAsia="en-GB"/>
        </w:rPr>
        <w:t>(с изключение на енергията за електрически уреди) да бъде осигурена от възобновяеми енергийни източници, произведени на място или в близост до сградата;</w:t>
      </w:r>
    </w:p>
    <w:p w14:paraId="73BBB873" w14:textId="77777777" w:rsidR="002309ED" w:rsidRPr="006F3533" w:rsidRDefault="0039488E" w:rsidP="00551FED">
      <w:pPr>
        <w:numPr>
          <w:ilvl w:val="0"/>
          <w:numId w:val="92"/>
        </w:numPr>
        <w:spacing w:before="100" w:beforeAutospacing="1" w:after="0" w:line="240" w:lineRule="auto"/>
        <w:jc w:val="both"/>
        <w:rPr>
          <w:rFonts w:eastAsia="Times New Roman" w:cs="Times New Roman"/>
          <w:szCs w:val="24"/>
          <w:lang w:val="bg-BG" w:eastAsia="en-GB"/>
        </w:rPr>
      </w:pPr>
      <w:r w:rsidRPr="006F3533">
        <w:rPr>
          <w:rFonts w:eastAsia="Times New Roman" w:cs="Times New Roman"/>
          <w:szCs w:val="24"/>
          <w:lang w:val="bg-BG" w:eastAsia="en-GB"/>
        </w:rPr>
        <w:t>Очаква се най-голям принос към нарастването на ВЕИ в сгради</w:t>
      </w:r>
      <w:r w:rsidR="002309ED" w:rsidRPr="006F3533">
        <w:rPr>
          <w:rFonts w:eastAsia="Times New Roman" w:cs="Times New Roman"/>
          <w:szCs w:val="24"/>
          <w:lang w:val="bg-BG" w:eastAsia="en-GB"/>
        </w:rPr>
        <w:t>те</w:t>
      </w:r>
      <w:r w:rsidRPr="006F3533">
        <w:rPr>
          <w:rFonts w:eastAsia="Times New Roman" w:cs="Times New Roman"/>
          <w:szCs w:val="24"/>
          <w:lang w:val="bg-BG" w:eastAsia="en-GB"/>
        </w:rPr>
        <w:t xml:space="preserve"> да има използването на възобновяема енергия от околната среда чрез термопомпи, но се очаква и нарастване на използването на слънчевата енергия (фотоволтаични и </w:t>
      </w:r>
      <w:proofErr w:type="spellStart"/>
      <w:r w:rsidRPr="006F3533">
        <w:rPr>
          <w:rFonts w:eastAsia="Times New Roman" w:cs="Times New Roman"/>
          <w:szCs w:val="24"/>
          <w:lang w:val="bg-BG" w:eastAsia="en-GB"/>
        </w:rPr>
        <w:t>термосоларни</w:t>
      </w:r>
      <w:proofErr w:type="spellEnd"/>
      <w:r w:rsidRPr="006F3533">
        <w:rPr>
          <w:rFonts w:eastAsia="Times New Roman" w:cs="Times New Roman"/>
          <w:szCs w:val="24"/>
          <w:lang w:val="bg-BG" w:eastAsia="en-GB"/>
        </w:rPr>
        <w:t xml:space="preserve"> инсталации)</w:t>
      </w:r>
      <w:r w:rsidR="002309ED" w:rsidRPr="006F3533">
        <w:rPr>
          <w:rFonts w:eastAsia="Times New Roman" w:cs="Times New Roman"/>
          <w:szCs w:val="24"/>
          <w:lang w:val="bg-BG" w:eastAsia="en-GB"/>
        </w:rPr>
        <w:t xml:space="preserve">; </w:t>
      </w:r>
    </w:p>
    <w:p w14:paraId="6DDB0CB3" w14:textId="55F55FF5" w:rsidR="002309ED" w:rsidRPr="006F3533" w:rsidRDefault="0039488E" w:rsidP="00551FED">
      <w:pPr>
        <w:numPr>
          <w:ilvl w:val="0"/>
          <w:numId w:val="93"/>
        </w:numPr>
        <w:spacing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Допълнителен силен стимул за увеличаване на ВЕИ в сградите произтича от изискванията на Директивата за енергийните характеристики на сградите (Директива (ЕС) 2024/1275), </w:t>
      </w:r>
      <w:r w:rsidR="002309ED" w:rsidRPr="006F3533">
        <w:rPr>
          <w:rFonts w:eastAsia="Times New Roman" w:cs="Times New Roman"/>
          <w:szCs w:val="24"/>
          <w:lang w:val="bg-BG" w:eastAsia="en-GB"/>
        </w:rPr>
        <w:t xml:space="preserve">и </w:t>
      </w:r>
      <w:r w:rsidRPr="006F3533">
        <w:rPr>
          <w:rFonts w:eastAsia="Times New Roman" w:cs="Times New Roman"/>
          <w:szCs w:val="24"/>
          <w:lang w:val="bg-BG" w:eastAsia="en-GB"/>
        </w:rPr>
        <w:t>по-специално</w:t>
      </w:r>
      <w:r w:rsidR="002309ED" w:rsidRPr="006F3533">
        <w:rPr>
          <w:rFonts w:eastAsia="Times New Roman" w:cs="Times New Roman"/>
          <w:szCs w:val="24"/>
          <w:lang w:val="bg-BG" w:eastAsia="en-GB"/>
        </w:rPr>
        <w:t xml:space="preserve"> чл.</w:t>
      </w:r>
      <w:r w:rsidRPr="006F3533">
        <w:rPr>
          <w:rFonts w:eastAsia="Times New Roman" w:cs="Times New Roman"/>
          <w:szCs w:val="24"/>
          <w:lang w:val="bg-BG" w:eastAsia="en-GB"/>
        </w:rPr>
        <w:t xml:space="preserve"> 10</w:t>
      </w:r>
      <w:r w:rsidR="002309ED" w:rsidRPr="006F3533">
        <w:rPr>
          <w:rFonts w:eastAsia="Times New Roman" w:cs="Times New Roman"/>
          <w:szCs w:val="24"/>
          <w:lang w:val="bg-BG" w:eastAsia="en-GB"/>
        </w:rPr>
        <w:t>.</w:t>
      </w:r>
    </w:p>
    <w:p w14:paraId="6A1950AB" w14:textId="0D037B4D" w:rsidR="002309ED" w:rsidRPr="006F3533" w:rsidRDefault="002309ED" w:rsidP="002309E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Тези изисквания ще доведат до системно увеличаване на инсталираните мощности за слънчева енергия върху покривите на публични и други нежилищни и жилищни сгради и до нарастване на произведената енергия от ВЕИ в сградния сектор.</w:t>
      </w:r>
    </w:p>
    <w:p w14:paraId="7C496C30" w14:textId="6838AA41" w:rsidR="0039488E" w:rsidRPr="006F3533" w:rsidRDefault="002309ED" w:rsidP="002309E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Наред с регулаторните изисквания, особено важно е увеличаването на използването на ВЕИ в сградите да бъде целенасочено обвързано с политики за намаляване на енергийната бедност. В тази връзка, в годишния доклад на Института за икономически изследвания при БАН за 2024 г. е формулирано предложение за постигане на реално повишаване на енергийната ефективност на домакинствата и енергийна независимост чрез широко използване на енергия от възобновяеми източници – за минимум 10% от домакинствата в България до 2030 г. (около 280 хил. домакинства), 30% до 2040 г. (860 хил. домакинства) и 50% до 2050 г. (1,4 млн. домакинства). Препоръчително е инвестиционните мерки да насочват поне една трета от ресурса си приоритетно към енергийно бедните домакинства, освен в случаите, когато е изрично изискван 100% фокус върху тази група (както при Социалния климатичен фонд и схемите за задължения за енергийни спестявания на енергийните доставчици). Това би позволило намаляване на енергийната бедност с около 180 хил. домакинства до 2030 г., с допълнителни 250 хил. домакинства до 2040 г. и още 300 хил. до 2050 г.</w:t>
      </w:r>
    </w:p>
    <w:p w14:paraId="27C858F6" w14:textId="7A727595"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С оглед на гореописаните политики и регулаторни изисквания, </w:t>
      </w:r>
      <w:r w:rsidR="006F0DA0" w:rsidRPr="006F3533">
        <w:rPr>
          <w:lang w:val="bg-BG"/>
        </w:rPr>
        <w:t xml:space="preserve">ще бъде изготвена </w:t>
      </w:r>
      <w:r w:rsidRPr="006F3533">
        <w:rPr>
          <w:rFonts w:eastAsia="Times New Roman" w:cs="Times New Roman"/>
          <w:szCs w:val="24"/>
          <w:lang w:val="bg-BG" w:eastAsia="en-GB"/>
        </w:rPr>
        <w:t xml:space="preserve">ориентировъчна оценка на произведената енергия от възобновяеми източници в нежилищните сгради за съответните години. Тази оценка </w:t>
      </w:r>
      <w:r w:rsidR="006F0DA0" w:rsidRPr="006F3533">
        <w:rPr>
          <w:rFonts w:eastAsia="Times New Roman" w:cs="Times New Roman"/>
          <w:szCs w:val="24"/>
          <w:lang w:val="bg-BG" w:eastAsia="en-GB"/>
        </w:rPr>
        <w:t xml:space="preserve">няма да </w:t>
      </w:r>
      <w:r w:rsidRPr="006F3533">
        <w:rPr>
          <w:rFonts w:eastAsia="Times New Roman" w:cs="Times New Roman"/>
          <w:szCs w:val="24"/>
          <w:lang w:val="bg-BG" w:eastAsia="en-GB"/>
        </w:rPr>
        <w:t>представлява дял от общото енергийно потребление, а абсолютно количество произведена енергия от ВЕИ, съответстващо на очакваното развитие на:</w:t>
      </w:r>
    </w:p>
    <w:p w14:paraId="4C09A205" w14:textId="77777777" w:rsidR="0039488E" w:rsidRPr="006F3533" w:rsidRDefault="0039488E" w:rsidP="00551FED">
      <w:pPr>
        <w:numPr>
          <w:ilvl w:val="0"/>
          <w:numId w:val="94"/>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новото строителство;</w:t>
      </w:r>
    </w:p>
    <w:p w14:paraId="28996CB0" w14:textId="77777777" w:rsidR="0039488E" w:rsidRPr="006F3533" w:rsidRDefault="0039488E" w:rsidP="00551FED">
      <w:pPr>
        <w:numPr>
          <w:ilvl w:val="0"/>
          <w:numId w:val="94"/>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внедряването на термопомпи;</w:t>
      </w:r>
    </w:p>
    <w:p w14:paraId="20EB71BC" w14:textId="77777777" w:rsidR="0039488E" w:rsidRPr="006F3533" w:rsidRDefault="0039488E" w:rsidP="00551FED">
      <w:pPr>
        <w:numPr>
          <w:ilvl w:val="0"/>
          <w:numId w:val="94"/>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lastRenderedPageBreak/>
        <w:t>изграждането на слънчеви инсталации в съответствие с действащото и предстоящото законодателство.</w:t>
      </w:r>
    </w:p>
    <w:p w14:paraId="0376EBF4"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Представеният подход позволява да се отчете приносът на сградния сектор към постигането на целите за възобновяема енергия по прозрачен и методологично устойчив начин, без да се въвеждат допълнителни допускания за относителния дял на ВЕИ при липса на надеждна изходна информация относно текущия дял.</w:t>
      </w:r>
    </w:p>
    <w:p w14:paraId="2304BD84" w14:textId="77777777" w:rsidR="0039488E" w:rsidRPr="006F3533" w:rsidRDefault="0039488E" w:rsidP="006F0DA0">
      <w:pPr>
        <w:spacing w:before="100" w:beforeAutospacing="1" w:after="100" w:afterAutospacing="1" w:line="240" w:lineRule="auto"/>
        <w:jc w:val="both"/>
        <w:outlineLvl w:val="1"/>
        <w:rPr>
          <w:rFonts w:eastAsia="Times New Roman" w:cs="Times New Roman"/>
          <w:b/>
          <w:bCs/>
          <w:sz w:val="28"/>
          <w:szCs w:val="28"/>
          <w:lang w:val="bg-BG"/>
        </w:rPr>
      </w:pPr>
      <w:bookmarkStart w:id="176" w:name="_Toc217888811"/>
      <w:r w:rsidRPr="006F3533">
        <w:rPr>
          <w:rFonts w:eastAsia="Times New Roman" w:cs="Times New Roman"/>
          <w:b/>
          <w:bCs/>
          <w:sz w:val="28"/>
          <w:szCs w:val="28"/>
          <w:lang w:val="bg-BG"/>
        </w:rPr>
        <w:t>Числови цели за внедряването на слънчева енергия в сградите</w:t>
      </w:r>
      <w:bookmarkEnd w:id="176"/>
    </w:p>
    <w:p w14:paraId="4AFCEFA8" w14:textId="6E594EBF"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Настоящата точка представя числовите цели за внедряването на слънчева енергия в сгради</w:t>
      </w:r>
      <w:r w:rsidR="002309ED" w:rsidRPr="006F3533">
        <w:rPr>
          <w:rFonts w:eastAsia="Times New Roman" w:cs="Times New Roman"/>
          <w:szCs w:val="24"/>
          <w:lang w:val="bg-BG" w:eastAsia="en-GB"/>
        </w:rPr>
        <w:t>те</w:t>
      </w:r>
      <w:r w:rsidRPr="006F3533">
        <w:rPr>
          <w:rFonts w:eastAsia="Times New Roman" w:cs="Times New Roman"/>
          <w:szCs w:val="24"/>
          <w:lang w:val="bg-BG" w:eastAsia="en-GB"/>
        </w:rPr>
        <w:t xml:space="preserve">, в съответствие с изискванията на европейското законодателство и националните политики за </w:t>
      </w:r>
      <w:proofErr w:type="spellStart"/>
      <w:r w:rsidRPr="006F3533">
        <w:rPr>
          <w:rFonts w:eastAsia="Times New Roman" w:cs="Times New Roman"/>
          <w:szCs w:val="24"/>
          <w:lang w:val="bg-BG" w:eastAsia="en-GB"/>
        </w:rPr>
        <w:t>декарбонизация</w:t>
      </w:r>
      <w:proofErr w:type="spellEnd"/>
      <w:r w:rsidRPr="006F3533">
        <w:rPr>
          <w:rFonts w:eastAsia="Times New Roman" w:cs="Times New Roman"/>
          <w:szCs w:val="24"/>
          <w:lang w:val="bg-BG" w:eastAsia="en-GB"/>
        </w:rPr>
        <w:t xml:space="preserve"> на сградния сектор.</w:t>
      </w:r>
      <w:r w:rsidR="002309ED" w:rsidRPr="006F3533">
        <w:rPr>
          <w:rFonts w:eastAsia="Times New Roman" w:cs="Times New Roman"/>
          <w:szCs w:val="24"/>
          <w:lang w:val="bg-BG" w:eastAsia="en-GB"/>
        </w:rPr>
        <w:t xml:space="preserve"> </w:t>
      </w:r>
      <w:r w:rsidRPr="006F3533">
        <w:rPr>
          <w:rFonts w:eastAsia="Times New Roman" w:cs="Times New Roman"/>
          <w:szCs w:val="24"/>
          <w:lang w:val="bg-BG" w:eastAsia="en-GB"/>
        </w:rPr>
        <w:t xml:space="preserve">Таблица 20 от образеца предвижда представяне на числови цели под формата на дял или покритие на слънчевата енергия в сградите. Към момента обаче </w:t>
      </w:r>
      <w:r w:rsidR="002309ED" w:rsidRPr="006F3533">
        <w:rPr>
          <w:rFonts w:eastAsia="Times New Roman" w:cs="Times New Roman"/>
          <w:szCs w:val="24"/>
          <w:lang w:val="bg-BG" w:eastAsia="en-GB"/>
        </w:rPr>
        <w:t xml:space="preserve">за  съжаление </w:t>
      </w:r>
      <w:r w:rsidRPr="006F3533">
        <w:rPr>
          <w:rFonts w:eastAsia="Times New Roman" w:cs="Times New Roman"/>
          <w:szCs w:val="24"/>
          <w:lang w:val="bg-BG" w:eastAsia="en-GB"/>
        </w:rPr>
        <w:t xml:space="preserve">не е налична надеждна и съпоставима информация за текущото разпространение на слънчеви инсталации в нежилищните </w:t>
      </w:r>
      <w:r w:rsidR="002309ED" w:rsidRPr="006F3533">
        <w:rPr>
          <w:rFonts w:eastAsia="Times New Roman" w:cs="Times New Roman"/>
          <w:szCs w:val="24"/>
          <w:lang w:val="bg-BG" w:eastAsia="en-GB"/>
        </w:rPr>
        <w:t xml:space="preserve">и жилищните </w:t>
      </w:r>
      <w:r w:rsidRPr="006F3533">
        <w:rPr>
          <w:rFonts w:eastAsia="Times New Roman" w:cs="Times New Roman"/>
          <w:szCs w:val="24"/>
          <w:lang w:val="bg-BG" w:eastAsia="en-GB"/>
        </w:rPr>
        <w:t>сгради, поради което не е възможно да бъдат определени валидни цели, изразени като относителен дял или процентно покритие.</w:t>
      </w:r>
    </w:p>
    <w:p w14:paraId="6482DC0B" w14:textId="45CA791D"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Поради тази причина Таблица 20 остава </w:t>
      </w:r>
      <w:proofErr w:type="spellStart"/>
      <w:r w:rsidRPr="006F3533">
        <w:rPr>
          <w:rFonts w:eastAsia="Times New Roman" w:cs="Times New Roman"/>
          <w:szCs w:val="24"/>
          <w:lang w:val="bg-BG" w:eastAsia="en-GB"/>
        </w:rPr>
        <w:t>непопълнена</w:t>
      </w:r>
      <w:proofErr w:type="spellEnd"/>
      <w:r w:rsidRPr="006F3533">
        <w:rPr>
          <w:rFonts w:eastAsia="Times New Roman" w:cs="Times New Roman"/>
          <w:szCs w:val="24"/>
          <w:lang w:val="bg-BG" w:eastAsia="en-GB"/>
        </w:rPr>
        <w:t xml:space="preserve">, </w:t>
      </w:r>
      <w:r w:rsidR="002309ED" w:rsidRPr="006F3533">
        <w:rPr>
          <w:rFonts w:eastAsia="Times New Roman" w:cs="Times New Roman"/>
          <w:szCs w:val="24"/>
          <w:lang w:val="bg-BG" w:eastAsia="en-GB"/>
        </w:rPr>
        <w:t xml:space="preserve">като в окончателната версия на плана </w:t>
      </w:r>
      <w:r w:rsidR="006F0DA0" w:rsidRPr="006F3533">
        <w:rPr>
          <w:lang w:val="bg-BG"/>
        </w:rPr>
        <w:t xml:space="preserve">ще бъде извършена </w:t>
      </w:r>
      <w:r w:rsidR="002309ED" w:rsidRPr="006F3533">
        <w:rPr>
          <w:lang w:val="bg-BG"/>
        </w:rPr>
        <w:t xml:space="preserve">оценка </w:t>
      </w:r>
      <w:r w:rsidR="006F0DA0" w:rsidRPr="006F3533">
        <w:rPr>
          <w:lang w:val="bg-BG"/>
        </w:rPr>
        <w:t xml:space="preserve">чрез </w:t>
      </w:r>
      <w:r w:rsidR="006F0DA0" w:rsidRPr="006F3533">
        <w:rPr>
          <w:rStyle w:val="Strong"/>
          <w:b w:val="0"/>
          <w:bCs w:val="0"/>
          <w:lang w:val="bg-BG"/>
        </w:rPr>
        <w:t>алтернативен количествен подход</w:t>
      </w:r>
      <w:r w:rsidR="006F0DA0" w:rsidRPr="006F3533">
        <w:rPr>
          <w:lang w:val="bg-BG"/>
        </w:rPr>
        <w:t xml:space="preserve">, който се основава на очакваната </w:t>
      </w:r>
      <w:r w:rsidR="006F0DA0" w:rsidRPr="006F3533">
        <w:rPr>
          <w:rStyle w:val="Strong"/>
          <w:b w:val="0"/>
          <w:bCs w:val="0"/>
          <w:lang w:val="bg-BG"/>
        </w:rPr>
        <w:t>произведена енергия от слънчеви инсталации</w:t>
      </w:r>
      <w:r w:rsidR="006F0DA0" w:rsidRPr="006F3533">
        <w:rPr>
          <w:lang w:val="bg-BG"/>
        </w:rPr>
        <w:t xml:space="preserve"> в нежилищните сгради в резултат от прилагането на конкретни политики и нормативни изисквания. </w:t>
      </w:r>
    </w:p>
    <w:p w14:paraId="0B406DF0" w14:textId="77777777" w:rsidR="0039488E" w:rsidRPr="006F3533" w:rsidRDefault="0039488E" w:rsidP="002309ED">
      <w:pPr>
        <w:spacing w:line="240" w:lineRule="auto"/>
        <w:contextualSpacing/>
        <w:jc w:val="both"/>
        <w:rPr>
          <w:rFonts w:cs="Times New Roman"/>
          <w:i/>
          <w:iCs/>
          <w:color w:val="4472C4" w:themeColor="accent1"/>
          <w:szCs w:val="24"/>
          <w:lang w:val="bg-BG"/>
        </w:rPr>
      </w:pPr>
      <w:r w:rsidRPr="006F3533">
        <w:rPr>
          <w:rFonts w:cs="Times New Roman"/>
          <w:i/>
          <w:iCs/>
          <w:color w:val="4472C4" w:themeColor="accent1"/>
          <w:szCs w:val="24"/>
          <w:lang w:val="bg-BG"/>
        </w:rPr>
        <w:t>Таблица 20. Цели за дела на енергията произведена от слънчеви инсталации в сградите за периода 2030-2050 г.</w:t>
      </w:r>
    </w:p>
    <w:p w14:paraId="0A179671" w14:textId="77777777" w:rsidR="002309ED" w:rsidRPr="006F3533" w:rsidRDefault="002309ED" w:rsidP="002309ED">
      <w:pPr>
        <w:spacing w:line="240" w:lineRule="auto"/>
        <w:contextualSpacing/>
        <w:jc w:val="both"/>
        <w:rPr>
          <w:rFonts w:cs="Times New Roman"/>
          <w:i/>
          <w:iCs/>
          <w:szCs w:val="24"/>
          <w:lang w:val="bg-BG"/>
        </w:rPr>
      </w:pPr>
    </w:p>
    <w:tbl>
      <w:tblPr>
        <w:tblStyle w:val="TableGrid"/>
        <w:tblW w:w="5000" w:type="pct"/>
        <w:tblLook w:val="04A0" w:firstRow="1" w:lastRow="0" w:firstColumn="1" w:lastColumn="0" w:noHBand="0" w:noVBand="1"/>
      </w:tblPr>
      <w:tblGrid>
        <w:gridCol w:w="1544"/>
        <w:gridCol w:w="770"/>
        <w:gridCol w:w="1106"/>
        <w:gridCol w:w="1466"/>
        <w:gridCol w:w="1028"/>
        <w:gridCol w:w="1071"/>
        <w:gridCol w:w="961"/>
        <w:gridCol w:w="1116"/>
      </w:tblGrid>
      <w:tr w:rsidR="0039488E" w:rsidRPr="006F3533" w14:paraId="3A804CE9" w14:textId="77777777" w:rsidTr="002309ED">
        <w:tc>
          <w:tcPr>
            <w:tcW w:w="852" w:type="pct"/>
            <w:shd w:val="clear" w:color="auto" w:fill="D9D9D9" w:themeFill="background1" w:themeFillShade="D9"/>
          </w:tcPr>
          <w:p w14:paraId="41C63ECB"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Numerical</w:t>
            </w:r>
            <w:proofErr w:type="spellEnd"/>
            <w:r w:rsidRPr="006F3533">
              <w:rPr>
                <w:rFonts w:cs="Times New Roman"/>
                <w:sz w:val="22"/>
                <w:lang w:val="bg-BG"/>
              </w:rPr>
              <w:t xml:space="preserve"> </w:t>
            </w:r>
            <w:proofErr w:type="spellStart"/>
            <w:r w:rsidRPr="006F3533">
              <w:rPr>
                <w:rFonts w:cs="Times New Roman"/>
                <w:sz w:val="22"/>
                <w:lang w:val="bg-BG"/>
              </w:rPr>
              <w:t>targets</w:t>
            </w:r>
            <w:proofErr w:type="spellEnd"/>
          </w:p>
          <w:p w14:paraId="6D63CAD5"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for</w:t>
            </w:r>
            <w:proofErr w:type="spellEnd"/>
            <w:r w:rsidRPr="006F3533">
              <w:rPr>
                <w:rFonts w:cs="Times New Roman"/>
                <w:sz w:val="22"/>
                <w:lang w:val="bg-BG"/>
              </w:rPr>
              <w:t xml:space="preserve"> </w:t>
            </w:r>
            <w:proofErr w:type="spellStart"/>
            <w:r w:rsidRPr="006F3533">
              <w:rPr>
                <w:rFonts w:cs="Times New Roman"/>
                <w:sz w:val="22"/>
                <w:lang w:val="bg-BG"/>
              </w:rPr>
              <w:t>the</w:t>
            </w:r>
            <w:proofErr w:type="spellEnd"/>
            <w:r w:rsidRPr="006F3533">
              <w:rPr>
                <w:rFonts w:cs="Times New Roman"/>
                <w:sz w:val="22"/>
                <w:lang w:val="bg-BG"/>
              </w:rPr>
              <w:t xml:space="preserve"> </w:t>
            </w:r>
            <w:proofErr w:type="spellStart"/>
            <w:r w:rsidRPr="006F3533">
              <w:rPr>
                <w:rFonts w:cs="Times New Roman"/>
                <w:sz w:val="22"/>
                <w:lang w:val="bg-BG"/>
              </w:rPr>
              <w:t>deployment</w:t>
            </w:r>
            <w:proofErr w:type="spellEnd"/>
            <w:r w:rsidRPr="006F3533">
              <w:rPr>
                <w:rFonts w:cs="Times New Roman"/>
                <w:sz w:val="22"/>
                <w:lang w:val="bg-BG"/>
              </w:rPr>
              <w:t xml:space="preserve"> </w:t>
            </w:r>
            <w:proofErr w:type="spellStart"/>
            <w:r w:rsidRPr="006F3533">
              <w:rPr>
                <w:rFonts w:cs="Times New Roman"/>
                <w:sz w:val="22"/>
                <w:lang w:val="bg-BG"/>
              </w:rPr>
              <w:t>of</w:t>
            </w:r>
            <w:proofErr w:type="spellEnd"/>
            <w:r w:rsidRPr="006F3533">
              <w:rPr>
                <w:rFonts w:cs="Times New Roman"/>
                <w:sz w:val="22"/>
                <w:lang w:val="bg-BG"/>
              </w:rPr>
              <w:t xml:space="preserve"> </w:t>
            </w:r>
            <w:proofErr w:type="spellStart"/>
            <w:r w:rsidRPr="006F3533">
              <w:rPr>
                <w:rFonts w:cs="Times New Roman"/>
                <w:sz w:val="22"/>
                <w:lang w:val="bg-BG"/>
              </w:rPr>
              <w:t>solar</w:t>
            </w:r>
            <w:proofErr w:type="spellEnd"/>
            <w:r w:rsidRPr="006F3533">
              <w:rPr>
                <w:rFonts w:cs="Times New Roman"/>
                <w:sz w:val="22"/>
                <w:lang w:val="bg-BG"/>
              </w:rPr>
              <w:t xml:space="preserve"> </w:t>
            </w:r>
            <w:proofErr w:type="spellStart"/>
            <w:r w:rsidRPr="006F3533">
              <w:rPr>
                <w:rFonts w:cs="Times New Roman"/>
                <w:sz w:val="22"/>
                <w:lang w:val="bg-BG"/>
              </w:rPr>
              <w:t>energy</w:t>
            </w:r>
            <w:proofErr w:type="spellEnd"/>
          </w:p>
        </w:tc>
        <w:tc>
          <w:tcPr>
            <w:tcW w:w="425" w:type="pct"/>
            <w:shd w:val="clear" w:color="auto" w:fill="D9D9D9" w:themeFill="background1" w:themeFillShade="D9"/>
          </w:tcPr>
          <w:p w14:paraId="28694C76" w14:textId="77777777" w:rsidR="0039488E" w:rsidRPr="006F3533" w:rsidRDefault="0039488E" w:rsidP="006F0DA0">
            <w:pPr>
              <w:contextualSpacing/>
              <w:jc w:val="both"/>
              <w:rPr>
                <w:rFonts w:cs="Times New Roman"/>
                <w:sz w:val="22"/>
                <w:lang w:val="bg-BG"/>
              </w:rPr>
            </w:pPr>
          </w:p>
          <w:p w14:paraId="6AA700BD" w14:textId="77777777" w:rsidR="0039488E" w:rsidRPr="006F3533" w:rsidRDefault="0039488E" w:rsidP="006F0DA0">
            <w:pPr>
              <w:contextualSpacing/>
              <w:jc w:val="both"/>
              <w:rPr>
                <w:rFonts w:cs="Times New Roman"/>
                <w:sz w:val="22"/>
                <w:lang w:val="bg-BG"/>
              </w:rPr>
            </w:pPr>
          </w:p>
          <w:p w14:paraId="23D44381" w14:textId="77777777" w:rsidR="0039488E" w:rsidRPr="006F3533" w:rsidRDefault="0039488E" w:rsidP="006F0DA0">
            <w:pPr>
              <w:contextualSpacing/>
              <w:jc w:val="both"/>
              <w:rPr>
                <w:rFonts w:cs="Times New Roman"/>
                <w:sz w:val="22"/>
                <w:lang w:val="bg-BG"/>
              </w:rPr>
            </w:pPr>
            <w:r w:rsidRPr="006F3533">
              <w:rPr>
                <w:rFonts w:cs="Times New Roman"/>
                <w:sz w:val="22"/>
                <w:lang w:val="bg-BG"/>
              </w:rPr>
              <w:t>M/</w:t>
            </w:r>
          </w:p>
          <w:p w14:paraId="212E7479"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Miav</w:t>
            </w:r>
            <w:proofErr w:type="spellEnd"/>
          </w:p>
        </w:tc>
        <w:tc>
          <w:tcPr>
            <w:tcW w:w="1419" w:type="pct"/>
            <w:gridSpan w:val="2"/>
            <w:shd w:val="clear" w:color="auto" w:fill="D9D9D9" w:themeFill="background1" w:themeFillShade="D9"/>
          </w:tcPr>
          <w:p w14:paraId="0E36F9D0" w14:textId="77777777" w:rsidR="0039488E" w:rsidRPr="006F3533" w:rsidRDefault="0039488E" w:rsidP="006F0DA0">
            <w:pPr>
              <w:contextualSpacing/>
              <w:jc w:val="both"/>
              <w:rPr>
                <w:rFonts w:cs="Times New Roman"/>
                <w:sz w:val="22"/>
                <w:lang w:val="bg-BG"/>
              </w:rPr>
            </w:pPr>
          </w:p>
          <w:p w14:paraId="6E1A4859" w14:textId="77777777" w:rsidR="0039488E" w:rsidRPr="006F3533" w:rsidRDefault="0039488E" w:rsidP="006F0DA0">
            <w:pPr>
              <w:contextualSpacing/>
              <w:jc w:val="both"/>
              <w:rPr>
                <w:rFonts w:cs="Times New Roman"/>
                <w:sz w:val="22"/>
                <w:lang w:val="bg-BG"/>
              </w:rPr>
            </w:pPr>
          </w:p>
          <w:p w14:paraId="0156697C" w14:textId="77777777" w:rsidR="0039488E" w:rsidRPr="006F3533" w:rsidRDefault="0039488E" w:rsidP="006F0DA0">
            <w:pPr>
              <w:contextualSpacing/>
              <w:jc w:val="both"/>
              <w:rPr>
                <w:rFonts w:cs="Times New Roman"/>
                <w:sz w:val="22"/>
                <w:lang w:val="bg-BG"/>
              </w:rPr>
            </w:pPr>
            <w:r w:rsidRPr="006F3533">
              <w:rPr>
                <w:rFonts w:cs="Times New Roman"/>
                <w:sz w:val="22"/>
                <w:lang w:val="bg-BG"/>
              </w:rPr>
              <w:t>2030</w:t>
            </w:r>
          </w:p>
          <w:p w14:paraId="6B1963EE" w14:textId="77777777" w:rsidR="0039488E" w:rsidRPr="006F3533" w:rsidRDefault="0039488E" w:rsidP="006F0DA0">
            <w:pPr>
              <w:contextualSpacing/>
              <w:jc w:val="both"/>
              <w:rPr>
                <w:rFonts w:cs="Times New Roman"/>
                <w:sz w:val="22"/>
                <w:lang w:val="bg-BG"/>
              </w:rPr>
            </w:pPr>
          </w:p>
        </w:tc>
        <w:tc>
          <w:tcPr>
            <w:tcW w:w="1158" w:type="pct"/>
            <w:gridSpan w:val="2"/>
            <w:shd w:val="clear" w:color="auto" w:fill="D9D9D9" w:themeFill="background1" w:themeFillShade="D9"/>
          </w:tcPr>
          <w:p w14:paraId="481B8FE8" w14:textId="77777777" w:rsidR="0039488E" w:rsidRPr="006F3533" w:rsidRDefault="0039488E" w:rsidP="006F0DA0">
            <w:pPr>
              <w:contextualSpacing/>
              <w:jc w:val="both"/>
              <w:rPr>
                <w:rFonts w:cs="Times New Roman"/>
                <w:sz w:val="22"/>
                <w:lang w:val="bg-BG"/>
              </w:rPr>
            </w:pPr>
          </w:p>
          <w:p w14:paraId="646C929E" w14:textId="77777777" w:rsidR="0039488E" w:rsidRPr="006F3533" w:rsidRDefault="0039488E" w:rsidP="006F0DA0">
            <w:pPr>
              <w:contextualSpacing/>
              <w:jc w:val="both"/>
              <w:rPr>
                <w:rFonts w:cs="Times New Roman"/>
                <w:sz w:val="22"/>
                <w:lang w:val="bg-BG"/>
              </w:rPr>
            </w:pPr>
          </w:p>
          <w:p w14:paraId="3441A159" w14:textId="77777777" w:rsidR="0039488E" w:rsidRPr="006F3533" w:rsidRDefault="0039488E" w:rsidP="006F0DA0">
            <w:pPr>
              <w:contextualSpacing/>
              <w:jc w:val="both"/>
              <w:rPr>
                <w:rFonts w:cs="Times New Roman"/>
                <w:sz w:val="22"/>
                <w:lang w:val="bg-BG"/>
              </w:rPr>
            </w:pPr>
            <w:r w:rsidRPr="006F3533">
              <w:rPr>
                <w:rFonts w:cs="Times New Roman"/>
                <w:sz w:val="22"/>
                <w:lang w:val="bg-BG"/>
              </w:rPr>
              <w:t>2040</w:t>
            </w:r>
          </w:p>
        </w:tc>
        <w:tc>
          <w:tcPr>
            <w:tcW w:w="1147" w:type="pct"/>
            <w:gridSpan w:val="2"/>
            <w:shd w:val="clear" w:color="auto" w:fill="D9D9D9" w:themeFill="background1" w:themeFillShade="D9"/>
          </w:tcPr>
          <w:p w14:paraId="54D7A707" w14:textId="77777777" w:rsidR="0039488E" w:rsidRPr="006F3533" w:rsidRDefault="0039488E" w:rsidP="006F0DA0">
            <w:pPr>
              <w:contextualSpacing/>
              <w:jc w:val="both"/>
              <w:rPr>
                <w:rFonts w:cs="Times New Roman"/>
                <w:sz w:val="22"/>
                <w:lang w:val="bg-BG"/>
              </w:rPr>
            </w:pPr>
          </w:p>
          <w:p w14:paraId="702F8D42" w14:textId="77777777" w:rsidR="0039488E" w:rsidRPr="006F3533" w:rsidRDefault="0039488E" w:rsidP="006F0DA0">
            <w:pPr>
              <w:contextualSpacing/>
              <w:jc w:val="both"/>
              <w:rPr>
                <w:rFonts w:cs="Times New Roman"/>
                <w:sz w:val="22"/>
                <w:lang w:val="bg-BG"/>
              </w:rPr>
            </w:pPr>
          </w:p>
          <w:p w14:paraId="6B4B1562" w14:textId="77777777" w:rsidR="0039488E" w:rsidRPr="006F3533" w:rsidRDefault="0039488E" w:rsidP="006F0DA0">
            <w:pPr>
              <w:contextualSpacing/>
              <w:jc w:val="both"/>
              <w:rPr>
                <w:rFonts w:cs="Times New Roman"/>
                <w:sz w:val="22"/>
                <w:lang w:val="bg-BG"/>
              </w:rPr>
            </w:pPr>
            <w:r w:rsidRPr="006F3533">
              <w:rPr>
                <w:rFonts w:cs="Times New Roman"/>
                <w:sz w:val="22"/>
                <w:lang w:val="bg-BG"/>
              </w:rPr>
              <w:t>2050</w:t>
            </w:r>
          </w:p>
        </w:tc>
      </w:tr>
      <w:tr w:rsidR="0039488E" w:rsidRPr="006F3533" w14:paraId="331DC68B" w14:textId="77777777" w:rsidTr="002309ED">
        <w:tc>
          <w:tcPr>
            <w:tcW w:w="852" w:type="pct"/>
          </w:tcPr>
          <w:p w14:paraId="6713474E" w14:textId="77777777" w:rsidR="0039488E" w:rsidRPr="006F3533" w:rsidRDefault="0039488E" w:rsidP="006F0DA0">
            <w:pPr>
              <w:contextualSpacing/>
              <w:jc w:val="both"/>
              <w:rPr>
                <w:rFonts w:cs="Times New Roman"/>
                <w:sz w:val="22"/>
                <w:lang w:val="bg-BG"/>
              </w:rPr>
            </w:pPr>
            <w:bookmarkStart w:id="177" w:name="_Hlk216691516"/>
            <w:proofErr w:type="spellStart"/>
            <w:r w:rsidRPr="006F3533">
              <w:rPr>
                <w:rFonts w:cs="Times New Roman"/>
                <w:sz w:val="22"/>
                <w:lang w:val="bg-BG"/>
              </w:rPr>
              <w:t>Share</w:t>
            </w:r>
            <w:proofErr w:type="spellEnd"/>
            <w:r w:rsidRPr="006F3533">
              <w:rPr>
                <w:rFonts w:cs="Times New Roman"/>
                <w:sz w:val="22"/>
                <w:lang w:val="bg-BG"/>
              </w:rPr>
              <w:t xml:space="preserve"> </w:t>
            </w:r>
            <w:proofErr w:type="spellStart"/>
            <w:r w:rsidRPr="006F3533">
              <w:rPr>
                <w:rFonts w:cs="Times New Roman"/>
                <w:sz w:val="22"/>
                <w:lang w:val="bg-BG"/>
              </w:rPr>
              <w:t>of</w:t>
            </w:r>
            <w:proofErr w:type="spellEnd"/>
            <w:r w:rsidRPr="006F3533">
              <w:rPr>
                <w:rFonts w:cs="Times New Roman"/>
                <w:sz w:val="22"/>
                <w:lang w:val="bg-BG"/>
              </w:rPr>
              <w:t xml:space="preserve"> </w:t>
            </w:r>
            <w:proofErr w:type="spellStart"/>
            <w:r w:rsidRPr="006F3533">
              <w:rPr>
                <w:rFonts w:cs="Times New Roman"/>
                <w:sz w:val="22"/>
                <w:lang w:val="bg-BG"/>
              </w:rPr>
              <w:t>residential</w:t>
            </w:r>
            <w:proofErr w:type="spellEnd"/>
            <w:r w:rsidRPr="006F3533">
              <w:rPr>
                <w:rFonts w:cs="Times New Roman"/>
                <w:sz w:val="22"/>
                <w:lang w:val="bg-BG"/>
              </w:rPr>
              <w:t xml:space="preserve"> </w:t>
            </w:r>
            <w:proofErr w:type="spellStart"/>
            <w:r w:rsidRPr="006F3533">
              <w:rPr>
                <w:rFonts w:cs="Times New Roman"/>
                <w:sz w:val="22"/>
                <w:lang w:val="bg-BG"/>
              </w:rPr>
              <w:t>buildings</w:t>
            </w:r>
            <w:proofErr w:type="spellEnd"/>
            <w:r w:rsidRPr="006F3533">
              <w:rPr>
                <w:rFonts w:cs="Times New Roman"/>
                <w:sz w:val="22"/>
                <w:lang w:val="bg-BG"/>
              </w:rPr>
              <w:t xml:space="preserve"> </w:t>
            </w:r>
            <w:proofErr w:type="spellStart"/>
            <w:r w:rsidRPr="006F3533">
              <w:rPr>
                <w:rFonts w:cs="Times New Roman"/>
                <w:sz w:val="22"/>
                <w:lang w:val="bg-BG"/>
              </w:rPr>
              <w:t>equipped</w:t>
            </w:r>
            <w:proofErr w:type="spellEnd"/>
            <w:r w:rsidRPr="006F3533">
              <w:rPr>
                <w:rFonts w:cs="Times New Roman"/>
                <w:sz w:val="22"/>
                <w:lang w:val="bg-BG"/>
              </w:rPr>
              <w:t xml:space="preserve"> (M) </w:t>
            </w:r>
          </w:p>
        </w:tc>
        <w:tc>
          <w:tcPr>
            <w:tcW w:w="425" w:type="pct"/>
          </w:tcPr>
          <w:p w14:paraId="69A3722C" w14:textId="77777777" w:rsidR="0039488E" w:rsidRPr="006F3533" w:rsidRDefault="0039488E" w:rsidP="006F0DA0">
            <w:pPr>
              <w:contextualSpacing/>
              <w:jc w:val="both"/>
              <w:rPr>
                <w:rFonts w:cs="Times New Roman"/>
                <w:sz w:val="22"/>
                <w:lang w:val="bg-BG"/>
              </w:rPr>
            </w:pPr>
            <w:r w:rsidRPr="006F3533">
              <w:rPr>
                <w:rFonts w:cs="Times New Roman"/>
                <w:sz w:val="22"/>
                <w:lang w:val="bg-BG"/>
              </w:rPr>
              <w:t>M</w:t>
            </w:r>
          </w:p>
        </w:tc>
        <w:tc>
          <w:tcPr>
            <w:tcW w:w="610" w:type="pct"/>
          </w:tcPr>
          <w:p w14:paraId="3E5FDEF9"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809" w:type="pct"/>
          </w:tcPr>
          <w:p w14:paraId="7EF9B9E4"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567" w:type="pct"/>
          </w:tcPr>
          <w:p w14:paraId="4D5D4BF3"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591" w:type="pct"/>
          </w:tcPr>
          <w:p w14:paraId="0F378751"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530" w:type="pct"/>
          </w:tcPr>
          <w:p w14:paraId="604EE054"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616" w:type="pct"/>
          </w:tcPr>
          <w:p w14:paraId="4D00CF4E" w14:textId="77777777" w:rsidR="0039488E" w:rsidRPr="006F3533" w:rsidRDefault="0039488E" w:rsidP="006F0DA0">
            <w:pPr>
              <w:contextualSpacing/>
              <w:jc w:val="both"/>
              <w:rPr>
                <w:rFonts w:cs="Times New Roman"/>
                <w:szCs w:val="24"/>
                <w:lang w:val="bg-BG"/>
              </w:rPr>
            </w:pPr>
            <w:r w:rsidRPr="006F3533">
              <w:rPr>
                <w:rFonts w:cs="Times New Roman"/>
                <w:sz w:val="22"/>
                <w:lang w:val="bg-BG"/>
              </w:rPr>
              <w:t>%</w:t>
            </w:r>
          </w:p>
        </w:tc>
      </w:tr>
      <w:tr w:rsidR="0039488E" w:rsidRPr="006F3533" w14:paraId="55F84313" w14:textId="77777777" w:rsidTr="002309ED">
        <w:tc>
          <w:tcPr>
            <w:tcW w:w="852" w:type="pct"/>
          </w:tcPr>
          <w:p w14:paraId="185688DB"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Share</w:t>
            </w:r>
            <w:proofErr w:type="spellEnd"/>
            <w:r w:rsidRPr="006F3533">
              <w:rPr>
                <w:rFonts w:cs="Times New Roman"/>
                <w:sz w:val="22"/>
                <w:lang w:val="bg-BG"/>
              </w:rPr>
              <w:t xml:space="preserve"> </w:t>
            </w:r>
            <w:proofErr w:type="spellStart"/>
            <w:r w:rsidRPr="006F3533">
              <w:rPr>
                <w:rFonts w:cs="Times New Roman"/>
                <w:sz w:val="22"/>
                <w:lang w:val="bg-BG"/>
              </w:rPr>
              <w:t>of</w:t>
            </w:r>
            <w:proofErr w:type="spellEnd"/>
            <w:r w:rsidRPr="006F3533">
              <w:rPr>
                <w:rFonts w:cs="Times New Roman"/>
                <w:sz w:val="22"/>
                <w:lang w:val="bg-BG"/>
              </w:rPr>
              <w:t xml:space="preserve"> </w:t>
            </w:r>
            <w:proofErr w:type="spellStart"/>
            <w:r w:rsidRPr="006F3533">
              <w:rPr>
                <w:rFonts w:cs="Times New Roman"/>
                <w:sz w:val="22"/>
                <w:lang w:val="bg-BG"/>
              </w:rPr>
              <w:t>non-residential</w:t>
            </w:r>
            <w:proofErr w:type="spellEnd"/>
            <w:r w:rsidRPr="006F3533">
              <w:rPr>
                <w:rFonts w:cs="Times New Roman"/>
                <w:sz w:val="22"/>
                <w:lang w:val="bg-BG"/>
              </w:rPr>
              <w:t xml:space="preserve"> </w:t>
            </w:r>
            <w:proofErr w:type="spellStart"/>
            <w:r w:rsidRPr="006F3533">
              <w:rPr>
                <w:rFonts w:cs="Times New Roman"/>
                <w:sz w:val="22"/>
                <w:lang w:val="bg-BG"/>
              </w:rPr>
              <w:t>buildings</w:t>
            </w:r>
            <w:proofErr w:type="spellEnd"/>
            <w:r w:rsidRPr="006F3533">
              <w:rPr>
                <w:rFonts w:cs="Times New Roman"/>
                <w:sz w:val="22"/>
                <w:lang w:val="bg-BG"/>
              </w:rPr>
              <w:t xml:space="preserve"> </w:t>
            </w:r>
            <w:proofErr w:type="spellStart"/>
            <w:r w:rsidRPr="006F3533">
              <w:rPr>
                <w:rFonts w:cs="Times New Roman"/>
                <w:sz w:val="22"/>
                <w:lang w:val="bg-BG"/>
              </w:rPr>
              <w:t>equipped</w:t>
            </w:r>
            <w:proofErr w:type="spellEnd"/>
            <w:r w:rsidRPr="006F3533">
              <w:rPr>
                <w:rFonts w:cs="Times New Roman"/>
                <w:sz w:val="22"/>
                <w:lang w:val="bg-BG"/>
              </w:rPr>
              <w:t xml:space="preserve"> (M)</w:t>
            </w:r>
          </w:p>
        </w:tc>
        <w:tc>
          <w:tcPr>
            <w:tcW w:w="425" w:type="pct"/>
          </w:tcPr>
          <w:p w14:paraId="4ACD028A" w14:textId="77777777" w:rsidR="0039488E" w:rsidRPr="006F3533" w:rsidRDefault="0039488E" w:rsidP="006F0DA0">
            <w:pPr>
              <w:contextualSpacing/>
              <w:jc w:val="both"/>
              <w:rPr>
                <w:rFonts w:cs="Times New Roman"/>
                <w:sz w:val="22"/>
                <w:lang w:val="bg-BG"/>
              </w:rPr>
            </w:pPr>
            <w:r w:rsidRPr="006F3533">
              <w:rPr>
                <w:rFonts w:cs="Times New Roman"/>
                <w:sz w:val="22"/>
                <w:lang w:val="bg-BG"/>
              </w:rPr>
              <w:t>M</w:t>
            </w:r>
          </w:p>
        </w:tc>
        <w:tc>
          <w:tcPr>
            <w:tcW w:w="610" w:type="pct"/>
          </w:tcPr>
          <w:p w14:paraId="35E73ED3"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809" w:type="pct"/>
          </w:tcPr>
          <w:p w14:paraId="03620491"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567" w:type="pct"/>
          </w:tcPr>
          <w:p w14:paraId="6255CEF8"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591" w:type="pct"/>
          </w:tcPr>
          <w:p w14:paraId="10F1E4F3"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530" w:type="pct"/>
          </w:tcPr>
          <w:p w14:paraId="2AE9047D" w14:textId="77777777" w:rsidR="0039488E" w:rsidRPr="006F3533" w:rsidRDefault="0039488E" w:rsidP="006F0DA0">
            <w:pPr>
              <w:contextualSpacing/>
              <w:jc w:val="both"/>
              <w:rPr>
                <w:rFonts w:cs="Times New Roman"/>
                <w:sz w:val="22"/>
                <w:lang w:val="bg-BG"/>
              </w:rPr>
            </w:pPr>
            <w:r w:rsidRPr="006F3533">
              <w:rPr>
                <w:rFonts w:cs="Times New Roman"/>
                <w:sz w:val="22"/>
                <w:lang w:val="bg-BG"/>
              </w:rPr>
              <w:t>%</w:t>
            </w:r>
          </w:p>
        </w:tc>
        <w:tc>
          <w:tcPr>
            <w:tcW w:w="616" w:type="pct"/>
          </w:tcPr>
          <w:p w14:paraId="485DEA74" w14:textId="77777777" w:rsidR="0039488E" w:rsidRPr="006F3533" w:rsidRDefault="0039488E" w:rsidP="006F0DA0">
            <w:pPr>
              <w:contextualSpacing/>
              <w:jc w:val="both"/>
              <w:rPr>
                <w:rFonts w:cs="Times New Roman"/>
                <w:szCs w:val="24"/>
                <w:lang w:val="bg-BG"/>
              </w:rPr>
            </w:pPr>
            <w:r w:rsidRPr="006F3533">
              <w:rPr>
                <w:rFonts w:cs="Times New Roman"/>
                <w:sz w:val="22"/>
                <w:lang w:val="bg-BG"/>
              </w:rPr>
              <w:t>%</w:t>
            </w:r>
          </w:p>
        </w:tc>
      </w:tr>
      <w:tr w:rsidR="0039488E" w:rsidRPr="006F3533" w14:paraId="1C8CF091" w14:textId="77777777" w:rsidTr="002309ED">
        <w:tc>
          <w:tcPr>
            <w:tcW w:w="852" w:type="pct"/>
          </w:tcPr>
          <w:p w14:paraId="30320F10" w14:textId="77777777" w:rsidR="0039488E" w:rsidRPr="006F3533" w:rsidRDefault="0039488E" w:rsidP="006F0DA0">
            <w:pPr>
              <w:contextualSpacing/>
              <w:jc w:val="both"/>
              <w:rPr>
                <w:rFonts w:cs="Times New Roman"/>
                <w:sz w:val="22"/>
                <w:lang w:val="bg-BG"/>
              </w:rPr>
            </w:pPr>
            <w:r w:rsidRPr="006F3533">
              <w:rPr>
                <w:rFonts w:cs="Times New Roman"/>
                <w:sz w:val="22"/>
                <w:lang w:val="bg-BG"/>
              </w:rPr>
              <w:t>TOTAL</w:t>
            </w:r>
          </w:p>
        </w:tc>
        <w:tc>
          <w:tcPr>
            <w:tcW w:w="425" w:type="pct"/>
          </w:tcPr>
          <w:p w14:paraId="0B78A684"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Miav</w:t>
            </w:r>
            <w:proofErr w:type="spellEnd"/>
          </w:p>
        </w:tc>
        <w:tc>
          <w:tcPr>
            <w:tcW w:w="610" w:type="pct"/>
          </w:tcPr>
          <w:p w14:paraId="2E98D74B"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sum</w:t>
            </w:r>
            <w:proofErr w:type="spellEnd"/>
          </w:p>
        </w:tc>
        <w:tc>
          <w:tcPr>
            <w:tcW w:w="809" w:type="pct"/>
          </w:tcPr>
          <w:p w14:paraId="38881AB5"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sum</w:t>
            </w:r>
            <w:proofErr w:type="spellEnd"/>
          </w:p>
        </w:tc>
        <w:tc>
          <w:tcPr>
            <w:tcW w:w="567" w:type="pct"/>
          </w:tcPr>
          <w:p w14:paraId="58757003"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sum</w:t>
            </w:r>
            <w:proofErr w:type="spellEnd"/>
          </w:p>
        </w:tc>
        <w:tc>
          <w:tcPr>
            <w:tcW w:w="591" w:type="pct"/>
          </w:tcPr>
          <w:p w14:paraId="2C571043"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sum</w:t>
            </w:r>
            <w:proofErr w:type="spellEnd"/>
          </w:p>
        </w:tc>
        <w:tc>
          <w:tcPr>
            <w:tcW w:w="530" w:type="pct"/>
          </w:tcPr>
          <w:p w14:paraId="2317A6C5"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sum</w:t>
            </w:r>
            <w:proofErr w:type="spellEnd"/>
          </w:p>
        </w:tc>
        <w:tc>
          <w:tcPr>
            <w:tcW w:w="616" w:type="pct"/>
          </w:tcPr>
          <w:p w14:paraId="5D659188" w14:textId="77777777" w:rsidR="0039488E" w:rsidRPr="006F3533" w:rsidRDefault="0039488E" w:rsidP="006F0DA0">
            <w:pPr>
              <w:contextualSpacing/>
              <w:jc w:val="both"/>
              <w:rPr>
                <w:rFonts w:cs="Times New Roman"/>
                <w:sz w:val="22"/>
                <w:lang w:val="bg-BG"/>
              </w:rPr>
            </w:pPr>
            <w:proofErr w:type="spellStart"/>
            <w:r w:rsidRPr="006F3533">
              <w:rPr>
                <w:rFonts w:cs="Times New Roman"/>
                <w:szCs w:val="24"/>
                <w:lang w:val="bg-BG"/>
              </w:rPr>
              <w:t>sum</w:t>
            </w:r>
            <w:proofErr w:type="spellEnd"/>
          </w:p>
        </w:tc>
      </w:tr>
    </w:tbl>
    <w:bookmarkEnd w:id="177"/>
    <w:p w14:paraId="65F59C34" w14:textId="15768161"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Въпреки липсата на пълни изходни данни за текущото състояние, съществуват ясни и обвързващи регулаторни изисквания, които ще доведат до ускорено внедряване на слънчеви инсталации в </w:t>
      </w:r>
      <w:r w:rsidR="002309ED" w:rsidRPr="006F3533">
        <w:rPr>
          <w:rFonts w:eastAsia="Times New Roman" w:cs="Times New Roman"/>
          <w:szCs w:val="24"/>
          <w:lang w:val="bg-BG" w:eastAsia="en-GB"/>
        </w:rPr>
        <w:t xml:space="preserve">жилищните и </w:t>
      </w:r>
      <w:r w:rsidRPr="006F3533">
        <w:rPr>
          <w:rFonts w:eastAsia="Times New Roman" w:cs="Times New Roman"/>
          <w:szCs w:val="24"/>
          <w:lang w:val="bg-BG" w:eastAsia="en-GB"/>
        </w:rPr>
        <w:t>нежилищните сгради през следващите години.</w:t>
      </w:r>
    </w:p>
    <w:p w14:paraId="4862C356" w14:textId="33203A87" w:rsidR="0039488E" w:rsidRPr="006F3533" w:rsidRDefault="0039488E" w:rsidP="002309E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Съгласно Директивата за енергийните характеристики на сградите (Директива (ЕС) 2024/1275), чиито изисквания предстои да се транспонират в българското </w:t>
      </w:r>
      <w:r w:rsidRPr="006F3533">
        <w:rPr>
          <w:rFonts w:eastAsia="Times New Roman" w:cs="Times New Roman"/>
          <w:szCs w:val="24"/>
          <w:lang w:val="bg-BG" w:eastAsia="en-GB"/>
        </w:rPr>
        <w:lastRenderedPageBreak/>
        <w:t>законодателство</w:t>
      </w:r>
      <w:r w:rsidR="002309ED" w:rsidRPr="006F3533">
        <w:rPr>
          <w:rFonts w:eastAsia="Times New Roman" w:cs="Times New Roman"/>
          <w:szCs w:val="24"/>
          <w:lang w:val="bg-BG" w:eastAsia="en-GB"/>
        </w:rPr>
        <w:t>, чл.</w:t>
      </w:r>
      <w:r w:rsidRPr="006F3533">
        <w:rPr>
          <w:rFonts w:eastAsia="Times New Roman" w:cs="Times New Roman"/>
          <w:szCs w:val="24"/>
          <w:lang w:val="bg-BG" w:eastAsia="en-GB"/>
        </w:rPr>
        <w:t xml:space="preserve"> 10 предвижда задължително изграждане на инсталации за слънчева енергия:</w:t>
      </w:r>
    </w:p>
    <w:p w14:paraId="0BE6DDD9" w14:textId="77777777" w:rsidR="002309ED" w:rsidRPr="006F3533" w:rsidRDefault="002309ED" w:rsidP="00551FED">
      <w:pPr>
        <w:numPr>
          <w:ilvl w:val="0"/>
          <w:numId w:val="95"/>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за нови нежилищни сгради – от 2026 г. (поетапно, в зависимост от типа и размера на сградите);</w:t>
      </w:r>
    </w:p>
    <w:p w14:paraId="104EFEAD" w14:textId="77777777" w:rsidR="002309ED" w:rsidRPr="006F3533" w:rsidRDefault="002309ED" w:rsidP="00551FED">
      <w:pPr>
        <w:numPr>
          <w:ilvl w:val="0"/>
          <w:numId w:val="95"/>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за съществуващи публични нежилищни сгради – поетапно в периода 2027–2030 г., при наличие на подходящи технически и икономически условия осъществимост; </w:t>
      </w:r>
    </w:p>
    <w:p w14:paraId="572D3BA6" w14:textId="77777777" w:rsidR="002309ED" w:rsidRPr="006F3533" w:rsidRDefault="002309ED" w:rsidP="00551FED">
      <w:pPr>
        <w:numPr>
          <w:ilvl w:val="0"/>
          <w:numId w:val="95"/>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за всички нови жилищни сгради</w:t>
      </w:r>
      <w:r w:rsidRPr="006F3533">
        <w:rPr>
          <w:rFonts w:ascii="Times New Roman" w:eastAsia="Times New Roman" w:hAnsi="Times New Roman" w:cs="Times New Roman"/>
          <w:szCs w:val="24"/>
          <w:lang w:val="bg-BG" w:eastAsia="en-GB"/>
        </w:rPr>
        <w:t xml:space="preserve"> - </w:t>
      </w:r>
      <w:r w:rsidRPr="006F3533">
        <w:rPr>
          <w:rFonts w:eastAsia="Times New Roman" w:cs="Times New Roman"/>
          <w:szCs w:val="24"/>
          <w:lang w:val="bg-BG" w:eastAsia="en-GB"/>
        </w:rPr>
        <w:t>от 31 декември 2029 г.</w:t>
      </w:r>
      <w:r w:rsidRPr="006F3533">
        <w:rPr>
          <w:rFonts w:ascii="Times New Roman" w:eastAsia="Times New Roman" w:hAnsi="Times New Roman" w:cs="Times New Roman"/>
          <w:szCs w:val="24"/>
          <w:lang w:val="bg-BG" w:eastAsia="en-GB"/>
        </w:rPr>
        <w:t xml:space="preserve"> </w:t>
      </w:r>
    </w:p>
    <w:p w14:paraId="2D03378B" w14:textId="0989FB7F" w:rsidR="0039488E" w:rsidRPr="006F3533" w:rsidRDefault="0039488E" w:rsidP="002309E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Тези изисквания имат за цел да осигурят системно използване на слънчевата енергия в сградите и да превърнат покривите на </w:t>
      </w:r>
      <w:r w:rsidR="002309ED" w:rsidRPr="006F3533">
        <w:rPr>
          <w:rFonts w:eastAsia="Times New Roman" w:cs="Times New Roman"/>
          <w:szCs w:val="24"/>
          <w:lang w:val="bg-BG" w:eastAsia="en-GB"/>
        </w:rPr>
        <w:t>новите и съществуващи</w:t>
      </w:r>
      <w:r w:rsidRPr="006F3533">
        <w:rPr>
          <w:rFonts w:eastAsia="Times New Roman" w:cs="Times New Roman"/>
          <w:szCs w:val="24"/>
          <w:lang w:val="bg-BG" w:eastAsia="en-GB"/>
        </w:rPr>
        <w:t xml:space="preserve"> сгради в активен елемент на енергийната система.</w:t>
      </w:r>
    </w:p>
    <w:p w14:paraId="35CC9F9B" w14:textId="5D011BDC"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С оглед на горепосочените политики и при липса на пълни данни за текущото разпространение на слънчевите инсталации, </w:t>
      </w:r>
      <w:r w:rsidR="002309ED" w:rsidRPr="006F3533">
        <w:rPr>
          <w:rFonts w:eastAsia="Times New Roman" w:cs="Times New Roman"/>
          <w:szCs w:val="24"/>
          <w:lang w:val="bg-BG" w:eastAsia="en-GB"/>
        </w:rPr>
        <w:t xml:space="preserve">в окончателната версия на плана </w:t>
      </w:r>
      <w:r w:rsidR="006F0DA0" w:rsidRPr="006F3533">
        <w:rPr>
          <w:rStyle w:val="Strong"/>
          <w:b w:val="0"/>
          <w:bCs w:val="0"/>
          <w:lang w:val="bg-BG"/>
        </w:rPr>
        <w:t>ще бъде изготвена</w:t>
      </w:r>
      <w:r w:rsidR="006F0DA0" w:rsidRPr="006F3533">
        <w:rPr>
          <w:lang w:val="bg-BG"/>
        </w:rPr>
        <w:t xml:space="preserve"> </w:t>
      </w:r>
      <w:r w:rsidRPr="006F3533">
        <w:rPr>
          <w:rFonts w:eastAsia="Times New Roman" w:cs="Times New Roman"/>
          <w:szCs w:val="24"/>
          <w:lang w:val="bg-BG" w:eastAsia="en-GB"/>
        </w:rPr>
        <w:t>ориентировъчна оценка на произведената енергия от слънчеви инсталации в нежилищните сгради за съответните години.</w:t>
      </w:r>
      <w:r w:rsidR="002309ED" w:rsidRPr="006F3533">
        <w:rPr>
          <w:rFonts w:eastAsia="Times New Roman" w:cs="Times New Roman"/>
          <w:szCs w:val="24"/>
          <w:lang w:val="bg-BG" w:eastAsia="en-GB"/>
        </w:rPr>
        <w:t xml:space="preserve"> </w:t>
      </w:r>
      <w:r w:rsidRPr="006F3533">
        <w:rPr>
          <w:rFonts w:eastAsia="Times New Roman" w:cs="Times New Roman"/>
          <w:szCs w:val="24"/>
          <w:lang w:val="bg-BG" w:eastAsia="en-GB"/>
        </w:rPr>
        <w:t>Оценката</w:t>
      </w:r>
      <w:r w:rsidR="006F0DA0" w:rsidRPr="006F3533">
        <w:rPr>
          <w:rFonts w:eastAsia="Times New Roman" w:cs="Times New Roman"/>
          <w:szCs w:val="24"/>
          <w:lang w:val="bg-BG" w:eastAsia="en-GB"/>
        </w:rPr>
        <w:t xml:space="preserve"> ще</w:t>
      </w:r>
      <w:r w:rsidRPr="006F3533">
        <w:rPr>
          <w:rFonts w:eastAsia="Times New Roman" w:cs="Times New Roman"/>
          <w:szCs w:val="24"/>
          <w:lang w:val="bg-BG" w:eastAsia="en-GB"/>
        </w:rPr>
        <w:t xml:space="preserve"> се основава на:</w:t>
      </w:r>
    </w:p>
    <w:p w14:paraId="0613CC5D" w14:textId="77777777" w:rsidR="0039488E" w:rsidRPr="006F3533" w:rsidRDefault="0039488E" w:rsidP="00551FED">
      <w:pPr>
        <w:numPr>
          <w:ilvl w:val="0"/>
          <w:numId w:val="96"/>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очакваното внедряване на слънчеви инсталации в новопостроените нежилищни сгради;</w:t>
      </w:r>
    </w:p>
    <w:p w14:paraId="4093B11A" w14:textId="77777777" w:rsidR="0039488E" w:rsidRPr="006F3533" w:rsidRDefault="0039488E" w:rsidP="00551FED">
      <w:pPr>
        <w:numPr>
          <w:ilvl w:val="0"/>
          <w:numId w:val="96"/>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поетапното оборудване със слънчеви инсталации на съществуващи публични нежилищни сгради;</w:t>
      </w:r>
    </w:p>
    <w:p w14:paraId="7CFDF773" w14:textId="77777777" w:rsidR="0039488E" w:rsidRPr="006F3533" w:rsidRDefault="0039488E" w:rsidP="00551FED">
      <w:pPr>
        <w:numPr>
          <w:ilvl w:val="0"/>
          <w:numId w:val="96"/>
        </w:num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техническите характеристики на типични слънчеви инсталации и наличния покривен потенциал.</w:t>
      </w:r>
    </w:p>
    <w:p w14:paraId="360B0225" w14:textId="2D7D5F0A"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Представените стойности</w:t>
      </w:r>
      <w:r w:rsidR="006F0DA0" w:rsidRPr="006F3533">
        <w:rPr>
          <w:rFonts w:eastAsia="Times New Roman" w:cs="Times New Roman"/>
          <w:szCs w:val="24"/>
          <w:lang w:val="bg-BG" w:eastAsia="en-GB"/>
        </w:rPr>
        <w:t xml:space="preserve"> ще</w:t>
      </w:r>
      <w:r w:rsidRPr="006F3533">
        <w:rPr>
          <w:rFonts w:eastAsia="Times New Roman" w:cs="Times New Roman"/>
          <w:szCs w:val="24"/>
          <w:lang w:val="bg-BG" w:eastAsia="en-GB"/>
        </w:rPr>
        <w:t xml:space="preserve"> отразяват абсолютно количество произведена енергия от слънчева енергия, а не относителен дял от общото енергийно потребление на сградите. Те следва да се разглеждат като ориентировъчни оценки, чиято цел е да илюстрират очаквания принос на слънчевата енергия към </w:t>
      </w:r>
      <w:proofErr w:type="spellStart"/>
      <w:r w:rsidRPr="006F3533">
        <w:rPr>
          <w:rFonts w:eastAsia="Times New Roman" w:cs="Times New Roman"/>
          <w:szCs w:val="24"/>
          <w:lang w:val="bg-BG" w:eastAsia="en-GB"/>
        </w:rPr>
        <w:t>декарбонизацията</w:t>
      </w:r>
      <w:proofErr w:type="spellEnd"/>
      <w:r w:rsidRPr="006F3533">
        <w:rPr>
          <w:rFonts w:eastAsia="Times New Roman" w:cs="Times New Roman"/>
          <w:szCs w:val="24"/>
          <w:lang w:val="bg-BG" w:eastAsia="en-GB"/>
        </w:rPr>
        <w:t xml:space="preserve"> на нежилищния сграден фонд при прилагане на действащите и предстоящите нормативни изисквания.</w:t>
      </w:r>
    </w:p>
    <w:p w14:paraId="5F5E1996" w14:textId="77777777" w:rsidR="0039488E" w:rsidRPr="006F3533" w:rsidRDefault="0039488E" w:rsidP="002309ED">
      <w:pPr>
        <w:spacing w:line="240" w:lineRule="auto"/>
        <w:contextualSpacing/>
        <w:jc w:val="both"/>
        <w:rPr>
          <w:rFonts w:cs="Times New Roman"/>
          <w:i/>
          <w:iCs/>
          <w:color w:val="4472C4" w:themeColor="accent1"/>
          <w:szCs w:val="24"/>
          <w:lang w:val="bg-BG"/>
        </w:rPr>
      </w:pPr>
      <w:r w:rsidRPr="006F3533">
        <w:rPr>
          <w:rFonts w:cs="Times New Roman"/>
          <w:i/>
          <w:iCs/>
          <w:color w:val="4472C4" w:themeColor="accent1"/>
          <w:szCs w:val="24"/>
          <w:lang w:val="bg-BG"/>
        </w:rPr>
        <w:t xml:space="preserve">Таблица 20а. Очаквано производство на енергия от слънчеви инсталации в нежилищните сгради за периода 2030-2050 г., </w:t>
      </w:r>
      <w:proofErr w:type="spellStart"/>
      <w:r w:rsidRPr="006F3533">
        <w:rPr>
          <w:rFonts w:cs="Times New Roman"/>
          <w:i/>
          <w:iCs/>
          <w:color w:val="4472C4" w:themeColor="accent1"/>
          <w:szCs w:val="24"/>
          <w:lang w:val="bg-BG"/>
        </w:rPr>
        <w:t>GWh</w:t>
      </w:r>
      <w:proofErr w:type="spellEnd"/>
    </w:p>
    <w:p w14:paraId="46232DAC" w14:textId="77777777" w:rsidR="002309ED" w:rsidRPr="006F3533" w:rsidRDefault="002309ED" w:rsidP="006F0DA0">
      <w:pPr>
        <w:spacing w:line="240" w:lineRule="auto"/>
        <w:ind w:left="720"/>
        <w:contextualSpacing/>
        <w:jc w:val="both"/>
        <w:rPr>
          <w:rFonts w:cs="Times New Roman"/>
          <w:i/>
          <w:iCs/>
          <w:szCs w:val="24"/>
          <w:lang w:val="bg-BG"/>
        </w:rPr>
      </w:pPr>
    </w:p>
    <w:tbl>
      <w:tblPr>
        <w:tblStyle w:val="TableGrid"/>
        <w:tblW w:w="5000" w:type="pct"/>
        <w:tblLook w:val="04A0" w:firstRow="1" w:lastRow="0" w:firstColumn="1" w:lastColumn="0" w:noHBand="0" w:noVBand="1"/>
      </w:tblPr>
      <w:tblGrid>
        <w:gridCol w:w="2747"/>
        <w:gridCol w:w="2197"/>
        <w:gridCol w:w="1921"/>
        <w:gridCol w:w="2197"/>
      </w:tblGrid>
      <w:tr w:rsidR="0039488E" w:rsidRPr="006F3533" w14:paraId="093DEFC9" w14:textId="77777777" w:rsidTr="002309ED">
        <w:tc>
          <w:tcPr>
            <w:tcW w:w="1515" w:type="pct"/>
            <w:shd w:val="clear" w:color="auto" w:fill="D9D9D9" w:themeFill="background1" w:themeFillShade="D9"/>
          </w:tcPr>
          <w:p w14:paraId="380868A8" w14:textId="77777777" w:rsidR="0039488E" w:rsidRPr="006F3533" w:rsidRDefault="0039488E" w:rsidP="006F0DA0">
            <w:pPr>
              <w:contextualSpacing/>
              <w:jc w:val="both"/>
              <w:rPr>
                <w:rFonts w:cs="Times New Roman"/>
                <w:sz w:val="22"/>
                <w:lang w:val="bg-BG"/>
              </w:rPr>
            </w:pPr>
            <w:r w:rsidRPr="006F3533">
              <w:rPr>
                <w:rFonts w:cs="Times New Roman"/>
                <w:sz w:val="22"/>
                <w:lang w:val="bg-BG"/>
              </w:rPr>
              <w:t>Производство на енергия в слънчеви инсталации в нежилищни сгради</w:t>
            </w:r>
          </w:p>
        </w:tc>
        <w:tc>
          <w:tcPr>
            <w:tcW w:w="1212" w:type="pct"/>
            <w:shd w:val="clear" w:color="auto" w:fill="D9D9D9" w:themeFill="background1" w:themeFillShade="D9"/>
          </w:tcPr>
          <w:p w14:paraId="35A3D4B7" w14:textId="77777777" w:rsidR="0039488E" w:rsidRPr="006F3533" w:rsidRDefault="0039488E" w:rsidP="006F0DA0">
            <w:pPr>
              <w:contextualSpacing/>
              <w:jc w:val="both"/>
              <w:rPr>
                <w:rFonts w:cs="Times New Roman"/>
                <w:sz w:val="22"/>
                <w:lang w:val="bg-BG"/>
              </w:rPr>
            </w:pPr>
          </w:p>
          <w:p w14:paraId="69244898" w14:textId="77777777" w:rsidR="0039488E" w:rsidRPr="006F3533" w:rsidRDefault="0039488E" w:rsidP="006F0DA0">
            <w:pPr>
              <w:contextualSpacing/>
              <w:jc w:val="both"/>
              <w:rPr>
                <w:rFonts w:cs="Times New Roman"/>
                <w:sz w:val="22"/>
                <w:lang w:val="bg-BG"/>
              </w:rPr>
            </w:pPr>
          </w:p>
          <w:p w14:paraId="3001E070" w14:textId="77777777" w:rsidR="0039488E" w:rsidRPr="006F3533" w:rsidRDefault="0039488E" w:rsidP="006F0DA0">
            <w:pPr>
              <w:contextualSpacing/>
              <w:jc w:val="both"/>
              <w:rPr>
                <w:rFonts w:cs="Times New Roman"/>
                <w:sz w:val="22"/>
                <w:lang w:val="bg-BG"/>
              </w:rPr>
            </w:pPr>
            <w:r w:rsidRPr="006F3533">
              <w:rPr>
                <w:rFonts w:cs="Times New Roman"/>
                <w:sz w:val="22"/>
                <w:lang w:val="bg-BG"/>
              </w:rPr>
              <w:t>2030</w:t>
            </w:r>
          </w:p>
          <w:p w14:paraId="530BEDC5" w14:textId="77777777" w:rsidR="0039488E" w:rsidRPr="006F3533" w:rsidRDefault="0039488E" w:rsidP="006F0DA0">
            <w:pPr>
              <w:contextualSpacing/>
              <w:jc w:val="both"/>
              <w:rPr>
                <w:rFonts w:cs="Times New Roman"/>
                <w:sz w:val="22"/>
                <w:lang w:val="bg-BG"/>
              </w:rPr>
            </w:pPr>
          </w:p>
        </w:tc>
        <w:tc>
          <w:tcPr>
            <w:tcW w:w="1060" w:type="pct"/>
            <w:shd w:val="clear" w:color="auto" w:fill="D9D9D9" w:themeFill="background1" w:themeFillShade="D9"/>
          </w:tcPr>
          <w:p w14:paraId="0BAD8A8B" w14:textId="77777777" w:rsidR="0039488E" w:rsidRPr="006F3533" w:rsidRDefault="0039488E" w:rsidP="006F0DA0">
            <w:pPr>
              <w:contextualSpacing/>
              <w:jc w:val="both"/>
              <w:rPr>
                <w:rFonts w:cs="Times New Roman"/>
                <w:sz w:val="22"/>
                <w:lang w:val="bg-BG"/>
              </w:rPr>
            </w:pPr>
          </w:p>
          <w:p w14:paraId="1BA8A029" w14:textId="77777777" w:rsidR="0039488E" w:rsidRPr="006F3533" w:rsidRDefault="0039488E" w:rsidP="006F0DA0">
            <w:pPr>
              <w:contextualSpacing/>
              <w:jc w:val="both"/>
              <w:rPr>
                <w:rFonts w:cs="Times New Roman"/>
                <w:sz w:val="22"/>
                <w:lang w:val="bg-BG"/>
              </w:rPr>
            </w:pPr>
          </w:p>
          <w:p w14:paraId="2F14F812" w14:textId="77777777" w:rsidR="0039488E" w:rsidRPr="006F3533" w:rsidRDefault="0039488E" w:rsidP="006F0DA0">
            <w:pPr>
              <w:contextualSpacing/>
              <w:jc w:val="both"/>
              <w:rPr>
                <w:rFonts w:cs="Times New Roman"/>
                <w:sz w:val="22"/>
                <w:lang w:val="bg-BG"/>
              </w:rPr>
            </w:pPr>
            <w:r w:rsidRPr="006F3533">
              <w:rPr>
                <w:rFonts w:cs="Times New Roman"/>
                <w:sz w:val="22"/>
                <w:lang w:val="bg-BG"/>
              </w:rPr>
              <w:t>2040</w:t>
            </w:r>
          </w:p>
        </w:tc>
        <w:tc>
          <w:tcPr>
            <w:tcW w:w="1212" w:type="pct"/>
            <w:shd w:val="clear" w:color="auto" w:fill="D9D9D9" w:themeFill="background1" w:themeFillShade="D9"/>
          </w:tcPr>
          <w:p w14:paraId="527DA6B3" w14:textId="77777777" w:rsidR="0039488E" w:rsidRPr="006F3533" w:rsidRDefault="0039488E" w:rsidP="006F0DA0">
            <w:pPr>
              <w:contextualSpacing/>
              <w:jc w:val="both"/>
              <w:rPr>
                <w:rFonts w:cs="Times New Roman"/>
                <w:sz w:val="22"/>
                <w:lang w:val="bg-BG"/>
              </w:rPr>
            </w:pPr>
          </w:p>
          <w:p w14:paraId="39710AE7" w14:textId="77777777" w:rsidR="0039488E" w:rsidRPr="006F3533" w:rsidRDefault="0039488E" w:rsidP="006F0DA0">
            <w:pPr>
              <w:contextualSpacing/>
              <w:jc w:val="both"/>
              <w:rPr>
                <w:rFonts w:cs="Times New Roman"/>
                <w:sz w:val="22"/>
                <w:lang w:val="bg-BG"/>
              </w:rPr>
            </w:pPr>
          </w:p>
          <w:p w14:paraId="40BC0CA5" w14:textId="77777777" w:rsidR="0039488E" w:rsidRPr="006F3533" w:rsidRDefault="0039488E" w:rsidP="006F0DA0">
            <w:pPr>
              <w:contextualSpacing/>
              <w:jc w:val="both"/>
              <w:rPr>
                <w:rFonts w:cs="Times New Roman"/>
                <w:sz w:val="22"/>
                <w:lang w:val="bg-BG"/>
              </w:rPr>
            </w:pPr>
            <w:r w:rsidRPr="006F3533">
              <w:rPr>
                <w:rFonts w:cs="Times New Roman"/>
                <w:sz w:val="22"/>
                <w:lang w:val="bg-BG"/>
              </w:rPr>
              <w:t>2050</w:t>
            </w:r>
          </w:p>
        </w:tc>
      </w:tr>
      <w:tr w:rsidR="0039488E" w:rsidRPr="006F3533" w14:paraId="29B9D12A" w14:textId="77777777" w:rsidTr="002309ED">
        <w:tc>
          <w:tcPr>
            <w:tcW w:w="1515" w:type="pct"/>
          </w:tcPr>
          <w:p w14:paraId="28249D54" w14:textId="77777777" w:rsidR="0039488E" w:rsidRPr="006F3533" w:rsidRDefault="0039488E" w:rsidP="006F0DA0">
            <w:pPr>
              <w:contextualSpacing/>
              <w:jc w:val="both"/>
              <w:rPr>
                <w:rFonts w:cs="Times New Roman"/>
                <w:sz w:val="22"/>
                <w:lang w:val="bg-BG"/>
              </w:rPr>
            </w:pPr>
            <w:r w:rsidRPr="006F3533">
              <w:rPr>
                <w:rFonts w:cs="Times New Roman"/>
                <w:sz w:val="22"/>
                <w:lang w:val="bg-BG"/>
              </w:rPr>
              <w:t xml:space="preserve">Слънчева фотоволтаична енергия </w:t>
            </w:r>
          </w:p>
        </w:tc>
        <w:tc>
          <w:tcPr>
            <w:tcW w:w="1212" w:type="pct"/>
          </w:tcPr>
          <w:p w14:paraId="1FB478E8" w14:textId="77777777" w:rsidR="0039488E" w:rsidRPr="006F3533" w:rsidRDefault="0039488E" w:rsidP="006F0DA0">
            <w:pPr>
              <w:contextualSpacing/>
              <w:jc w:val="both"/>
              <w:rPr>
                <w:rFonts w:cs="Times New Roman"/>
                <w:sz w:val="22"/>
                <w:lang w:val="bg-BG"/>
              </w:rPr>
            </w:pPr>
          </w:p>
        </w:tc>
        <w:tc>
          <w:tcPr>
            <w:tcW w:w="1060" w:type="pct"/>
          </w:tcPr>
          <w:p w14:paraId="698F2A81" w14:textId="77777777" w:rsidR="0039488E" w:rsidRPr="006F3533" w:rsidRDefault="0039488E" w:rsidP="006F0DA0">
            <w:pPr>
              <w:contextualSpacing/>
              <w:jc w:val="both"/>
              <w:rPr>
                <w:rFonts w:cs="Times New Roman"/>
                <w:sz w:val="22"/>
                <w:lang w:val="bg-BG"/>
              </w:rPr>
            </w:pPr>
          </w:p>
        </w:tc>
        <w:tc>
          <w:tcPr>
            <w:tcW w:w="1212" w:type="pct"/>
          </w:tcPr>
          <w:p w14:paraId="345E88FB" w14:textId="77777777" w:rsidR="0039488E" w:rsidRPr="006F3533" w:rsidRDefault="0039488E" w:rsidP="006F0DA0">
            <w:pPr>
              <w:contextualSpacing/>
              <w:jc w:val="both"/>
              <w:rPr>
                <w:rFonts w:cs="Times New Roman"/>
                <w:szCs w:val="24"/>
                <w:lang w:val="bg-BG"/>
              </w:rPr>
            </w:pPr>
          </w:p>
        </w:tc>
      </w:tr>
      <w:tr w:rsidR="0039488E" w:rsidRPr="006F3533" w14:paraId="48657BDE" w14:textId="77777777" w:rsidTr="002309ED">
        <w:tc>
          <w:tcPr>
            <w:tcW w:w="1515" w:type="pct"/>
          </w:tcPr>
          <w:p w14:paraId="5899F2C7" w14:textId="77777777" w:rsidR="0039488E" w:rsidRPr="006F3533" w:rsidRDefault="0039488E" w:rsidP="006F0DA0">
            <w:pPr>
              <w:contextualSpacing/>
              <w:jc w:val="both"/>
              <w:rPr>
                <w:rFonts w:cs="Times New Roman"/>
                <w:sz w:val="22"/>
                <w:lang w:val="bg-BG"/>
              </w:rPr>
            </w:pPr>
            <w:proofErr w:type="spellStart"/>
            <w:r w:rsidRPr="006F3533">
              <w:rPr>
                <w:rFonts w:cs="Times New Roman"/>
                <w:sz w:val="22"/>
                <w:lang w:val="bg-BG"/>
              </w:rPr>
              <w:t>Термосоларна</w:t>
            </w:r>
            <w:proofErr w:type="spellEnd"/>
            <w:r w:rsidRPr="006F3533">
              <w:rPr>
                <w:rFonts w:cs="Times New Roman"/>
                <w:sz w:val="22"/>
                <w:lang w:val="bg-BG"/>
              </w:rPr>
              <w:t xml:space="preserve"> енергия</w:t>
            </w:r>
          </w:p>
        </w:tc>
        <w:tc>
          <w:tcPr>
            <w:tcW w:w="1212" w:type="pct"/>
          </w:tcPr>
          <w:p w14:paraId="250390D0" w14:textId="77777777" w:rsidR="0039488E" w:rsidRPr="006F3533" w:rsidRDefault="0039488E" w:rsidP="006F0DA0">
            <w:pPr>
              <w:contextualSpacing/>
              <w:jc w:val="both"/>
              <w:rPr>
                <w:rFonts w:cs="Times New Roman"/>
                <w:sz w:val="22"/>
                <w:lang w:val="bg-BG"/>
              </w:rPr>
            </w:pPr>
          </w:p>
        </w:tc>
        <w:tc>
          <w:tcPr>
            <w:tcW w:w="1060" w:type="pct"/>
          </w:tcPr>
          <w:p w14:paraId="14D75135" w14:textId="77777777" w:rsidR="0039488E" w:rsidRPr="006F3533" w:rsidRDefault="0039488E" w:rsidP="006F0DA0">
            <w:pPr>
              <w:contextualSpacing/>
              <w:jc w:val="both"/>
              <w:rPr>
                <w:rFonts w:cs="Times New Roman"/>
                <w:sz w:val="22"/>
                <w:lang w:val="bg-BG"/>
              </w:rPr>
            </w:pPr>
          </w:p>
        </w:tc>
        <w:tc>
          <w:tcPr>
            <w:tcW w:w="1212" w:type="pct"/>
          </w:tcPr>
          <w:p w14:paraId="23532956" w14:textId="77777777" w:rsidR="0039488E" w:rsidRPr="006F3533" w:rsidRDefault="0039488E" w:rsidP="006F0DA0">
            <w:pPr>
              <w:contextualSpacing/>
              <w:jc w:val="both"/>
              <w:rPr>
                <w:rFonts w:cs="Times New Roman"/>
                <w:szCs w:val="24"/>
                <w:lang w:val="bg-BG"/>
              </w:rPr>
            </w:pPr>
          </w:p>
        </w:tc>
      </w:tr>
    </w:tbl>
    <w:p w14:paraId="784DD341" w14:textId="77777777" w:rsidR="0039488E" w:rsidRPr="006F3533" w:rsidRDefault="0039488E" w:rsidP="006F0DA0">
      <w:pPr>
        <w:spacing w:line="240" w:lineRule="auto"/>
        <w:ind w:left="720"/>
        <w:contextualSpacing/>
        <w:jc w:val="both"/>
        <w:rPr>
          <w:rFonts w:cs="Times New Roman"/>
          <w:szCs w:val="24"/>
          <w:lang w:val="bg-BG"/>
        </w:rPr>
      </w:pPr>
    </w:p>
    <w:p w14:paraId="5CAE5C1F" w14:textId="77777777" w:rsidR="0039488E" w:rsidRPr="006F3533" w:rsidRDefault="0039488E" w:rsidP="006F0DA0">
      <w:pPr>
        <w:spacing w:before="100" w:beforeAutospacing="1" w:after="100" w:afterAutospacing="1" w:line="240" w:lineRule="auto"/>
        <w:jc w:val="both"/>
        <w:outlineLvl w:val="1"/>
        <w:rPr>
          <w:rFonts w:eastAsia="Times New Roman" w:cs="Times New Roman"/>
          <w:b/>
          <w:bCs/>
          <w:sz w:val="28"/>
          <w:szCs w:val="28"/>
          <w:lang w:val="bg-BG"/>
        </w:rPr>
      </w:pPr>
      <w:bookmarkStart w:id="178" w:name="_Toc217888812"/>
      <w:r w:rsidRPr="006F3533">
        <w:rPr>
          <w:rFonts w:eastAsia="Times New Roman" w:cs="Times New Roman"/>
          <w:b/>
          <w:bCs/>
          <w:sz w:val="28"/>
          <w:szCs w:val="28"/>
          <w:lang w:val="bg-BG"/>
        </w:rPr>
        <w:t>Цели за очакваните експлоатационни емисии на парникови газове по типове сгради</w:t>
      </w:r>
      <w:r w:rsidRPr="006F3533">
        <w:rPr>
          <w:rFonts w:eastAsia="Times New Roman" w:cs="Times New Roman"/>
          <w:b/>
          <w:bCs/>
          <w:i/>
          <w:iCs/>
          <w:sz w:val="28"/>
          <w:szCs w:val="28"/>
          <w:lang w:val="bg-BG"/>
        </w:rPr>
        <w:t xml:space="preserve"> (</w:t>
      </w:r>
      <w:proofErr w:type="spellStart"/>
      <w:r w:rsidRPr="006F3533">
        <w:rPr>
          <w:rFonts w:eastAsia="Times New Roman" w:cs="Times New Roman"/>
          <w:b/>
          <w:bCs/>
          <w:i/>
          <w:iCs/>
          <w:sz w:val="28"/>
          <w:szCs w:val="28"/>
          <w:lang w:val="bg-BG"/>
        </w:rPr>
        <w:t>kgCO₂eq</w:t>
      </w:r>
      <w:proofErr w:type="spellEnd"/>
      <w:r w:rsidRPr="006F3533">
        <w:rPr>
          <w:rFonts w:eastAsia="Times New Roman" w:cs="Times New Roman"/>
          <w:b/>
          <w:bCs/>
          <w:i/>
          <w:iCs/>
          <w:sz w:val="28"/>
          <w:szCs w:val="28"/>
          <w:lang w:val="bg-BG"/>
        </w:rPr>
        <w:t>/(m²·год))</w:t>
      </w:r>
      <w:bookmarkEnd w:id="178"/>
    </w:p>
    <w:p w14:paraId="5F9929DB" w14:textId="77777777" w:rsidR="00143414" w:rsidRPr="006F3533" w:rsidRDefault="00143414" w:rsidP="00143414">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Нежилищни сгради</w:t>
      </w:r>
    </w:p>
    <w:p w14:paraId="11E7A754"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lastRenderedPageBreak/>
        <w:t>Настоящата точка представя целите за очакваните експлоатационни емисии на парникови газове за нежилищните сгради, изразени като специфични емисии на единица разгъната застроена площ, по типове сгради.</w:t>
      </w:r>
    </w:p>
    <w:p w14:paraId="7F0B0326"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Оценката на експлоатационните емисии е извършена на база прогнозното крайно енергийно потребление на нежилищните сгради, представено в Таблица 15. Емисиите са изчислени чрез прилагане на емисионни фактори по енергиен носител върху съответното крайно потребление.</w:t>
      </w:r>
    </w:p>
    <w:p w14:paraId="6484CD80" w14:textId="51D74234"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При определянето на бъдещите емисии е отчетено очакваното изменение на енергийния микс в сектор </w:t>
      </w:r>
      <w:r w:rsidRPr="006F3533">
        <w:rPr>
          <w:rFonts w:eastAsia="Times New Roman" w:cs="Times New Roman"/>
          <w:i/>
          <w:iCs/>
          <w:szCs w:val="24"/>
          <w:lang w:val="bg-BG" w:eastAsia="en-GB"/>
        </w:rPr>
        <w:t>„търговия и услуги“</w:t>
      </w:r>
      <w:r w:rsidRPr="006F3533">
        <w:rPr>
          <w:rFonts w:eastAsia="Times New Roman" w:cs="Times New Roman"/>
          <w:szCs w:val="24"/>
          <w:lang w:val="bg-BG" w:eastAsia="en-GB"/>
        </w:rPr>
        <w:t xml:space="preserve">, както и в </w:t>
      </w:r>
      <w:r w:rsidRPr="006F3533">
        <w:rPr>
          <w:rFonts w:eastAsia="Times New Roman" w:cs="Times New Roman"/>
          <w:i/>
          <w:iCs/>
          <w:szCs w:val="24"/>
          <w:lang w:val="bg-BG" w:eastAsia="en-GB"/>
        </w:rPr>
        <w:t>селското стопанство</w:t>
      </w:r>
      <w:r w:rsidRPr="006F3533">
        <w:rPr>
          <w:rFonts w:eastAsia="Times New Roman" w:cs="Times New Roman"/>
          <w:szCs w:val="24"/>
          <w:lang w:val="bg-BG" w:eastAsia="en-GB"/>
        </w:rPr>
        <w:t xml:space="preserve">, в съответствие с актуализирания Интегриран национален план „Енергетика и климат“ (ИНПЕК). В частност е използвана информацията, представена във </w:t>
      </w:r>
      <w:r w:rsidRPr="006F3533">
        <w:rPr>
          <w:rFonts w:eastAsia="Times New Roman" w:cs="Times New Roman"/>
          <w:i/>
          <w:iCs/>
          <w:szCs w:val="24"/>
          <w:lang w:val="bg-BG" w:eastAsia="en-GB"/>
        </w:rPr>
        <w:t>Фигура 106 – „Крайно енергийно потребление по енергийни ресурси в секторите търговия и услуги и селско стопанство“</w:t>
      </w:r>
      <w:r w:rsidRPr="006F3533">
        <w:rPr>
          <w:rFonts w:eastAsia="Times New Roman" w:cs="Times New Roman"/>
          <w:szCs w:val="24"/>
          <w:lang w:val="bg-BG" w:eastAsia="en-GB"/>
        </w:rPr>
        <w:t xml:space="preserve"> от актуализирания ИНПЕК на България.</w:t>
      </w:r>
    </w:p>
    <w:p w14:paraId="55CC9BB6"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При изчисляването на емисиите са използвани действащите към момента емисионни фактори за отделните енергийни носители. Към настоящия момент не са налични официално утвърдени прогнозни емисионни фактори</w:t>
      </w:r>
      <w:r w:rsidRPr="006F3533">
        <w:rPr>
          <w:rFonts w:eastAsia="Times New Roman" w:cs="Times New Roman"/>
          <w:b/>
          <w:bCs/>
          <w:szCs w:val="24"/>
          <w:lang w:val="bg-BG" w:eastAsia="en-GB"/>
        </w:rPr>
        <w:t xml:space="preserve"> </w:t>
      </w:r>
      <w:r w:rsidRPr="006F3533">
        <w:rPr>
          <w:rFonts w:eastAsia="Times New Roman" w:cs="Times New Roman"/>
          <w:szCs w:val="24"/>
          <w:lang w:val="bg-BG" w:eastAsia="en-GB"/>
        </w:rPr>
        <w:t xml:space="preserve">за бъдещи години, поради което за целите на настоящия план не са прилагани </w:t>
      </w:r>
      <w:proofErr w:type="spellStart"/>
      <w:r w:rsidRPr="006F3533">
        <w:rPr>
          <w:rFonts w:eastAsia="Times New Roman" w:cs="Times New Roman"/>
          <w:szCs w:val="24"/>
          <w:lang w:val="bg-BG" w:eastAsia="en-GB"/>
        </w:rPr>
        <w:t>сценарни</w:t>
      </w:r>
      <w:proofErr w:type="spellEnd"/>
      <w:r w:rsidRPr="006F3533">
        <w:rPr>
          <w:rFonts w:eastAsia="Times New Roman" w:cs="Times New Roman"/>
          <w:szCs w:val="24"/>
          <w:lang w:val="bg-BG" w:eastAsia="en-GB"/>
        </w:rPr>
        <w:t xml:space="preserve"> или прогнозни стойности на емисионните фактори.</w:t>
      </w:r>
    </w:p>
    <w:p w14:paraId="257E8AC2"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Очаква се в дългосрочен план емисионните фактори, по-специално за електрическата енергия и за централизираното топлоснабдяване, да намаляват в резултат от прилагането на политиките и мерките, описани по-горе в точката за факторите за първична енергия. Тези очаквани промени обаче не са количествено отразени в настоящите изчисления.</w:t>
      </w:r>
    </w:p>
    <w:p w14:paraId="029DEEB3"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Поради използването на текущите емисионни фактори, представените стойности за експлоатационните емисии следва да се разглеждат като консервативна оценка. Реалните емисии, съответстващи на прогнозното намалено крайно енергийно потребление на нежилищните сгради, се очаква да бъдат значително по-ниски, в резултат на:</w:t>
      </w:r>
    </w:p>
    <w:p w14:paraId="7FDB01AB" w14:textId="77777777" w:rsidR="00143414" w:rsidRPr="006F3533" w:rsidRDefault="00143414" w:rsidP="00551FED">
      <w:pPr>
        <w:numPr>
          <w:ilvl w:val="0"/>
          <w:numId w:val="97"/>
        </w:numPr>
        <w:tabs>
          <w:tab w:val="left" w:pos="720"/>
        </w:tabs>
        <w:spacing w:before="100" w:beforeAutospacing="1" w:after="100" w:afterAutospacing="1" w:line="240" w:lineRule="auto"/>
        <w:jc w:val="both"/>
        <w:rPr>
          <w:rFonts w:eastAsia="Times New Roman" w:cs="Times New Roman"/>
          <w:szCs w:val="24"/>
          <w:lang w:val="bg-BG" w:eastAsia="en-GB"/>
        </w:rPr>
      </w:pPr>
      <w:proofErr w:type="spellStart"/>
      <w:r w:rsidRPr="006F3533">
        <w:rPr>
          <w:rFonts w:eastAsia="Times New Roman" w:cs="Times New Roman"/>
          <w:szCs w:val="24"/>
          <w:lang w:val="bg-BG" w:eastAsia="en-GB"/>
        </w:rPr>
        <w:t>декарбонизацията</w:t>
      </w:r>
      <w:proofErr w:type="spellEnd"/>
      <w:r w:rsidRPr="006F3533">
        <w:rPr>
          <w:rFonts w:eastAsia="Times New Roman" w:cs="Times New Roman"/>
          <w:szCs w:val="24"/>
          <w:lang w:val="bg-BG" w:eastAsia="en-GB"/>
        </w:rPr>
        <w:t xml:space="preserve"> на електроенергийния микс;</w:t>
      </w:r>
    </w:p>
    <w:p w14:paraId="0FDC099E" w14:textId="77777777" w:rsidR="00143414" w:rsidRPr="006F3533" w:rsidRDefault="00143414" w:rsidP="00551FED">
      <w:pPr>
        <w:numPr>
          <w:ilvl w:val="0"/>
          <w:numId w:val="97"/>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повишаването на дела на възобновяемата енергия;</w:t>
      </w:r>
    </w:p>
    <w:p w14:paraId="0769AC9F" w14:textId="77777777" w:rsidR="00143414" w:rsidRPr="006F3533" w:rsidRDefault="00143414" w:rsidP="00551FED">
      <w:pPr>
        <w:numPr>
          <w:ilvl w:val="0"/>
          <w:numId w:val="97"/>
        </w:numPr>
        <w:tabs>
          <w:tab w:val="left" w:pos="720"/>
        </w:tabs>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трансформацията на системите за централно отопление и охлаждане.</w:t>
      </w:r>
    </w:p>
    <w:p w14:paraId="7C100867" w14:textId="77777777" w:rsidR="00143414" w:rsidRPr="006F3533" w:rsidRDefault="00143414" w:rsidP="00143414">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Жилищни сгради</w:t>
      </w:r>
    </w:p>
    <w:p w14:paraId="0E1F63E9" w14:textId="77777777" w:rsidR="00143414" w:rsidRPr="006F3533" w:rsidRDefault="00143414" w:rsidP="00143414">
      <w:pPr>
        <w:spacing w:before="100" w:beforeAutospacing="1" w:after="100" w:afterAutospacing="1" w:line="240" w:lineRule="auto"/>
        <w:jc w:val="both"/>
        <w:rPr>
          <w:rFonts w:eastAsia="Times New Roman" w:cs="Times New Roman"/>
          <w:b/>
          <w:bCs/>
          <w:color w:val="2F5496" w:themeColor="accent1" w:themeShade="BF"/>
          <w:szCs w:val="24"/>
          <w:u w:val="single"/>
          <w:lang w:val="bg-BG" w:eastAsia="en-GB"/>
        </w:rPr>
      </w:pPr>
      <w:r w:rsidRPr="006F3533">
        <w:rPr>
          <w:lang w:val="bg-BG"/>
        </w:rPr>
        <w:t>Оценката на експлоатационните емисии е извършена въз основа на прогнозното крайно енергийно потребление на жилищните сгради, представено в Таблица 15, като са използвани съотношенията на енергийните носители за 2023 г. Емисиите са изчислени чрез прилагане на действащите към момента емисионни фактори за отделните енергийни носители поради липсата на официално утвърдени прогнозни емисионни фактори за бъдещи години.</w:t>
      </w:r>
    </w:p>
    <w:p w14:paraId="6548AB4C" w14:textId="77777777" w:rsidR="00143414" w:rsidRPr="006F3533" w:rsidRDefault="00143414" w:rsidP="00143414">
      <w:pPr>
        <w:spacing w:line="240" w:lineRule="auto"/>
        <w:contextualSpacing/>
        <w:jc w:val="both"/>
        <w:rPr>
          <w:rFonts w:cs="Times New Roman"/>
          <w:i/>
          <w:iCs/>
          <w:color w:val="4472C4" w:themeColor="accent1"/>
          <w:szCs w:val="24"/>
          <w:lang w:val="bg-BG"/>
        </w:rPr>
      </w:pPr>
      <w:r w:rsidRPr="006F3533">
        <w:rPr>
          <w:rFonts w:cs="Times New Roman"/>
          <w:i/>
          <w:iCs/>
          <w:color w:val="4472C4" w:themeColor="accent1"/>
          <w:szCs w:val="24"/>
          <w:lang w:val="bg-BG"/>
        </w:rPr>
        <w:lastRenderedPageBreak/>
        <w:t>Таблица 21. Цели за очакваните оперативни емисии на парникови газове в сградите за периода 2030-2050 г.</w:t>
      </w:r>
    </w:p>
    <w:p w14:paraId="66EE3608" w14:textId="77777777" w:rsidR="00143414" w:rsidRPr="006F3533" w:rsidRDefault="00143414" w:rsidP="00143414">
      <w:pPr>
        <w:spacing w:line="240" w:lineRule="auto"/>
        <w:contextualSpacing/>
        <w:jc w:val="both"/>
        <w:rPr>
          <w:rFonts w:cs="Times New Roman"/>
          <w:i/>
          <w:iCs/>
          <w:szCs w:val="24"/>
          <w:lang w:val="bg-BG"/>
        </w:rPr>
      </w:pPr>
    </w:p>
    <w:tbl>
      <w:tblPr>
        <w:tblStyle w:val="TableGrid"/>
        <w:tblW w:w="5000" w:type="pct"/>
        <w:tblLook w:val="04A0" w:firstRow="1" w:lastRow="0" w:firstColumn="1" w:lastColumn="0" w:noHBand="0" w:noVBand="1"/>
      </w:tblPr>
      <w:tblGrid>
        <w:gridCol w:w="698"/>
        <w:gridCol w:w="2508"/>
        <w:gridCol w:w="837"/>
        <w:gridCol w:w="790"/>
        <w:gridCol w:w="790"/>
        <w:gridCol w:w="790"/>
        <w:gridCol w:w="883"/>
        <w:gridCol w:w="883"/>
        <w:gridCol w:w="883"/>
      </w:tblGrid>
      <w:tr w:rsidR="00143414" w:rsidRPr="006F3533" w14:paraId="4EE32DC2" w14:textId="77777777" w:rsidTr="00143414">
        <w:trPr>
          <w:trHeight w:val="300"/>
        </w:trPr>
        <w:tc>
          <w:tcPr>
            <w:tcW w:w="385" w:type="pct"/>
            <w:vMerge w:val="restart"/>
            <w:shd w:val="clear" w:color="auto" w:fill="D9D9D9" w:themeFill="background1" w:themeFillShade="D9"/>
          </w:tcPr>
          <w:p w14:paraId="2FE071A8" w14:textId="77777777" w:rsidR="00143414" w:rsidRPr="006F3533" w:rsidRDefault="00143414" w:rsidP="00541E06">
            <w:pPr>
              <w:contextualSpacing/>
              <w:jc w:val="center"/>
              <w:rPr>
                <w:rFonts w:cs="Times New Roman"/>
                <w:sz w:val="22"/>
                <w:lang w:val="bg-BG"/>
              </w:rPr>
            </w:pPr>
            <w:proofErr w:type="spellStart"/>
            <w:r w:rsidRPr="006F3533">
              <w:rPr>
                <w:rFonts w:cs="Times New Roman"/>
                <w:sz w:val="22"/>
                <w:lang w:val="bg-BG"/>
              </w:rPr>
              <w:t>Code</w:t>
            </w:r>
            <w:proofErr w:type="spellEnd"/>
          </w:p>
        </w:tc>
        <w:tc>
          <w:tcPr>
            <w:tcW w:w="1384" w:type="pct"/>
            <w:vMerge w:val="restart"/>
            <w:shd w:val="clear" w:color="auto" w:fill="D9D9D9" w:themeFill="background1" w:themeFillShade="D9"/>
          </w:tcPr>
          <w:p w14:paraId="5074F4D9"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Building</w:t>
            </w:r>
          </w:p>
          <w:p w14:paraId="31E2193A" w14:textId="77777777" w:rsidR="00143414" w:rsidRPr="006F3533" w:rsidRDefault="00143414" w:rsidP="00541E06">
            <w:pPr>
              <w:contextualSpacing/>
              <w:jc w:val="center"/>
              <w:rPr>
                <w:rFonts w:cs="Times New Roman"/>
                <w:sz w:val="22"/>
                <w:lang w:val="bg-BG"/>
              </w:rPr>
            </w:pPr>
            <w:proofErr w:type="spellStart"/>
            <w:r w:rsidRPr="006F3533">
              <w:rPr>
                <w:rFonts w:cs="Times New Roman"/>
                <w:sz w:val="22"/>
                <w:lang w:val="bg-BG"/>
              </w:rPr>
              <w:t>Type</w:t>
            </w:r>
            <w:proofErr w:type="spellEnd"/>
          </w:p>
        </w:tc>
        <w:tc>
          <w:tcPr>
            <w:tcW w:w="462" w:type="pct"/>
            <w:vMerge w:val="restart"/>
            <w:shd w:val="clear" w:color="auto" w:fill="D9D9D9" w:themeFill="background1" w:themeFillShade="D9"/>
          </w:tcPr>
          <w:p w14:paraId="49EE8B3B"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M/</w:t>
            </w:r>
          </w:p>
          <w:p w14:paraId="5F602302" w14:textId="77777777" w:rsidR="00143414" w:rsidRPr="006F3533" w:rsidRDefault="00143414" w:rsidP="00541E06">
            <w:pPr>
              <w:contextualSpacing/>
              <w:jc w:val="center"/>
              <w:rPr>
                <w:rFonts w:cs="Times New Roman"/>
                <w:sz w:val="22"/>
                <w:lang w:val="bg-BG"/>
              </w:rPr>
            </w:pPr>
            <w:proofErr w:type="spellStart"/>
            <w:r w:rsidRPr="006F3533">
              <w:rPr>
                <w:rFonts w:cs="Times New Roman"/>
                <w:sz w:val="22"/>
                <w:lang w:val="bg-BG"/>
              </w:rPr>
              <w:t>Miav</w:t>
            </w:r>
            <w:proofErr w:type="spellEnd"/>
          </w:p>
        </w:tc>
        <w:tc>
          <w:tcPr>
            <w:tcW w:w="1308" w:type="pct"/>
            <w:gridSpan w:val="3"/>
            <w:shd w:val="clear" w:color="auto" w:fill="D9D9D9" w:themeFill="background1" w:themeFillShade="D9"/>
          </w:tcPr>
          <w:p w14:paraId="062BF5FF"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 xml:space="preserve">Total GHG </w:t>
            </w:r>
            <w:proofErr w:type="spellStart"/>
            <w:r w:rsidRPr="006F3533">
              <w:rPr>
                <w:rFonts w:cs="Times New Roman"/>
                <w:sz w:val="22"/>
                <w:lang w:val="bg-BG"/>
              </w:rPr>
              <w:t>emissions</w:t>
            </w:r>
            <w:proofErr w:type="spellEnd"/>
          </w:p>
          <w:p w14:paraId="5F88EB30"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(MtCO2eq)</w:t>
            </w:r>
          </w:p>
          <w:p w14:paraId="22B36914" w14:textId="77777777" w:rsidR="00143414" w:rsidRPr="006F3533" w:rsidRDefault="00143414" w:rsidP="00541E06">
            <w:pPr>
              <w:contextualSpacing/>
              <w:jc w:val="center"/>
              <w:rPr>
                <w:rFonts w:cs="Times New Roman"/>
                <w:sz w:val="22"/>
                <w:lang w:val="bg-BG"/>
              </w:rPr>
            </w:pPr>
          </w:p>
        </w:tc>
        <w:tc>
          <w:tcPr>
            <w:tcW w:w="1461" w:type="pct"/>
            <w:gridSpan w:val="3"/>
            <w:shd w:val="clear" w:color="auto" w:fill="D9D9D9" w:themeFill="background1" w:themeFillShade="D9"/>
          </w:tcPr>
          <w:p w14:paraId="57D2F988"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 xml:space="preserve">GHG </w:t>
            </w:r>
            <w:proofErr w:type="spellStart"/>
            <w:r w:rsidRPr="006F3533">
              <w:rPr>
                <w:rFonts w:cs="Times New Roman"/>
                <w:sz w:val="22"/>
                <w:lang w:val="bg-BG"/>
              </w:rPr>
              <w:t>emissions</w:t>
            </w:r>
            <w:proofErr w:type="spellEnd"/>
            <w:r w:rsidRPr="006F3533">
              <w:rPr>
                <w:rFonts w:cs="Times New Roman"/>
                <w:sz w:val="22"/>
                <w:lang w:val="bg-BG"/>
              </w:rPr>
              <w:t xml:space="preserve"> </w:t>
            </w:r>
          </w:p>
          <w:p w14:paraId="53BBCB5E" w14:textId="77777777" w:rsidR="00143414" w:rsidRPr="006F3533" w:rsidRDefault="00143414" w:rsidP="00541E06">
            <w:pPr>
              <w:contextualSpacing/>
              <w:jc w:val="center"/>
              <w:rPr>
                <w:rFonts w:cs="Times New Roman"/>
                <w:sz w:val="22"/>
                <w:lang w:val="bg-BG"/>
              </w:rPr>
            </w:pPr>
            <w:proofErr w:type="spellStart"/>
            <w:r w:rsidRPr="006F3533">
              <w:rPr>
                <w:rFonts w:cs="Times New Roman"/>
                <w:sz w:val="22"/>
                <w:lang w:val="bg-BG"/>
              </w:rPr>
              <w:t>per</w:t>
            </w:r>
            <w:proofErr w:type="spellEnd"/>
            <w:r w:rsidRPr="006F3533">
              <w:rPr>
                <w:rFonts w:cs="Times New Roman"/>
                <w:sz w:val="22"/>
                <w:lang w:val="bg-BG"/>
              </w:rPr>
              <w:t xml:space="preserve"> m²</w:t>
            </w:r>
          </w:p>
          <w:p w14:paraId="6675C3BE"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(kgCO2eq/(m².y))</w:t>
            </w:r>
          </w:p>
        </w:tc>
      </w:tr>
      <w:tr w:rsidR="00143414" w:rsidRPr="006F3533" w14:paraId="6EA30F14" w14:textId="77777777" w:rsidTr="00143414">
        <w:trPr>
          <w:trHeight w:val="300"/>
        </w:trPr>
        <w:tc>
          <w:tcPr>
            <w:tcW w:w="385" w:type="pct"/>
            <w:vMerge/>
            <w:shd w:val="clear" w:color="auto" w:fill="D9D9D9" w:themeFill="background1" w:themeFillShade="D9"/>
          </w:tcPr>
          <w:p w14:paraId="7C5F4E3B" w14:textId="77777777" w:rsidR="00143414" w:rsidRPr="006F3533" w:rsidRDefault="00143414" w:rsidP="00541E06">
            <w:pPr>
              <w:contextualSpacing/>
              <w:jc w:val="center"/>
              <w:rPr>
                <w:rFonts w:cs="Times New Roman"/>
                <w:sz w:val="22"/>
                <w:lang w:val="bg-BG"/>
              </w:rPr>
            </w:pPr>
          </w:p>
        </w:tc>
        <w:tc>
          <w:tcPr>
            <w:tcW w:w="1384" w:type="pct"/>
            <w:vMerge/>
            <w:shd w:val="clear" w:color="auto" w:fill="D9D9D9" w:themeFill="background1" w:themeFillShade="D9"/>
          </w:tcPr>
          <w:p w14:paraId="6F4916B5" w14:textId="77777777" w:rsidR="00143414" w:rsidRPr="006F3533" w:rsidRDefault="00143414" w:rsidP="00541E06">
            <w:pPr>
              <w:jc w:val="both"/>
              <w:rPr>
                <w:rFonts w:cs="Times New Roman"/>
                <w:sz w:val="22"/>
                <w:lang w:val="bg-BG"/>
              </w:rPr>
            </w:pPr>
          </w:p>
        </w:tc>
        <w:tc>
          <w:tcPr>
            <w:tcW w:w="462" w:type="pct"/>
            <w:vMerge/>
            <w:shd w:val="clear" w:color="auto" w:fill="D9D9D9" w:themeFill="background1" w:themeFillShade="D9"/>
          </w:tcPr>
          <w:p w14:paraId="61F8FF89" w14:textId="77777777" w:rsidR="00143414" w:rsidRPr="006F3533" w:rsidRDefault="00143414" w:rsidP="00541E06">
            <w:pPr>
              <w:contextualSpacing/>
              <w:jc w:val="center"/>
              <w:rPr>
                <w:rFonts w:cs="Times New Roman"/>
                <w:sz w:val="22"/>
                <w:lang w:val="bg-BG"/>
              </w:rPr>
            </w:pPr>
          </w:p>
        </w:tc>
        <w:tc>
          <w:tcPr>
            <w:tcW w:w="436" w:type="pct"/>
            <w:shd w:val="clear" w:color="auto" w:fill="D9D9D9" w:themeFill="background1" w:themeFillShade="D9"/>
          </w:tcPr>
          <w:p w14:paraId="28700642" w14:textId="77777777" w:rsidR="00143414" w:rsidRPr="006F3533" w:rsidRDefault="00143414" w:rsidP="00541E06">
            <w:pPr>
              <w:jc w:val="center"/>
              <w:rPr>
                <w:rFonts w:cs="Times New Roman"/>
                <w:sz w:val="22"/>
                <w:lang w:val="bg-BG"/>
              </w:rPr>
            </w:pPr>
            <w:r w:rsidRPr="006F3533">
              <w:rPr>
                <w:rFonts w:cs="Times New Roman"/>
                <w:sz w:val="22"/>
                <w:lang w:val="bg-BG"/>
              </w:rPr>
              <w:t>2030</w:t>
            </w:r>
          </w:p>
        </w:tc>
        <w:tc>
          <w:tcPr>
            <w:tcW w:w="436" w:type="pct"/>
            <w:shd w:val="clear" w:color="auto" w:fill="D9D9D9" w:themeFill="background1" w:themeFillShade="D9"/>
          </w:tcPr>
          <w:p w14:paraId="6CACE37F" w14:textId="77777777" w:rsidR="00143414" w:rsidRPr="006F3533" w:rsidRDefault="00143414" w:rsidP="00541E06">
            <w:pPr>
              <w:jc w:val="center"/>
              <w:rPr>
                <w:rFonts w:cs="Times New Roman"/>
                <w:sz w:val="22"/>
                <w:lang w:val="bg-BG"/>
              </w:rPr>
            </w:pPr>
            <w:r w:rsidRPr="006F3533">
              <w:rPr>
                <w:rFonts w:cs="Times New Roman"/>
                <w:sz w:val="22"/>
                <w:lang w:val="bg-BG"/>
              </w:rPr>
              <w:t>2040</w:t>
            </w:r>
          </w:p>
        </w:tc>
        <w:tc>
          <w:tcPr>
            <w:tcW w:w="436" w:type="pct"/>
            <w:shd w:val="clear" w:color="auto" w:fill="D9D9D9" w:themeFill="background1" w:themeFillShade="D9"/>
          </w:tcPr>
          <w:p w14:paraId="3FA070F4" w14:textId="77777777" w:rsidR="00143414" w:rsidRPr="006F3533" w:rsidRDefault="00143414" w:rsidP="00541E06">
            <w:pPr>
              <w:jc w:val="center"/>
              <w:rPr>
                <w:rFonts w:cs="Times New Roman"/>
                <w:sz w:val="22"/>
                <w:lang w:val="bg-BG"/>
              </w:rPr>
            </w:pPr>
            <w:r w:rsidRPr="006F3533">
              <w:rPr>
                <w:rFonts w:cs="Times New Roman"/>
                <w:sz w:val="22"/>
                <w:lang w:val="bg-BG"/>
              </w:rPr>
              <w:t>2050</w:t>
            </w:r>
          </w:p>
        </w:tc>
        <w:tc>
          <w:tcPr>
            <w:tcW w:w="487" w:type="pct"/>
            <w:shd w:val="clear" w:color="auto" w:fill="D9D9D9" w:themeFill="background1" w:themeFillShade="D9"/>
          </w:tcPr>
          <w:p w14:paraId="091A1730" w14:textId="77777777" w:rsidR="00143414" w:rsidRPr="006F3533" w:rsidRDefault="00143414" w:rsidP="00541E06">
            <w:pPr>
              <w:jc w:val="center"/>
              <w:rPr>
                <w:rFonts w:cs="Times New Roman"/>
                <w:sz w:val="22"/>
                <w:lang w:val="bg-BG"/>
              </w:rPr>
            </w:pPr>
            <w:r w:rsidRPr="006F3533">
              <w:rPr>
                <w:rFonts w:cs="Times New Roman"/>
                <w:sz w:val="22"/>
                <w:lang w:val="bg-BG"/>
              </w:rPr>
              <w:t>2030</w:t>
            </w:r>
          </w:p>
        </w:tc>
        <w:tc>
          <w:tcPr>
            <w:tcW w:w="487" w:type="pct"/>
            <w:shd w:val="clear" w:color="auto" w:fill="D9D9D9" w:themeFill="background1" w:themeFillShade="D9"/>
          </w:tcPr>
          <w:p w14:paraId="48F8380C" w14:textId="77777777" w:rsidR="00143414" w:rsidRPr="006F3533" w:rsidRDefault="00143414" w:rsidP="00541E06">
            <w:pPr>
              <w:jc w:val="center"/>
              <w:rPr>
                <w:rFonts w:cs="Times New Roman"/>
                <w:sz w:val="22"/>
                <w:lang w:val="bg-BG"/>
              </w:rPr>
            </w:pPr>
            <w:r w:rsidRPr="006F3533">
              <w:rPr>
                <w:rFonts w:cs="Times New Roman"/>
                <w:sz w:val="22"/>
                <w:lang w:val="bg-BG"/>
              </w:rPr>
              <w:t>2040</w:t>
            </w:r>
          </w:p>
        </w:tc>
        <w:tc>
          <w:tcPr>
            <w:tcW w:w="487" w:type="pct"/>
            <w:shd w:val="clear" w:color="auto" w:fill="D9D9D9" w:themeFill="background1" w:themeFillShade="D9"/>
          </w:tcPr>
          <w:p w14:paraId="758AF342" w14:textId="77777777" w:rsidR="00143414" w:rsidRPr="006F3533" w:rsidRDefault="00143414" w:rsidP="00541E06">
            <w:pPr>
              <w:jc w:val="center"/>
              <w:rPr>
                <w:rFonts w:cs="Times New Roman"/>
                <w:sz w:val="22"/>
                <w:lang w:val="bg-BG"/>
              </w:rPr>
            </w:pPr>
            <w:r w:rsidRPr="006F3533">
              <w:rPr>
                <w:rFonts w:cs="Times New Roman"/>
                <w:sz w:val="22"/>
                <w:lang w:val="bg-BG"/>
              </w:rPr>
              <w:t>2050</w:t>
            </w:r>
            <w:r w:rsidRPr="006F3533">
              <w:rPr>
                <w:rFonts w:cs="Times New Roman"/>
                <w:sz w:val="22"/>
                <w:vertAlign w:val="superscript"/>
                <w:lang w:val="bg-BG"/>
              </w:rPr>
              <w:fldChar w:fldCharType="begin"/>
            </w:r>
            <w:r w:rsidRPr="006F3533">
              <w:rPr>
                <w:rFonts w:cs="Times New Roman"/>
                <w:sz w:val="22"/>
                <w:vertAlign w:val="superscript"/>
                <w:lang w:val="bg-BG"/>
              </w:rPr>
              <w:instrText xml:space="preserve"> NOTEREF _Ref182753509 \h  \* MERGEFORMAT </w:instrText>
            </w:r>
            <w:r w:rsidRPr="006F3533">
              <w:rPr>
                <w:rFonts w:cs="Times New Roman"/>
                <w:sz w:val="22"/>
                <w:vertAlign w:val="superscript"/>
                <w:lang w:val="bg-BG"/>
              </w:rPr>
            </w:r>
            <w:r w:rsidRPr="006F3533">
              <w:rPr>
                <w:rFonts w:cs="Times New Roman"/>
                <w:sz w:val="22"/>
                <w:vertAlign w:val="superscript"/>
                <w:lang w:val="bg-BG"/>
              </w:rPr>
              <w:fldChar w:fldCharType="separate"/>
            </w:r>
            <w:r w:rsidRPr="006F3533">
              <w:rPr>
                <w:rFonts w:cs="Times New Roman"/>
                <w:sz w:val="22"/>
                <w:vertAlign w:val="superscript"/>
                <w:lang w:val="bg-BG"/>
              </w:rPr>
              <w:t>26</w:t>
            </w:r>
            <w:r w:rsidRPr="006F3533">
              <w:rPr>
                <w:rFonts w:cs="Times New Roman"/>
                <w:sz w:val="22"/>
                <w:vertAlign w:val="superscript"/>
                <w:lang w:val="bg-BG"/>
              </w:rPr>
              <w:fldChar w:fldCharType="end"/>
            </w:r>
          </w:p>
        </w:tc>
      </w:tr>
      <w:tr w:rsidR="00143414" w:rsidRPr="006F3533" w14:paraId="66DBCF15" w14:textId="77777777" w:rsidTr="00143414">
        <w:trPr>
          <w:trHeight w:val="300"/>
        </w:trPr>
        <w:tc>
          <w:tcPr>
            <w:tcW w:w="385" w:type="pct"/>
          </w:tcPr>
          <w:p w14:paraId="008665E2"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 xml:space="preserve">R </w:t>
            </w:r>
          </w:p>
        </w:tc>
        <w:tc>
          <w:tcPr>
            <w:tcW w:w="1384" w:type="pct"/>
          </w:tcPr>
          <w:p w14:paraId="3EFF4D11" w14:textId="77777777" w:rsidR="00143414" w:rsidRPr="006F3533" w:rsidRDefault="00143414" w:rsidP="00541E06">
            <w:pPr>
              <w:jc w:val="both"/>
              <w:rPr>
                <w:rFonts w:cs="Times New Roman"/>
                <w:sz w:val="22"/>
                <w:lang w:val="bg-BG"/>
              </w:rPr>
            </w:pPr>
            <w:proofErr w:type="spellStart"/>
            <w:r w:rsidRPr="006F3533">
              <w:rPr>
                <w:rFonts w:cs="Times New Roman"/>
                <w:sz w:val="22"/>
                <w:lang w:val="bg-BG"/>
              </w:rPr>
              <w:t>Residential</w:t>
            </w:r>
            <w:proofErr w:type="spellEnd"/>
            <w:r w:rsidRPr="006F3533">
              <w:rPr>
                <w:rFonts w:cs="Times New Roman"/>
                <w:sz w:val="22"/>
                <w:lang w:val="bg-BG"/>
              </w:rPr>
              <w:t xml:space="preserve"> </w:t>
            </w:r>
          </w:p>
          <w:p w14:paraId="633C6755" w14:textId="77777777" w:rsidR="00143414" w:rsidRPr="006F3533" w:rsidRDefault="00143414" w:rsidP="00541E06">
            <w:pPr>
              <w:jc w:val="both"/>
              <w:rPr>
                <w:rFonts w:cs="Times New Roman"/>
                <w:sz w:val="22"/>
                <w:lang w:val="bg-BG"/>
              </w:rPr>
            </w:pPr>
          </w:p>
          <w:p w14:paraId="1F550B3C" w14:textId="77777777" w:rsidR="00143414" w:rsidRPr="006F3533" w:rsidRDefault="00143414" w:rsidP="00541E06">
            <w:pPr>
              <w:jc w:val="both"/>
              <w:rPr>
                <w:rFonts w:cs="Times New Roman"/>
                <w:i/>
                <w:iCs/>
                <w:sz w:val="22"/>
                <w:lang w:val="bg-BG"/>
              </w:rPr>
            </w:pPr>
          </w:p>
          <w:p w14:paraId="1C9CD118" w14:textId="77777777" w:rsidR="00143414" w:rsidRPr="006F3533" w:rsidRDefault="00143414" w:rsidP="00541E06">
            <w:pPr>
              <w:jc w:val="both"/>
              <w:rPr>
                <w:rFonts w:cs="Times New Roman"/>
                <w:i/>
                <w:iCs/>
                <w:sz w:val="22"/>
                <w:lang w:val="bg-BG"/>
              </w:rPr>
            </w:pPr>
          </w:p>
          <w:p w14:paraId="470E4675" w14:textId="77777777" w:rsidR="00143414" w:rsidRPr="006F3533" w:rsidRDefault="00143414" w:rsidP="00541E06">
            <w:pPr>
              <w:jc w:val="both"/>
              <w:rPr>
                <w:rFonts w:cs="Times New Roman"/>
                <w:sz w:val="22"/>
                <w:lang w:val="bg-BG"/>
              </w:rPr>
            </w:pPr>
            <w:proofErr w:type="spellStart"/>
            <w:r w:rsidRPr="006F3533">
              <w:rPr>
                <w:rFonts w:cs="Times New Roman"/>
                <w:i/>
                <w:iCs/>
                <w:sz w:val="22"/>
                <w:lang w:val="bg-BG"/>
              </w:rPr>
              <w:t>Out</w:t>
            </w:r>
            <w:proofErr w:type="spellEnd"/>
            <w:r w:rsidRPr="006F3533">
              <w:rPr>
                <w:rFonts w:cs="Times New Roman"/>
                <w:i/>
                <w:iCs/>
                <w:sz w:val="22"/>
                <w:lang w:val="bg-BG"/>
              </w:rPr>
              <w:t xml:space="preserve"> </w:t>
            </w:r>
            <w:proofErr w:type="spellStart"/>
            <w:r w:rsidRPr="006F3533">
              <w:rPr>
                <w:rFonts w:cs="Times New Roman"/>
                <w:i/>
                <w:iCs/>
                <w:sz w:val="22"/>
                <w:lang w:val="bg-BG"/>
              </w:rPr>
              <w:t>of</w:t>
            </w:r>
            <w:proofErr w:type="spellEnd"/>
            <w:r w:rsidRPr="006F3533">
              <w:rPr>
                <w:rFonts w:cs="Times New Roman"/>
                <w:i/>
                <w:iCs/>
                <w:sz w:val="22"/>
                <w:lang w:val="bg-BG"/>
              </w:rPr>
              <w:t xml:space="preserve"> </w:t>
            </w:r>
            <w:proofErr w:type="spellStart"/>
            <w:r w:rsidRPr="006F3533">
              <w:rPr>
                <w:rFonts w:cs="Times New Roman"/>
                <w:i/>
                <w:iCs/>
                <w:sz w:val="22"/>
                <w:lang w:val="bg-BG"/>
              </w:rPr>
              <w:t>which</w:t>
            </w:r>
            <w:proofErr w:type="spellEnd"/>
          </w:p>
        </w:tc>
        <w:tc>
          <w:tcPr>
            <w:tcW w:w="462" w:type="pct"/>
          </w:tcPr>
          <w:p w14:paraId="09B1CDF3"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M</w:t>
            </w:r>
          </w:p>
        </w:tc>
        <w:tc>
          <w:tcPr>
            <w:tcW w:w="436" w:type="pct"/>
          </w:tcPr>
          <w:p w14:paraId="053695C8" w14:textId="77777777" w:rsidR="00143414" w:rsidRPr="006F3533" w:rsidRDefault="00143414" w:rsidP="00541E06">
            <w:pPr>
              <w:jc w:val="center"/>
              <w:rPr>
                <w:rFonts w:cs="Times New Roman"/>
                <w:sz w:val="22"/>
                <w:lang w:val="bg-BG"/>
              </w:rPr>
            </w:pPr>
            <w:r w:rsidRPr="006F3533">
              <w:rPr>
                <w:rFonts w:cs="Times New Roman"/>
                <w:sz w:val="22"/>
                <w:lang w:val="bg-BG"/>
              </w:rPr>
              <w:t>7.33</w:t>
            </w:r>
          </w:p>
        </w:tc>
        <w:tc>
          <w:tcPr>
            <w:tcW w:w="436" w:type="pct"/>
          </w:tcPr>
          <w:p w14:paraId="1A1CDD78" w14:textId="77777777" w:rsidR="00143414" w:rsidRPr="006F3533" w:rsidRDefault="00143414" w:rsidP="00541E06">
            <w:pPr>
              <w:jc w:val="center"/>
              <w:rPr>
                <w:rFonts w:cs="Times New Roman"/>
                <w:sz w:val="22"/>
                <w:lang w:val="bg-BG"/>
              </w:rPr>
            </w:pPr>
          </w:p>
        </w:tc>
        <w:tc>
          <w:tcPr>
            <w:tcW w:w="436" w:type="pct"/>
          </w:tcPr>
          <w:p w14:paraId="606906D4" w14:textId="77777777" w:rsidR="00143414" w:rsidRPr="006F3533" w:rsidRDefault="00143414" w:rsidP="00541E06">
            <w:pPr>
              <w:jc w:val="center"/>
              <w:rPr>
                <w:rFonts w:cs="Times New Roman"/>
                <w:sz w:val="22"/>
                <w:lang w:val="bg-BG"/>
              </w:rPr>
            </w:pPr>
          </w:p>
        </w:tc>
        <w:tc>
          <w:tcPr>
            <w:tcW w:w="487" w:type="pct"/>
          </w:tcPr>
          <w:p w14:paraId="3837E2BC" w14:textId="77777777" w:rsidR="00143414" w:rsidRPr="006F3533" w:rsidRDefault="00143414" w:rsidP="00541E06">
            <w:pPr>
              <w:jc w:val="center"/>
              <w:rPr>
                <w:rFonts w:cs="Times New Roman"/>
                <w:sz w:val="22"/>
                <w:lang w:val="bg-BG"/>
              </w:rPr>
            </w:pPr>
            <w:r w:rsidRPr="006F3533">
              <w:rPr>
                <w:rFonts w:cs="Times New Roman"/>
                <w:sz w:val="22"/>
                <w:lang w:val="bg-BG"/>
              </w:rPr>
              <w:t>25</w:t>
            </w:r>
          </w:p>
        </w:tc>
        <w:tc>
          <w:tcPr>
            <w:tcW w:w="487" w:type="pct"/>
          </w:tcPr>
          <w:p w14:paraId="53021977" w14:textId="77777777" w:rsidR="00143414" w:rsidRPr="006F3533" w:rsidRDefault="00143414" w:rsidP="00541E06">
            <w:pPr>
              <w:contextualSpacing/>
              <w:jc w:val="both"/>
              <w:rPr>
                <w:rFonts w:cs="Times New Roman"/>
                <w:sz w:val="22"/>
                <w:lang w:val="bg-BG"/>
              </w:rPr>
            </w:pPr>
          </w:p>
        </w:tc>
        <w:tc>
          <w:tcPr>
            <w:tcW w:w="487" w:type="pct"/>
          </w:tcPr>
          <w:p w14:paraId="1297DBE6" w14:textId="77777777" w:rsidR="00143414" w:rsidRPr="006F3533" w:rsidRDefault="00143414" w:rsidP="00541E06">
            <w:pPr>
              <w:contextualSpacing/>
              <w:jc w:val="both"/>
              <w:rPr>
                <w:rFonts w:cs="Times New Roman"/>
                <w:sz w:val="22"/>
                <w:lang w:val="bg-BG"/>
              </w:rPr>
            </w:pPr>
          </w:p>
        </w:tc>
      </w:tr>
      <w:tr w:rsidR="00143414" w:rsidRPr="006F3533" w14:paraId="692F50A8" w14:textId="77777777" w:rsidTr="00143414">
        <w:trPr>
          <w:trHeight w:val="300"/>
        </w:trPr>
        <w:tc>
          <w:tcPr>
            <w:tcW w:w="385" w:type="pct"/>
          </w:tcPr>
          <w:p w14:paraId="19A4523D" w14:textId="77777777" w:rsidR="00143414" w:rsidRPr="006F3533" w:rsidRDefault="00143414" w:rsidP="00541E06">
            <w:pPr>
              <w:jc w:val="right"/>
              <w:rPr>
                <w:rFonts w:cs="Times New Roman"/>
                <w:i/>
                <w:iCs/>
                <w:sz w:val="22"/>
                <w:lang w:val="bg-BG"/>
              </w:rPr>
            </w:pPr>
            <w:r w:rsidRPr="006F3533">
              <w:rPr>
                <w:rFonts w:cs="Times New Roman"/>
                <w:i/>
                <w:iCs/>
                <w:sz w:val="22"/>
                <w:lang w:val="bg-BG"/>
              </w:rPr>
              <w:t>(a)</w:t>
            </w:r>
          </w:p>
        </w:tc>
        <w:tc>
          <w:tcPr>
            <w:tcW w:w="1384" w:type="pct"/>
          </w:tcPr>
          <w:p w14:paraId="4FF3C06E" w14:textId="77777777" w:rsidR="00143414" w:rsidRPr="006F3533" w:rsidRDefault="00143414" w:rsidP="00541E06">
            <w:pPr>
              <w:contextualSpacing/>
              <w:jc w:val="right"/>
              <w:rPr>
                <w:rFonts w:cs="Times New Roman"/>
                <w:i/>
                <w:iCs/>
                <w:sz w:val="22"/>
                <w:lang w:val="bg-BG"/>
              </w:rPr>
            </w:pPr>
            <w:proofErr w:type="spellStart"/>
            <w:r w:rsidRPr="006F3533">
              <w:rPr>
                <w:rFonts w:cs="Times New Roman"/>
                <w:i/>
                <w:iCs/>
                <w:sz w:val="22"/>
                <w:lang w:val="bg-BG"/>
              </w:rPr>
              <w:t>single-family</w:t>
            </w:r>
            <w:proofErr w:type="spellEnd"/>
            <w:r w:rsidRPr="006F3533">
              <w:rPr>
                <w:rFonts w:cs="Times New Roman"/>
                <w:i/>
                <w:iCs/>
                <w:sz w:val="22"/>
                <w:lang w:val="bg-BG"/>
              </w:rPr>
              <w:t xml:space="preserve"> </w:t>
            </w:r>
            <w:proofErr w:type="spellStart"/>
            <w:r w:rsidRPr="006F3533">
              <w:rPr>
                <w:rFonts w:cs="Times New Roman"/>
                <w:i/>
                <w:iCs/>
                <w:sz w:val="22"/>
                <w:lang w:val="bg-BG"/>
              </w:rPr>
              <w:t>houses</w:t>
            </w:r>
            <w:proofErr w:type="spellEnd"/>
          </w:p>
          <w:p w14:paraId="552A26BC" w14:textId="77777777" w:rsidR="00143414" w:rsidRPr="006F3533" w:rsidRDefault="00143414" w:rsidP="00541E06">
            <w:pPr>
              <w:contextualSpacing/>
              <w:jc w:val="right"/>
              <w:rPr>
                <w:rFonts w:cs="Times New Roman"/>
                <w:i/>
                <w:iCs/>
                <w:sz w:val="22"/>
                <w:lang w:val="bg-BG"/>
              </w:rPr>
            </w:pPr>
            <w:proofErr w:type="spellStart"/>
            <w:r w:rsidRPr="006F3533">
              <w:rPr>
                <w:rFonts w:cs="Times New Roman"/>
                <w:i/>
                <w:iCs/>
                <w:sz w:val="22"/>
                <w:lang w:val="bg-BG"/>
              </w:rPr>
              <w:t>of</w:t>
            </w:r>
            <w:proofErr w:type="spellEnd"/>
            <w:r w:rsidRPr="006F3533">
              <w:rPr>
                <w:rFonts w:cs="Times New Roman"/>
                <w:i/>
                <w:iCs/>
                <w:sz w:val="22"/>
                <w:lang w:val="bg-BG"/>
              </w:rPr>
              <w:t xml:space="preserve"> </w:t>
            </w:r>
            <w:proofErr w:type="spellStart"/>
            <w:r w:rsidRPr="006F3533">
              <w:rPr>
                <w:rFonts w:cs="Times New Roman"/>
                <w:i/>
                <w:iCs/>
                <w:sz w:val="22"/>
                <w:lang w:val="bg-BG"/>
              </w:rPr>
              <w:t>different</w:t>
            </w:r>
            <w:proofErr w:type="spellEnd"/>
            <w:r w:rsidRPr="006F3533">
              <w:rPr>
                <w:rFonts w:cs="Times New Roman"/>
                <w:i/>
                <w:iCs/>
                <w:sz w:val="22"/>
                <w:lang w:val="bg-BG"/>
              </w:rPr>
              <w:t xml:space="preserve"> </w:t>
            </w:r>
            <w:proofErr w:type="spellStart"/>
            <w:r w:rsidRPr="006F3533">
              <w:rPr>
                <w:rFonts w:cs="Times New Roman"/>
                <w:i/>
                <w:iCs/>
                <w:sz w:val="22"/>
                <w:lang w:val="bg-BG"/>
              </w:rPr>
              <w:t>types</w:t>
            </w:r>
            <w:proofErr w:type="spellEnd"/>
          </w:p>
        </w:tc>
        <w:tc>
          <w:tcPr>
            <w:tcW w:w="462" w:type="pct"/>
          </w:tcPr>
          <w:p w14:paraId="4D1CCDEB" w14:textId="77777777" w:rsidR="00143414" w:rsidRPr="006F3533" w:rsidRDefault="00143414" w:rsidP="00541E06">
            <w:pPr>
              <w:contextualSpacing/>
              <w:jc w:val="center"/>
              <w:rPr>
                <w:rFonts w:cs="Times New Roman"/>
                <w:sz w:val="22"/>
                <w:lang w:val="bg-BG"/>
              </w:rPr>
            </w:pPr>
            <w:proofErr w:type="spellStart"/>
            <w:r w:rsidRPr="006F3533">
              <w:rPr>
                <w:rFonts w:cs="Times New Roman"/>
                <w:sz w:val="22"/>
                <w:lang w:val="bg-BG"/>
              </w:rPr>
              <w:t>Miav</w:t>
            </w:r>
            <w:proofErr w:type="spellEnd"/>
          </w:p>
        </w:tc>
        <w:tc>
          <w:tcPr>
            <w:tcW w:w="436" w:type="pct"/>
          </w:tcPr>
          <w:p w14:paraId="65147F1E" w14:textId="77777777" w:rsidR="00143414" w:rsidRPr="006F3533" w:rsidRDefault="00143414" w:rsidP="00541E06">
            <w:pPr>
              <w:contextualSpacing/>
              <w:jc w:val="both"/>
              <w:rPr>
                <w:rFonts w:cs="Times New Roman"/>
                <w:sz w:val="22"/>
                <w:lang w:val="bg-BG"/>
              </w:rPr>
            </w:pPr>
          </w:p>
        </w:tc>
        <w:tc>
          <w:tcPr>
            <w:tcW w:w="436" w:type="pct"/>
          </w:tcPr>
          <w:p w14:paraId="5E5D9E6D" w14:textId="77777777" w:rsidR="00143414" w:rsidRPr="006F3533" w:rsidRDefault="00143414" w:rsidP="00541E06">
            <w:pPr>
              <w:contextualSpacing/>
              <w:jc w:val="both"/>
              <w:rPr>
                <w:rFonts w:cs="Times New Roman"/>
                <w:sz w:val="22"/>
                <w:lang w:val="bg-BG"/>
              </w:rPr>
            </w:pPr>
          </w:p>
        </w:tc>
        <w:tc>
          <w:tcPr>
            <w:tcW w:w="436" w:type="pct"/>
          </w:tcPr>
          <w:p w14:paraId="4893B774" w14:textId="77777777" w:rsidR="00143414" w:rsidRPr="006F3533" w:rsidRDefault="00143414" w:rsidP="00541E06">
            <w:pPr>
              <w:contextualSpacing/>
              <w:jc w:val="both"/>
              <w:rPr>
                <w:rFonts w:cs="Times New Roman"/>
                <w:sz w:val="22"/>
                <w:lang w:val="bg-BG"/>
              </w:rPr>
            </w:pPr>
          </w:p>
        </w:tc>
        <w:tc>
          <w:tcPr>
            <w:tcW w:w="487" w:type="pct"/>
          </w:tcPr>
          <w:p w14:paraId="65F1C0A5" w14:textId="77777777" w:rsidR="00143414" w:rsidRPr="006F3533" w:rsidRDefault="00143414" w:rsidP="00541E06">
            <w:pPr>
              <w:contextualSpacing/>
              <w:jc w:val="both"/>
              <w:rPr>
                <w:rFonts w:cs="Times New Roman"/>
                <w:sz w:val="22"/>
                <w:lang w:val="bg-BG"/>
              </w:rPr>
            </w:pPr>
          </w:p>
        </w:tc>
        <w:tc>
          <w:tcPr>
            <w:tcW w:w="487" w:type="pct"/>
          </w:tcPr>
          <w:p w14:paraId="06785C2D" w14:textId="77777777" w:rsidR="00143414" w:rsidRPr="006F3533" w:rsidRDefault="00143414" w:rsidP="00541E06">
            <w:pPr>
              <w:contextualSpacing/>
              <w:jc w:val="both"/>
              <w:rPr>
                <w:rFonts w:cs="Times New Roman"/>
                <w:sz w:val="22"/>
                <w:lang w:val="bg-BG"/>
              </w:rPr>
            </w:pPr>
          </w:p>
        </w:tc>
        <w:tc>
          <w:tcPr>
            <w:tcW w:w="487" w:type="pct"/>
          </w:tcPr>
          <w:p w14:paraId="5274E2D8" w14:textId="77777777" w:rsidR="00143414" w:rsidRPr="006F3533" w:rsidRDefault="00143414" w:rsidP="00541E06">
            <w:pPr>
              <w:contextualSpacing/>
              <w:jc w:val="both"/>
              <w:rPr>
                <w:rFonts w:cs="Times New Roman"/>
                <w:sz w:val="22"/>
                <w:lang w:val="bg-BG"/>
              </w:rPr>
            </w:pPr>
          </w:p>
        </w:tc>
      </w:tr>
      <w:tr w:rsidR="00143414" w:rsidRPr="006F3533" w14:paraId="3510CA2C" w14:textId="77777777" w:rsidTr="00143414">
        <w:trPr>
          <w:trHeight w:val="300"/>
        </w:trPr>
        <w:tc>
          <w:tcPr>
            <w:tcW w:w="385" w:type="pct"/>
          </w:tcPr>
          <w:p w14:paraId="57363537" w14:textId="77777777" w:rsidR="00143414" w:rsidRPr="006F3533" w:rsidRDefault="00143414" w:rsidP="00541E06">
            <w:pPr>
              <w:contextualSpacing/>
              <w:jc w:val="right"/>
              <w:rPr>
                <w:rFonts w:cs="Times New Roman"/>
                <w:i/>
                <w:iCs/>
                <w:sz w:val="22"/>
                <w:lang w:val="bg-BG"/>
              </w:rPr>
            </w:pPr>
            <w:r w:rsidRPr="006F3533">
              <w:rPr>
                <w:rFonts w:cs="Times New Roman"/>
                <w:i/>
                <w:iCs/>
                <w:sz w:val="22"/>
                <w:lang w:val="bg-BG"/>
              </w:rPr>
              <w:t>(b1)</w:t>
            </w:r>
          </w:p>
          <w:p w14:paraId="55A4664E" w14:textId="77777777" w:rsidR="00143414" w:rsidRPr="006F3533" w:rsidRDefault="00143414" w:rsidP="00541E06">
            <w:pPr>
              <w:contextualSpacing/>
              <w:jc w:val="right"/>
              <w:rPr>
                <w:rFonts w:cs="Times New Roman"/>
                <w:i/>
                <w:iCs/>
                <w:sz w:val="22"/>
                <w:lang w:val="bg-BG"/>
              </w:rPr>
            </w:pPr>
          </w:p>
          <w:p w14:paraId="1EF5AAAF" w14:textId="77777777" w:rsidR="00143414" w:rsidRPr="006F3533" w:rsidRDefault="00143414" w:rsidP="00541E06">
            <w:pPr>
              <w:contextualSpacing/>
              <w:jc w:val="right"/>
              <w:rPr>
                <w:rFonts w:cs="Times New Roman"/>
                <w:i/>
                <w:iCs/>
                <w:sz w:val="22"/>
                <w:lang w:val="bg-BG"/>
              </w:rPr>
            </w:pPr>
          </w:p>
          <w:p w14:paraId="51A1C813" w14:textId="77777777" w:rsidR="00143414" w:rsidRPr="006F3533" w:rsidRDefault="00143414" w:rsidP="00541E06">
            <w:pPr>
              <w:contextualSpacing/>
              <w:jc w:val="right"/>
              <w:rPr>
                <w:rFonts w:cs="Times New Roman"/>
                <w:i/>
                <w:iCs/>
                <w:sz w:val="22"/>
                <w:lang w:val="bg-BG"/>
              </w:rPr>
            </w:pPr>
          </w:p>
        </w:tc>
        <w:tc>
          <w:tcPr>
            <w:tcW w:w="1384" w:type="pct"/>
          </w:tcPr>
          <w:p w14:paraId="46856C33" w14:textId="77777777" w:rsidR="00143414" w:rsidRPr="006F3533" w:rsidRDefault="00143414" w:rsidP="00541E06">
            <w:pPr>
              <w:contextualSpacing/>
              <w:jc w:val="right"/>
              <w:rPr>
                <w:rFonts w:cs="Times New Roman"/>
                <w:i/>
                <w:iCs/>
                <w:sz w:val="22"/>
                <w:lang w:val="bg-BG"/>
              </w:rPr>
            </w:pPr>
            <w:proofErr w:type="spellStart"/>
            <w:r w:rsidRPr="006F3533">
              <w:rPr>
                <w:rFonts w:cs="Times New Roman"/>
                <w:i/>
                <w:iCs/>
                <w:sz w:val="22"/>
                <w:lang w:val="bg-BG"/>
              </w:rPr>
              <w:t>apartment</w:t>
            </w:r>
            <w:proofErr w:type="spellEnd"/>
            <w:r w:rsidRPr="006F3533">
              <w:rPr>
                <w:rFonts w:cs="Times New Roman"/>
                <w:i/>
                <w:iCs/>
                <w:sz w:val="22"/>
                <w:lang w:val="bg-BG"/>
              </w:rPr>
              <w:t xml:space="preserve"> </w:t>
            </w:r>
            <w:proofErr w:type="spellStart"/>
            <w:r w:rsidRPr="006F3533">
              <w:rPr>
                <w:rFonts w:cs="Times New Roman"/>
                <w:i/>
                <w:iCs/>
                <w:sz w:val="22"/>
                <w:lang w:val="bg-BG"/>
              </w:rPr>
              <w:t>blocks</w:t>
            </w:r>
            <w:proofErr w:type="spellEnd"/>
            <w:r w:rsidRPr="006F3533">
              <w:rPr>
                <w:rFonts w:cs="Times New Roman"/>
                <w:i/>
                <w:iCs/>
                <w:sz w:val="22"/>
                <w:lang w:val="bg-BG"/>
              </w:rPr>
              <w:t xml:space="preserve"> </w:t>
            </w:r>
            <w:proofErr w:type="spellStart"/>
            <w:r w:rsidRPr="006F3533">
              <w:rPr>
                <w:rFonts w:cs="Times New Roman"/>
                <w:i/>
                <w:iCs/>
                <w:sz w:val="22"/>
                <w:lang w:val="bg-BG"/>
              </w:rPr>
              <w:t>or</w:t>
            </w:r>
            <w:proofErr w:type="spellEnd"/>
            <w:r w:rsidRPr="006F3533">
              <w:rPr>
                <w:rFonts w:cs="Times New Roman"/>
                <w:i/>
                <w:iCs/>
                <w:sz w:val="22"/>
                <w:lang w:val="bg-BG"/>
              </w:rPr>
              <w:t xml:space="preserve"> </w:t>
            </w:r>
            <w:proofErr w:type="spellStart"/>
            <w:r w:rsidRPr="006F3533">
              <w:rPr>
                <w:rFonts w:cs="Times New Roman"/>
                <w:i/>
                <w:iCs/>
                <w:sz w:val="22"/>
                <w:lang w:val="bg-BG"/>
              </w:rPr>
              <w:t>multi-family</w:t>
            </w:r>
            <w:proofErr w:type="spellEnd"/>
            <w:r w:rsidRPr="006F3533">
              <w:rPr>
                <w:rFonts w:cs="Times New Roman"/>
                <w:i/>
                <w:iCs/>
                <w:sz w:val="22"/>
                <w:lang w:val="bg-BG"/>
              </w:rPr>
              <w:t xml:space="preserve"> </w:t>
            </w:r>
            <w:proofErr w:type="spellStart"/>
            <w:r w:rsidRPr="006F3533">
              <w:rPr>
                <w:rFonts w:cs="Times New Roman"/>
                <w:i/>
                <w:iCs/>
                <w:sz w:val="22"/>
                <w:lang w:val="bg-BG"/>
              </w:rPr>
              <w:t>buildings</w:t>
            </w:r>
            <w:proofErr w:type="spellEnd"/>
            <w:r w:rsidRPr="006F3533">
              <w:rPr>
                <w:rFonts w:cs="Times New Roman"/>
                <w:i/>
                <w:iCs/>
                <w:sz w:val="22"/>
                <w:lang w:val="bg-BG"/>
              </w:rPr>
              <w:t xml:space="preserve"> </w:t>
            </w:r>
          </w:p>
          <w:p w14:paraId="0794BE91" w14:textId="77777777" w:rsidR="00143414" w:rsidRPr="006F3533" w:rsidRDefault="00143414" w:rsidP="00541E06">
            <w:pPr>
              <w:contextualSpacing/>
              <w:jc w:val="right"/>
              <w:rPr>
                <w:rFonts w:cs="Times New Roman"/>
                <w:i/>
                <w:iCs/>
                <w:sz w:val="22"/>
                <w:lang w:val="bg-BG"/>
              </w:rPr>
            </w:pPr>
          </w:p>
          <w:p w14:paraId="705F7293" w14:textId="77777777" w:rsidR="00143414" w:rsidRPr="006F3533" w:rsidRDefault="00143414" w:rsidP="00541E06">
            <w:pPr>
              <w:contextualSpacing/>
              <w:jc w:val="right"/>
              <w:rPr>
                <w:rFonts w:cs="Times New Roman"/>
                <w:i/>
                <w:iCs/>
                <w:sz w:val="22"/>
                <w:lang w:val="bg-BG"/>
              </w:rPr>
            </w:pPr>
          </w:p>
        </w:tc>
        <w:tc>
          <w:tcPr>
            <w:tcW w:w="462" w:type="pct"/>
          </w:tcPr>
          <w:p w14:paraId="18BB708F" w14:textId="77777777" w:rsidR="00143414" w:rsidRPr="006F3533" w:rsidRDefault="00143414" w:rsidP="00541E06">
            <w:pPr>
              <w:contextualSpacing/>
              <w:jc w:val="center"/>
              <w:rPr>
                <w:rFonts w:cs="Times New Roman"/>
                <w:sz w:val="22"/>
                <w:lang w:val="bg-BG"/>
              </w:rPr>
            </w:pPr>
            <w:proofErr w:type="spellStart"/>
            <w:r w:rsidRPr="006F3533">
              <w:rPr>
                <w:rFonts w:cs="Times New Roman"/>
                <w:sz w:val="22"/>
                <w:lang w:val="bg-BG"/>
              </w:rPr>
              <w:t>Miav</w:t>
            </w:r>
            <w:proofErr w:type="spellEnd"/>
          </w:p>
          <w:p w14:paraId="69D9DADD" w14:textId="77777777" w:rsidR="00143414" w:rsidRPr="006F3533" w:rsidRDefault="00143414" w:rsidP="00541E06">
            <w:pPr>
              <w:contextualSpacing/>
              <w:jc w:val="center"/>
              <w:rPr>
                <w:rFonts w:cs="Times New Roman"/>
                <w:sz w:val="22"/>
                <w:lang w:val="bg-BG"/>
              </w:rPr>
            </w:pPr>
          </w:p>
          <w:p w14:paraId="65AE43F9" w14:textId="77777777" w:rsidR="00143414" w:rsidRPr="006F3533" w:rsidRDefault="00143414" w:rsidP="00541E06">
            <w:pPr>
              <w:contextualSpacing/>
              <w:jc w:val="center"/>
              <w:rPr>
                <w:rFonts w:cs="Times New Roman"/>
                <w:sz w:val="22"/>
                <w:lang w:val="bg-BG"/>
              </w:rPr>
            </w:pPr>
          </w:p>
          <w:p w14:paraId="697292AD" w14:textId="77777777" w:rsidR="00143414" w:rsidRPr="006F3533" w:rsidRDefault="00143414" w:rsidP="00541E06">
            <w:pPr>
              <w:contextualSpacing/>
              <w:jc w:val="center"/>
              <w:rPr>
                <w:rFonts w:cs="Times New Roman"/>
                <w:sz w:val="22"/>
                <w:lang w:val="bg-BG"/>
              </w:rPr>
            </w:pPr>
          </w:p>
        </w:tc>
        <w:tc>
          <w:tcPr>
            <w:tcW w:w="436" w:type="pct"/>
          </w:tcPr>
          <w:p w14:paraId="6B71F446" w14:textId="77777777" w:rsidR="00143414" w:rsidRPr="006F3533" w:rsidRDefault="00143414" w:rsidP="00541E06">
            <w:pPr>
              <w:contextualSpacing/>
              <w:jc w:val="both"/>
              <w:rPr>
                <w:rFonts w:cs="Times New Roman"/>
                <w:sz w:val="22"/>
                <w:lang w:val="bg-BG"/>
              </w:rPr>
            </w:pPr>
          </w:p>
        </w:tc>
        <w:tc>
          <w:tcPr>
            <w:tcW w:w="436" w:type="pct"/>
          </w:tcPr>
          <w:p w14:paraId="0DB5242F" w14:textId="77777777" w:rsidR="00143414" w:rsidRPr="006F3533" w:rsidRDefault="00143414" w:rsidP="00541E06">
            <w:pPr>
              <w:contextualSpacing/>
              <w:jc w:val="both"/>
              <w:rPr>
                <w:rFonts w:cs="Times New Roman"/>
                <w:sz w:val="22"/>
                <w:lang w:val="bg-BG"/>
              </w:rPr>
            </w:pPr>
          </w:p>
        </w:tc>
        <w:tc>
          <w:tcPr>
            <w:tcW w:w="436" w:type="pct"/>
          </w:tcPr>
          <w:p w14:paraId="7939D133" w14:textId="77777777" w:rsidR="00143414" w:rsidRPr="006F3533" w:rsidRDefault="00143414" w:rsidP="00541E06">
            <w:pPr>
              <w:contextualSpacing/>
              <w:jc w:val="both"/>
              <w:rPr>
                <w:rFonts w:cs="Times New Roman"/>
                <w:sz w:val="22"/>
                <w:lang w:val="bg-BG"/>
              </w:rPr>
            </w:pPr>
          </w:p>
        </w:tc>
        <w:tc>
          <w:tcPr>
            <w:tcW w:w="487" w:type="pct"/>
            <w:vMerge w:val="restart"/>
          </w:tcPr>
          <w:p w14:paraId="3A1B7F39" w14:textId="77777777" w:rsidR="00143414" w:rsidRPr="006F3533" w:rsidRDefault="00143414" w:rsidP="00541E06">
            <w:pPr>
              <w:contextualSpacing/>
              <w:jc w:val="both"/>
              <w:rPr>
                <w:rFonts w:cs="Times New Roman"/>
                <w:sz w:val="22"/>
                <w:lang w:val="bg-BG"/>
              </w:rPr>
            </w:pPr>
          </w:p>
        </w:tc>
        <w:tc>
          <w:tcPr>
            <w:tcW w:w="487" w:type="pct"/>
            <w:vMerge w:val="restart"/>
          </w:tcPr>
          <w:p w14:paraId="4BEC848C" w14:textId="77777777" w:rsidR="00143414" w:rsidRPr="006F3533" w:rsidRDefault="00143414" w:rsidP="00541E06">
            <w:pPr>
              <w:contextualSpacing/>
              <w:jc w:val="both"/>
              <w:rPr>
                <w:rFonts w:cs="Times New Roman"/>
                <w:sz w:val="22"/>
                <w:lang w:val="bg-BG"/>
              </w:rPr>
            </w:pPr>
          </w:p>
        </w:tc>
        <w:tc>
          <w:tcPr>
            <w:tcW w:w="487" w:type="pct"/>
            <w:vMerge w:val="restart"/>
          </w:tcPr>
          <w:p w14:paraId="4BA5DCB4" w14:textId="77777777" w:rsidR="00143414" w:rsidRPr="006F3533" w:rsidRDefault="00143414" w:rsidP="00541E06">
            <w:pPr>
              <w:contextualSpacing/>
              <w:jc w:val="both"/>
              <w:rPr>
                <w:rFonts w:cs="Times New Roman"/>
                <w:sz w:val="22"/>
                <w:lang w:val="bg-BG"/>
              </w:rPr>
            </w:pPr>
          </w:p>
        </w:tc>
      </w:tr>
      <w:tr w:rsidR="00143414" w:rsidRPr="006F3533" w14:paraId="4C870833" w14:textId="77777777" w:rsidTr="00143414">
        <w:trPr>
          <w:trHeight w:val="300"/>
        </w:trPr>
        <w:tc>
          <w:tcPr>
            <w:tcW w:w="385" w:type="pct"/>
          </w:tcPr>
          <w:p w14:paraId="6028B939" w14:textId="77777777" w:rsidR="00143414" w:rsidRPr="006F3533" w:rsidRDefault="00143414" w:rsidP="00541E06">
            <w:pPr>
              <w:contextualSpacing/>
              <w:jc w:val="right"/>
              <w:rPr>
                <w:rFonts w:cs="Times New Roman"/>
                <w:i/>
                <w:iCs/>
                <w:sz w:val="22"/>
                <w:lang w:val="bg-BG"/>
              </w:rPr>
            </w:pPr>
            <w:r w:rsidRPr="006F3533">
              <w:rPr>
                <w:rFonts w:cs="Times New Roman"/>
                <w:i/>
                <w:iCs/>
                <w:sz w:val="22"/>
                <w:lang w:val="bg-BG"/>
              </w:rPr>
              <w:t>(b2)</w:t>
            </w:r>
          </w:p>
        </w:tc>
        <w:tc>
          <w:tcPr>
            <w:tcW w:w="1384" w:type="pct"/>
          </w:tcPr>
          <w:p w14:paraId="1556A53D" w14:textId="77777777" w:rsidR="00143414" w:rsidRPr="006F3533" w:rsidRDefault="00143414" w:rsidP="00541E06">
            <w:pPr>
              <w:contextualSpacing/>
              <w:jc w:val="right"/>
              <w:rPr>
                <w:rFonts w:cs="Times New Roman"/>
                <w:i/>
                <w:iCs/>
                <w:sz w:val="22"/>
                <w:lang w:val="bg-BG"/>
              </w:rPr>
            </w:pPr>
            <w:proofErr w:type="spellStart"/>
            <w:r w:rsidRPr="006F3533">
              <w:rPr>
                <w:rFonts w:cs="Times New Roman"/>
                <w:i/>
                <w:iCs/>
                <w:sz w:val="22"/>
                <w:lang w:val="bg-BG"/>
              </w:rPr>
              <w:t>residential</w:t>
            </w:r>
            <w:proofErr w:type="spellEnd"/>
            <w:r w:rsidRPr="006F3533">
              <w:rPr>
                <w:rFonts w:cs="Times New Roman"/>
                <w:i/>
                <w:iCs/>
                <w:sz w:val="22"/>
                <w:lang w:val="bg-BG"/>
              </w:rPr>
              <w:t xml:space="preserve"> </w:t>
            </w:r>
            <w:proofErr w:type="spellStart"/>
            <w:r w:rsidRPr="006F3533">
              <w:rPr>
                <w:rFonts w:cs="Times New Roman"/>
                <w:i/>
                <w:iCs/>
                <w:sz w:val="22"/>
                <w:lang w:val="bg-BG"/>
              </w:rPr>
              <w:t>building</w:t>
            </w:r>
            <w:proofErr w:type="spellEnd"/>
            <w:r w:rsidRPr="006F3533">
              <w:rPr>
                <w:rFonts w:cs="Times New Roman"/>
                <w:i/>
                <w:iCs/>
                <w:sz w:val="22"/>
                <w:lang w:val="bg-BG"/>
              </w:rPr>
              <w:t xml:space="preserve"> </w:t>
            </w:r>
            <w:proofErr w:type="spellStart"/>
            <w:r w:rsidRPr="006F3533">
              <w:rPr>
                <w:rFonts w:cs="Times New Roman"/>
                <w:i/>
                <w:iCs/>
                <w:sz w:val="22"/>
                <w:lang w:val="bg-BG"/>
              </w:rPr>
              <w:t>unit</w:t>
            </w:r>
            <w:proofErr w:type="spellEnd"/>
            <w:r w:rsidRPr="006F3533">
              <w:rPr>
                <w:rFonts w:cs="Times New Roman"/>
                <w:i/>
                <w:iCs/>
                <w:sz w:val="22"/>
                <w:lang w:val="bg-BG"/>
              </w:rPr>
              <w:t xml:space="preserve"> </w:t>
            </w:r>
            <w:proofErr w:type="spellStart"/>
            <w:r w:rsidRPr="006F3533">
              <w:rPr>
                <w:rFonts w:cs="Times New Roman"/>
                <w:i/>
                <w:iCs/>
                <w:sz w:val="22"/>
                <w:lang w:val="bg-BG"/>
              </w:rPr>
              <w:t>inapartment</w:t>
            </w:r>
            <w:proofErr w:type="spellEnd"/>
            <w:r w:rsidRPr="006F3533">
              <w:rPr>
                <w:rFonts w:cs="Times New Roman"/>
                <w:i/>
                <w:iCs/>
                <w:sz w:val="22"/>
                <w:lang w:val="bg-BG"/>
              </w:rPr>
              <w:t xml:space="preserve"> </w:t>
            </w:r>
            <w:proofErr w:type="spellStart"/>
            <w:r w:rsidRPr="006F3533">
              <w:rPr>
                <w:rFonts w:cs="Times New Roman"/>
                <w:i/>
                <w:iCs/>
                <w:sz w:val="22"/>
                <w:lang w:val="bg-BG"/>
              </w:rPr>
              <w:t>blocks</w:t>
            </w:r>
            <w:proofErr w:type="spellEnd"/>
            <w:r w:rsidRPr="006F3533">
              <w:rPr>
                <w:rFonts w:cs="Times New Roman"/>
                <w:i/>
                <w:iCs/>
                <w:sz w:val="22"/>
                <w:lang w:val="bg-BG"/>
              </w:rPr>
              <w:t xml:space="preserve"> </w:t>
            </w:r>
            <w:proofErr w:type="spellStart"/>
            <w:r w:rsidRPr="006F3533">
              <w:rPr>
                <w:rFonts w:cs="Times New Roman"/>
                <w:i/>
                <w:iCs/>
                <w:sz w:val="22"/>
                <w:lang w:val="bg-BG"/>
              </w:rPr>
              <w:t>or</w:t>
            </w:r>
            <w:proofErr w:type="spellEnd"/>
            <w:r w:rsidRPr="006F3533">
              <w:rPr>
                <w:rFonts w:cs="Times New Roman"/>
                <w:i/>
                <w:iCs/>
                <w:sz w:val="22"/>
                <w:lang w:val="bg-BG"/>
              </w:rPr>
              <w:t xml:space="preserve"> </w:t>
            </w:r>
            <w:proofErr w:type="spellStart"/>
            <w:r w:rsidRPr="006F3533">
              <w:rPr>
                <w:rFonts w:cs="Times New Roman"/>
                <w:i/>
                <w:iCs/>
                <w:sz w:val="22"/>
                <w:lang w:val="bg-BG"/>
              </w:rPr>
              <w:t>multi-family</w:t>
            </w:r>
            <w:proofErr w:type="spellEnd"/>
            <w:r w:rsidRPr="006F3533">
              <w:rPr>
                <w:rFonts w:cs="Times New Roman"/>
                <w:i/>
                <w:iCs/>
                <w:sz w:val="22"/>
                <w:lang w:val="bg-BG"/>
              </w:rPr>
              <w:t xml:space="preserve"> </w:t>
            </w:r>
            <w:proofErr w:type="spellStart"/>
            <w:r w:rsidRPr="006F3533">
              <w:rPr>
                <w:rFonts w:cs="Times New Roman"/>
                <w:i/>
                <w:iCs/>
                <w:sz w:val="22"/>
                <w:lang w:val="bg-BG"/>
              </w:rPr>
              <w:t>buildings</w:t>
            </w:r>
            <w:proofErr w:type="spellEnd"/>
          </w:p>
          <w:p w14:paraId="380DCD5B" w14:textId="77777777" w:rsidR="00143414" w:rsidRPr="006F3533" w:rsidRDefault="00143414" w:rsidP="00541E06">
            <w:pPr>
              <w:contextualSpacing/>
              <w:jc w:val="right"/>
              <w:rPr>
                <w:rFonts w:cs="Times New Roman"/>
                <w:i/>
                <w:iCs/>
                <w:sz w:val="22"/>
                <w:lang w:val="bg-BG"/>
              </w:rPr>
            </w:pPr>
          </w:p>
        </w:tc>
        <w:tc>
          <w:tcPr>
            <w:tcW w:w="462" w:type="pct"/>
          </w:tcPr>
          <w:p w14:paraId="048BFEBE" w14:textId="77777777" w:rsidR="00143414" w:rsidRPr="006F3533" w:rsidRDefault="00143414" w:rsidP="00541E06">
            <w:pPr>
              <w:contextualSpacing/>
              <w:jc w:val="center"/>
              <w:rPr>
                <w:rFonts w:cs="Times New Roman"/>
                <w:sz w:val="22"/>
                <w:lang w:val="bg-BG"/>
              </w:rPr>
            </w:pPr>
            <w:proofErr w:type="spellStart"/>
            <w:r w:rsidRPr="006F3533">
              <w:rPr>
                <w:rFonts w:cs="Times New Roman"/>
                <w:sz w:val="22"/>
                <w:lang w:val="bg-BG"/>
              </w:rPr>
              <w:t>Miav</w:t>
            </w:r>
            <w:proofErr w:type="spellEnd"/>
          </w:p>
        </w:tc>
        <w:tc>
          <w:tcPr>
            <w:tcW w:w="436" w:type="pct"/>
          </w:tcPr>
          <w:p w14:paraId="09B87AF8" w14:textId="77777777" w:rsidR="00143414" w:rsidRPr="006F3533" w:rsidRDefault="00143414" w:rsidP="00541E06">
            <w:pPr>
              <w:contextualSpacing/>
              <w:jc w:val="both"/>
              <w:rPr>
                <w:rFonts w:cs="Times New Roman"/>
                <w:sz w:val="22"/>
                <w:lang w:val="bg-BG"/>
              </w:rPr>
            </w:pPr>
          </w:p>
        </w:tc>
        <w:tc>
          <w:tcPr>
            <w:tcW w:w="436" w:type="pct"/>
          </w:tcPr>
          <w:p w14:paraId="05523B90" w14:textId="77777777" w:rsidR="00143414" w:rsidRPr="006F3533" w:rsidRDefault="00143414" w:rsidP="00541E06">
            <w:pPr>
              <w:contextualSpacing/>
              <w:jc w:val="both"/>
              <w:rPr>
                <w:rFonts w:cs="Times New Roman"/>
                <w:sz w:val="22"/>
                <w:lang w:val="bg-BG"/>
              </w:rPr>
            </w:pPr>
          </w:p>
        </w:tc>
        <w:tc>
          <w:tcPr>
            <w:tcW w:w="436" w:type="pct"/>
          </w:tcPr>
          <w:p w14:paraId="3EC3B105" w14:textId="77777777" w:rsidR="00143414" w:rsidRPr="006F3533" w:rsidRDefault="00143414" w:rsidP="00541E06">
            <w:pPr>
              <w:contextualSpacing/>
              <w:jc w:val="both"/>
              <w:rPr>
                <w:rFonts w:cs="Times New Roman"/>
                <w:sz w:val="22"/>
                <w:lang w:val="bg-BG"/>
              </w:rPr>
            </w:pPr>
          </w:p>
        </w:tc>
        <w:tc>
          <w:tcPr>
            <w:tcW w:w="487" w:type="pct"/>
            <w:vMerge/>
          </w:tcPr>
          <w:p w14:paraId="746ADF03" w14:textId="77777777" w:rsidR="00143414" w:rsidRPr="006F3533" w:rsidRDefault="00143414" w:rsidP="00541E06">
            <w:pPr>
              <w:contextualSpacing/>
              <w:jc w:val="both"/>
              <w:rPr>
                <w:rFonts w:cs="Times New Roman"/>
                <w:sz w:val="22"/>
                <w:lang w:val="bg-BG"/>
              </w:rPr>
            </w:pPr>
          </w:p>
        </w:tc>
        <w:tc>
          <w:tcPr>
            <w:tcW w:w="487" w:type="pct"/>
            <w:vMerge/>
          </w:tcPr>
          <w:p w14:paraId="42FA59E5" w14:textId="77777777" w:rsidR="00143414" w:rsidRPr="006F3533" w:rsidRDefault="00143414" w:rsidP="00541E06">
            <w:pPr>
              <w:contextualSpacing/>
              <w:jc w:val="both"/>
              <w:rPr>
                <w:rFonts w:cs="Times New Roman"/>
                <w:sz w:val="22"/>
                <w:lang w:val="bg-BG"/>
              </w:rPr>
            </w:pPr>
          </w:p>
        </w:tc>
        <w:tc>
          <w:tcPr>
            <w:tcW w:w="487" w:type="pct"/>
            <w:vMerge/>
          </w:tcPr>
          <w:p w14:paraId="19577DEF" w14:textId="77777777" w:rsidR="00143414" w:rsidRPr="006F3533" w:rsidRDefault="00143414" w:rsidP="00541E06">
            <w:pPr>
              <w:contextualSpacing/>
              <w:jc w:val="both"/>
              <w:rPr>
                <w:rFonts w:cs="Times New Roman"/>
                <w:sz w:val="22"/>
                <w:lang w:val="bg-BG"/>
              </w:rPr>
            </w:pPr>
          </w:p>
        </w:tc>
      </w:tr>
      <w:tr w:rsidR="00143414" w:rsidRPr="006F3533" w14:paraId="29121CCD" w14:textId="77777777" w:rsidTr="00143414">
        <w:trPr>
          <w:trHeight w:val="300"/>
        </w:trPr>
        <w:tc>
          <w:tcPr>
            <w:tcW w:w="385" w:type="pct"/>
          </w:tcPr>
          <w:p w14:paraId="73526637"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NR</w:t>
            </w:r>
          </w:p>
        </w:tc>
        <w:tc>
          <w:tcPr>
            <w:tcW w:w="1384" w:type="pct"/>
          </w:tcPr>
          <w:p w14:paraId="3B283614" w14:textId="77777777" w:rsidR="00143414" w:rsidRPr="006F3533" w:rsidRDefault="00143414" w:rsidP="00541E06">
            <w:pPr>
              <w:rPr>
                <w:rFonts w:cs="Times New Roman"/>
                <w:sz w:val="22"/>
                <w:lang w:val="bg-BG"/>
              </w:rPr>
            </w:pPr>
            <w:r w:rsidRPr="006F3533">
              <w:rPr>
                <w:rFonts w:cs="Times New Roman"/>
                <w:sz w:val="22"/>
                <w:lang w:val="bg-BG"/>
              </w:rPr>
              <w:t>Нежилищни сгради</w:t>
            </w:r>
          </w:p>
          <w:p w14:paraId="10AF7EE7" w14:textId="77777777" w:rsidR="00143414" w:rsidRPr="006F3533" w:rsidRDefault="00143414" w:rsidP="00541E06">
            <w:pPr>
              <w:rPr>
                <w:rFonts w:cs="Times New Roman"/>
                <w:sz w:val="22"/>
                <w:lang w:val="bg-BG"/>
              </w:rPr>
            </w:pPr>
          </w:p>
        </w:tc>
        <w:tc>
          <w:tcPr>
            <w:tcW w:w="462" w:type="pct"/>
          </w:tcPr>
          <w:p w14:paraId="37A40B08"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M</w:t>
            </w:r>
          </w:p>
        </w:tc>
        <w:tc>
          <w:tcPr>
            <w:tcW w:w="436" w:type="pct"/>
          </w:tcPr>
          <w:p w14:paraId="2B4804B4"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4.46</w:t>
            </w:r>
          </w:p>
          <w:p w14:paraId="04E93C38" w14:textId="77777777" w:rsidR="00143414" w:rsidRPr="006F3533" w:rsidRDefault="00143414" w:rsidP="00541E06">
            <w:pPr>
              <w:contextualSpacing/>
              <w:jc w:val="center"/>
              <w:rPr>
                <w:rFonts w:cs="Times New Roman"/>
                <w:sz w:val="22"/>
                <w:lang w:val="bg-BG"/>
              </w:rPr>
            </w:pPr>
          </w:p>
        </w:tc>
        <w:tc>
          <w:tcPr>
            <w:tcW w:w="436" w:type="pct"/>
          </w:tcPr>
          <w:p w14:paraId="02B7E71F"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3.30</w:t>
            </w:r>
          </w:p>
        </w:tc>
        <w:tc>
          <w:tcPr>
            <w:tcW w:w="436" w:type="pct"/>
          </w:tcPr>
          <w:p w14:paraId="642A3B45"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2.54</w:t>
            </w:r>
          </w:p>
        </w:tc>
        <w:tc>
          <w:tcPr>
            <w:tcW w:w="487" w:type="pct"/>
          </w:tcPr>
          <w:p w14:paraId="4330A9F3"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46.17</w:t>
            </w:r>
          </w:p>
          <w:p w14:paraId="3CF49EA0" w14:textId="77777777" w:rsidR="00143414" w:rsidRPr="006F3533" w:rsidRDefault="00143414" w:rsidP="00541E06">
            <w:pPr>
              <w:contextualSpacing/>
              <w:jc w:val="center"/>
              <w:rPr>
                <w:rFonts w:cs="Times New Roman"/>
                <w:sz w:val="22"/>
                <w:lang w:val="bg-BG"/>
              </w:rPr>
            </w:pPr>
          </w:p>
        </w:tc>
        <w:tc>
          <w:tcPr>
            <w:tcW w:w="487" w:type="pct"/>
          </w:tcPr>
          <w:p w14:paraId="0F7647AE"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33.33</w:t>
            </w:r>
          </w:p>
        </w:tc>
        <w:tc>
          <w:tcPr>
            <w:tcW w:w="487" w:type="pct"/>
          </w:tcPr>
          <w:p w14:paraId="47A892BC"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24.35</w:t>
            </w:r>
          </w:p>
        </w:tc>
      </w:tr>
      <w:tr w:rsidR="00143414" w:rsidRPr="006F3533" w14:paraId="501FA462" w14:textId="77777777" w:rsidTr="00143414">
        <w:trPr>
          <w:trHeight w:val="300"/>
        </w:trPr>
        <w:tc>
          <w:tcPr>
            <w:tcW w:w="385" w:type="pct"/>
          </w:tcPr>
          <w:p w14:paraId="36E7AA88"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T</w:t>
            </w:r>
          </w:p>
        </w:tc>
        <w:tc>
          <w:tcPr>
            <w:tcW w:w="1384" w:type="pct"/>
          </w:tcPr>
          <w:p w14:paraId="7085F6E0"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Общо</w:t>
            </w:r>
          </w:p>
        </w:tc>
        <w:tc>
          <w:tcPr>
            <w:tcW w:w="462" w:type="pct"/>
          </w:tcPr>
          <w:p w14:paraId="5E5CD68D" w14:textId="77777777" w:rsidR="00143414" w:rsidRPr="006F3533" w:rsidRDefault="00143414" w:rsidP="00541E06">
            <w:pPr>
              <w:contextualSpacing/>
              <w:jc w:val="both"/>
              <w:rPr>
                <w:rFonts w:cs="Times New Roman"/>
                <w:sz w:val="22"/>
                <w:lang w:val="bg-BG"/>
              </w:rPr>
            </w:pPr>
          </w:p>
        </w:tc>
        <w:tc>
          <w:tcPr>
            <w:tcW w:w="436" w:type="pct"/>
          </w:tcPr>
          <w:p w14:paraId="2A9FBDB5"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11.79</w:t>
            </w:r>
          </w:p>
        </w:tc>
        <w:tc>
          <w:tcPr>
            <w:tcW w:w="436" w:type="pct"/>
          </w:tcPr>
          <w:p w14:paraId="4D3DA477" w14:textId="77777777" w:rsidR="00143414" w:rsidRPr="006F3533" w:rsidRDefault="00143414" w:rsidP="00541E06">
            <w:pPr>
              <w:contextualSpacing/>
              <w:jc w:val="center"/>
              <w:rPr>
                <w:rFonts w:cs="Times New Roman"/>
                <w:sz w:val="22"/>
                <w:lang w:val="bg-BG"/>
              </w:rPr>
            </w:pPr>
          </w:p>
        </w:tc>
        <w:tc>
          <w:tcPr>
            <w:tcW w:w="436" w:type="pct"/>
          </w:tcPr>
          <w:p w14:paraId="50DB4FA8" w14:textId="77777777" w:rsidR="00143414" w:rsidRPr="006F3533" w:rsidRDefault="00143414" w:rsidP="00541E06">
            <w:pPr>
              <w:contextualSpacing/>
              <w:jc w:val="center"/>
              <w:rPr>
                <w:rFonts w:cs="Times New Roman"/>
                <w:sz w:val="22"/>
                <w:lang w:val="bg-BG"/>
              </w:rPr>
            </w:pPr>
          </w:p>
        </w:tc>
        <w:tc>
          <w:tcPr>
            <w:tcW w:w="487" w:type="pct"/>
          </w:tcPr>
          <w:p w14:paraId="088BC57D" w14:textId="77777777" w:rsidR="00143414" w:rsidRPr="006F3533" w:rsidRDefault="00143414" w:rsidP="00541E06">
            <w:pPr>
              <w:contextualSpacing/>
              <w:jc w:val="center"/>
              <w:rPr>
                <w:rFonts w:cs="Times New Roman"/>
                <w:sz w:val="22"/>
                <w:lang w:val="bg-BG"/>
              </w:rPr>
            </w:pPr>
            <w:r w:rsidRPr="006F3533">
              <w:rPr>
                <w:rFonts w:cs="Times New Roman"/>
                <w:sz w:val="22"/>
                <w:lang w:val="bg-BG"/>
              </w:rPr>
              <w:t>71.17</w:t>
            </w:r>
          </w:p>
        </w:tc>
        <w:tc>
          <w:tcPr>
            <w:tcW w:w="487" w:type="pct"/>
          </w:tcPr>
          <w:p w14:paraId="7523FDA3" w14:textId="77777777" w:rsidR="00143414" w:rsidRPr="006F3533" w:rsidRDefault="00143414" w:rsidP="00541E06">
            <w:pPr>
              <w:contextualSpacing/>
              <w:jc w:val="center"/>
              <w:rPr>
                <w:rFonts w:cs="Times New Roman"/>
                <w:sz w:val="22"/>
                <w:lang w:val="bg-BG"/>
              </w:rPr>
            </w:pPr>
          </w:p>
        </w:tc>
        <w:tc>
          <w:tcPr>
            <w:tcW w:w="487" w:type="pct"/>
          </w:tcPr>
          <w:p w14:paraId="00C63D05" w14:textId="77777777" w:rsidR="00143414" w:rsidRPr="006F3533" w:rsidRDefault="00143414" w:rsidP="00541E06">
            <w:pPr>
              <w:contextualSpacing/>
              <w:jc w:val="center"/>
              <w:rPr>
                <w:rFonts w:cs="Times New Roman"/>
                <w:sz w:val="22"/>
                <w:lang w:val="bg-BG"/>
              </w:rPr>
            </w:pPr>
          </w:p>
        </w:tc>
      </w:tr>
    </w:tbl>
    <w:p w14:paraId="68F22CF3" w14:textId="77777777" w:rsidR="00143414" w:rsidRPr="006F3533" w:rsidRDefault="00143414" w:rsidP="00143414">
      <w:pPr>
        <w:spacing w:line="240" w:lineRule="auto"/>
        <w:ind w:left="720"/>
        <w:contextualSpacing/>
        <w:jc w:val="both"/>
        <w:rPr>
          <w:rFonts w:cs="Times New Roman"/>
          <w:szCs w:val="24"/>
          <w:lang w:val="bg-BG"/>
        </w:rPr>
      </w:pPr>
    </w:p>
    <w:p w14:paraId="77C33270" w14:textId="77777777" w:rsidR="0039488E" w:rsidRPr="006F3533" w:rsidRDefault="0039488E" w:rsidP="006F0DA0">
      <w:pPr>
        <w:spacing w:before="100" w:beforeAutospacing="1" w:after="100" w:afterAutospacing="1" w:line="240" w:lineRule="auto"/>
        <w:jc w:val="both"/>
        <w:outlineLvl w:val="1"/>
        <w:rPr>
          <w:rFonts w:eastAsia="Times New Roman" w:cs="Times New Roman"/>
          <w:b/>
          <w:bCs/>
          <w:sz w:val="28"/>
          <w:szCs w:val="28"/>
          <w:lang w:val="bg-BG"/>
        </w:rPr>
      </w:pPr>
      <w:bookmarkStart w:id="179" w:name="_Toc217888813"/>
      <w:r w:rsidRPr="006F3533">
        <w:rPr>
          <w:rFonts w:eastAsia="Times New Roman" w:cs="Times New Roman"/>
          <w:b/>
          <w:bCs/>
          <w:sz w:val="28"/>
          <w:szCs w:val="28"/>
          <w:lang w:val="bg-BG"/>
        </w:rPr>
        <w:t>Цели за очакваното намаление на експлоатационните емисии на парникови газове по типове сгради</w:t>
      </w:r>
      <w:bookmarkEnd w:id="179"/>
    </w:p>
    <w:p w14:paraId="50A12CCF" w14:textId="77777777" w:rsidR="00143414" w:rsidRPr="006F3533" w:rsidRDefault="00143414" w:rsidP="00143414">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Нежилищни сгради</w:t>
      </w:r>
    </w:p>
    <w:p w14:paraId="5240E18E"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Настоящата точка представя целите за процентното намаление на експлоатационните емисии на парникови газове за нежилищните сгради, по типове сгради, в резултат от изпълнението на пътната карта за обновяване, заложена в таблици 15а и 15b на настоящия план.</w:t>
      </w:r>
    </w:p>
    <w:p w14:paraId="1E19F50E"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Процентното намаление на емисиите е изчислено на база сравнение между</w:t>
      </w:r>
      <w:r w:rsidRPr="006F3533">
        <w:rPr>
          <w:rFonts w:eastAsia="Times New Roman" w:cs="Times New Roman"/>
          <w:b/>
          <w:bCs/>
          <w:szCs w:val="24"/>
          <w:lang w:val="bg-BG" w:eastAsia="en-GB"/>
        </w:rPr>
        <w:t xml:space="preserve"> </w:t>
      </w:r>
      <w:r w:rsidRPr="006F3533">
        <w:rPr>
          <w:rFonts w:eastAsia="Times New Roman" w:cs="Times New Roman"/>
          <w:szCs w:val="24"/>
          <w:lang w:val="bg-BG" w:eastAsia="en-GB"/>
        </w:rPr>
        <w:t>изходните експлоатационни емисии (за 2025 г. – виж Таблица 11) и прогнозните експлоатационни емисии за съответните целеви години, представени в предходната точка. Изчисленията са извършени последователно и са пряко обвързани с намалението на крайното енергийно потребление на нежилищните сгради в резултат от обновяването на сградния фонд.</w:t>
      </w:r>
    </w:p>
    <w:p w14:paraId="64DAE636"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При определянето на редукциите са използвани действащите към момента емисионни фактори за отделните енергийни носители. Поради липсата на официално утвърдени прогнозни емисионни фактори за бъдещи години, очакваните промени в емисионната интензивност на електрическата енергия и на централното топлоснабдяване не са количествено отразени в настоящите изчисления.</w:t>
      </w:r>
    </w:p>
    <w:p w14:paraId="3CBE9470"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lastRenderedPageBreak/>
        <w:t>В резултат на този подход представените стойности за намаление на експлоатационните емисии следва да се разглеждат като консервативна оценка</w:t>
      </w:r>
      <w:r w:rsidRPr="006F3533">
        <w:rPr>
          <w:rFonts w:eastAsia="Times New Roman" w:cs="Times New Roman"/>
          <w:b/>
          <w:bCs/>
          <w:szCs w:val="24"/>
          <w:lang w:val="bg-BG" w:eastAsia="en-GB"/>
        </w:rPr>
        <w:t xml:space="preserve">. </w:t>
      </w:r>
      <w:r w:rsidRPr="006F3533">
        <w:rPr>
          <w:rFonts w:eastAsia="Times New Roman" w:cs="Times New Roman"/>
          <w:szCs w:val="24"/>
          <w:lang w:val="bg-BG" w:eastAsia="en-GB"/>
        </w:rPr>
        <w:t xml:space="preserve">Действителното намаление на емисиите на парникови газове, което ще бъде постигнато в резултат от прилагането на плана за обновяване на нежилищните сгради, се очаква да бъде значително по-високо от посоченото в таблицата, след като бъдат приложени актуализирани емисионни фактори, отразяващи </w:t>
      </w:r>
      <w:proofErr w:type="spellStart"/>
      <w:r w:rsidRPr="006F3533">
        <w:rPr>
          <w:rFonts w:eastAsia="Times New Roman" w:cs="Times New Roman"/>
          <w:szCs w:val="24"/>
          <w:lang w:val="bg-BG" w:eastAsia="en-GB"/>
        </w:rPr>
        <w:t>декарбонизацията</w:t>
      </w:r>
      <w:proofErr w:type="spellEnd"/>
      <w:r w:rsidRPr="006F3533">
        <w:rPr>
          <w:rFonts w:eastAsia="Times New Roman" w:cs="Times New Roman"/>
          <w:szCs w:val="24"/>
          <w:lang w:val="bg-BG" w:eastAsia="en-GB"/>
        </w:rPr>
        <w:t xml:space="preserve"> на енергийните системи.</w:t>
      </w:r>
    </w:p>
    <w:p w14:paraId="765158F6"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Представените цели за процентно намаление на емисиите отразяват нетния ефект от мерките за енергийна ефективност, внедряването на възобновяеми енергийни източници в сградите и трансформацията на енергийното снабдяване, и са в съответствие с дългосрочните цели за </w:t>
      </w:r>
      <w:proofErr w:type="spellStart"/>
      <w:r w:rsidRPr="006F3533">
        <w:rPr>
          <w:rFonts w:eastAsia="Times New Roman" w:cs="Times New Roman"/>
          <w:szCs w:val="24"/>
          <w:lang w:val="bg-BG" w:eastAsia="en-GB"/>
        </w:rPr>
        <w:t>декарбонизация</w:t>
      </w:r>
      <w:proofErr w:type="spellEnd"/>
      <w:r w:rsidRPr="006F3533">
        <w:rPr>
          <w:rFonts w:eastAsia="Times New Roman" w:cs="Times New Roman"/>
          <w:szCs w:val="24"/>
          <w:lang w:val="bg-BG" w:eastAsia="en-GB"/>
        </w:rPr>
        <w:t xml:space="preserve"> на сградния сектор.</w:t>
      </w:r>
    </w:p>
    <w:p w14:paraId="29CED220" w14:textId="77777777" w:rsidR="00143414" w:rsidRPr="006F3533" w:rsidRDefault="00143414" w:rsidP="00143414">
      <w:pPr>
        <w:spacing w:before="100" w:beforeAutospacing="1" w:after="100" w:afterAutospacing="1" w:line="240" w:lineRule="auto"/>
        <w:rPr>
          <w:rFonts w:eastAsia="Times New Roman" w:cs="Times New Roman"/>
          <w:b/>
          <w:bCs/>
          <w:color w:val="2F5496" w:themeColor="accent1" w:themeShade="BF"/>
          <w:szCs w:val="24"/>
          <w:u w:val="single"/>
          <w:lang w:val="bg-BG" w:eastAsia="en-GB"/>
        </w:rPr>
      </w:pPr>
      <w:r w:rsidRPr="006F3533">
        <w:rPr>
          <w:rFonts w:eastAsia="Times New Roman" w:cs="Times New Roman"/>
          <w:b/>
          <w:bCs/>
          <w:color w:val="2F5496" w:themeColor="accent1" w:themeShade="BF"/>
          <w:szCs w:val="24"/>
          <w:u w:val="single"/>
          <w:lang w:val="bg-BG" w:eastAsia="en-GB"/>
        </w:rPr>
        <w:t>Жилищни сгради</w:t>
      </w:r>
    </w:p>
    <w:p w14:paraId="7E5FD9BB" w14:textId="77777777" w:rsidR="00143414" w:rsidRPr="006F3533" w:rsidRDefault="00143414" w:rsidP="00143414">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Процентното намаление на емисиите е изчислено на база сравнение между</w:t>
      </w:r>
      <w:r w:rsidRPr="006F3533">
        <w:rPr>
          <w:rFonts w:eastAsia="Times New Roman" w:cs="Times New Roman"/>
          <w:b/>
          <w:bCs/>
          <w:szCs w:val="24"/>
          <w:lang w:val="bg-BG" w:eastAsia="en-GB"/>
        </w:rPr>
        <w:t xml:space="preserve"> </w:t>
      </w:r>
      <w:r w:rsidRPr="006F3533">
        <w:rPr>
          <w:rFonts w:eastAsia="Times New Roman" w:cs="Times New Roman"/>
          <w:szCs w:val="24"/>
          <w:lang w:val="bg-BG" w:eastAsia="en-GB"/>
        </w:rPr>
        <w:t xml:space="preserve">експлоатационните емисии за 2020г.(7.76 </w:t>
      </w:r>
      <w:proofErr w:type="spellStart"/>
      <w:r w:rsidRPr="006F3533">
        <w:rPr>
          <w:rFonts w:eastAsia="Times New Roman" w:cs="Times New Roman"/>
          <w:szCs w:val="24"/>
          <w:lang w:val="bg-BG" w:eastAsia="en-GB"/>
        </w:rPr>
        <w:t>MtCO₂eq</w:t>
      </w:r>
      <w:proofErr w:type="spellEnd"/>
      <w:r w:rsidRPr="006F3533">
        <w:rPr>
          <w:rFonts w:eastAsia="Times New Roman" w:cs="Times New Roman"/>
          <w:szCs w:val="24"/>
          <w:lang w:val="bg-BG" w:eastAsia="en-GB"/>
        </w:rPr>
        <w:t>)  и прогнозните експлоатационни емисии за съответните целеви години, представени в предходната точка. Изчисленията са извършени последователно и са пряко обвързани с намалението на крайното енергийно потребление на жилищните сгради в резултат от обновяването на сградния фонд.</w:t>
      </w:r>
    </w:p>
    <w:p w14:paraId="3E30DF68" w14:textId="77777777" w:rsidR="00143414" w:rsidRPr="006F3533" w:rsidRDefault="00143414" w:rsidP="00143414">
      <w:pPr>
        <w:spacing w:line="240" w:lineRule="auto"/>
        <w:jc w:val="both"/>
        <w:rPr>
          <w:rFonts w:cs="Times New Roman"/>
          <w:i/>
          <w:iCs/>
          <w:color w:val="4472C4" w:themeColor="accent1"/>
          <w:szCs w:val="24"/>
          <w:lang w:val="bg-BG"/>
        </w:rPr>
      </w:pPr>
      <w:r w:rsidRPr="006F3533">
        <w:rPr>
          <w:rFonts w:cs="Times New Roman"/>
          <w:i/>
          <w:iCs/>
          <w:color w:val="4472C4" w:themeColor="accent1"/>
          <w:szCs w:val="24"/>
          <w:lang w:val="bg-BG"/>
        </w:rPr>
        <w:t>Таблица 22. Цели за очаквани спестявания на емисии на парникови газове в сградите за периода 2030-2050 г.</w:t>
      </w:r>
    </w:p>
    <w:tbl>
      <w:tblPr>
        <w:tblStyle w:val="TableGrid"/>
        <w:tblW w:w="5000" w:type="pct"/>
        <w:tblLook w:val="04A0" w:firstRow="1" w:lastRow="0" w:firstColumn="1" w:lastColumn="0" w:noHBand="0" w:noVBand="1"/>
      </w:tblPr>
      <w:tblGrid>
        <w:gridCol w:w="1841"/>
        <w:gridCol w:w="2407"/>
        <w:gridCol w:w="2407"/>
        <w:gridCol w:w="2407"/>
      </w:tblGrid>
      <w:tr w:rsidR="00143414" w:rsidRPr="006F3533" w14:paraId="4617FF1F" w14:textId="77777777" w:rsidTr="00143414">
        <w:tc>
          <w:tcPr>
            <w:tcW w:w="1016" w:type="pct"/>
            <w:vMerge w:val="restart"/>
            <w:shd w:val="clear" w:color="auto" w:fill="D9D9D9" w:themeFill="background1" w:themeFillShade="D9"/>
          </w:tcPr>
          <w:p w14:paraId="73F77803" w14:textId="77777777" w:rsidR="00143414" w:rsidRPr="006F3533" w:rsidRDefault="00143414" w:rsidP="00541E06">
            <w:pPr>
              <w:contextualSpacing/>
              <w:jc w:val="center"/>
              <w:rPr>
                <w:rFonts w:cs="Times New Roman"/>
                <w:szCs w:val="24"/>
                <w:lang w:val="bg-BG"/>
              </w:rPr>
            </w:pPr>
            <w:r w:rsidRPr="006F3533">
              <w:rPr>
                <w:rFonts w:cs="Times New Roman"/>
                <w:szCs w:val="24"/>
                <w:lang w:val="bg-BG"/>
              </w:rPr>
              <w:t xml:space="preserve">Building </w:t>
            </w:r>
            <w:proofErr w:type="spellStart"/>
            <w:r w:rsidRPr="006F3533">
              <w:rPr>
                <w:rFonts w:cs="Times New Roman"/>
                <w:szCs w:val="24"/>
                <w:lang w:val="bg-BG"/>
              </w:rPr>
              <w:t>type</w:t>
            </w:r>
            <w:proofErr w:type="spellEnd"/>
          </w:p>
        </w:tc>
        <w:tc>
          <w:tcPr>
            <w:tcW w:w="3984" w:type="pct"/>
            <w:gridSpan w:val="3"/>
            <w:shd w:val="clear" w:color="auto" w:fill="D9D9D9" w:themeFill="background1" w:themeFillShade="D9"/>
          </w:tcPr>
          <w:p w14:paraId="77C4061E" w14:textId="77777777" w:rsidR="00143414" w:rsidRPr="006F3533" w:rsidRDefault="00143414" w:rsidP="00541E06">
            <w:pPr>
              <w:contextualSpacing/>
              <w:jc w:val="center"/>
              <w:rPr>
                <w:rFonts w:cs="Times New Roman"/>
                <w:szCs w:val="24"/>
                <w:lang w:val="bg-BG"/>
              </w:rPr>
            </w:pPr>
            <w:proofErr w:type="spellStart"/>
            <w:r w:rsidRPr="006F3533">
              <w:rPr>
                <w:rFonts w:cs="Times New Roman"/>
                <w:szCs w:val="24"/>
                <w:lang w:val="bg-BG"/>
              </w:rPr>
              <w:t>Expected</w:t>
            </w:r>
            <w:proofErr w:type="spellEnd"/>
            <w:r w:rsidRPr="006F3533">
              <w:rPr>
                <w:rFonts w:cs="Times New Roman"/>
                <w:szCs w:val="24"/>
                <w:lang w:val="bg-BG"/>
              </w:rPr>
              <w:t xml:space="preserve"> </w:t>
            </w:r>
            <w:proofErr w:type="spellStart"/>
            <w:r w:rsidRPr="006F3533">
              <w:rPr>
                <w:rFonts w:cs="Times New Roman"/>
                <w:szCs w:val="24"/>
                <w:lang w:val="bg-BG"/>
              </w:rPr>
              <w:t>reduction</w:t>
            </w:r>
            <w:proofErr w:type="spellEnd"/>
            <w:r w:rsidRPr="006F3533">
              <w:rPr>
                <w:rFonts w:cs="Times New Roman"/>
                <w:szCs w:val="24"/>
                <w:lang w:val="bg-BG"/>
              </w:rPr>
              <w:t xml:space="preserve"> </w:t>
            </w:r>
            <w:proofErr w:type="spellStart"/>
            <w:r w:rsidRPr="006F3533">
              <w:rPr>
                <w:rFonts w:cs="Times New Roman"/>
                <w:szCs w:val="24"/>
                <w:lang w:val="bg-BG"/>
              </w:rPr>
              <w:t>of</w:t>
            </w:r>
            <w:proofErr w:type="spellEnd"/>
            <w:r w:rsidRPr="006F3533">
              <w:rPr>
                <w:rFonts w:cs="Times New Roman"/>
                <w:szCs w:val="24"/>
                <w:lang w:val="bg-BG"/>
              </w:rPr>
              <w:t xml:space="preserve"> </w:t>
            </w:r>
            <w:proofErr w:type="spellStart"/>
            <w:r w:rsidRPr="006F3533">
              <w:rPr>
                <w:rFonts w:cs="Times New Roman"/>
                <w:szCs w:val="24"/>
                <w:lang w:val="bg-BG"/>
              </w:rPr>
              <w:t>annual</w:t>
            </w:r>
            <w:proofErr w:type="spellEnd"/>
            <w:r w:rsidRPr="006F3533">
              <w:rPr>
                <w:rFonts w:cs="Times New Roman"/>
                <w:szCs w:val="24"/>
                <w:lang w:val="bg-BG"/>
              </w:rPr>
              <w:t xml:space="preserve"> </w:t>
            </w:r>
            <w:proofErr w:type="spellStart"/>
            <w:r w:rsidRPr="006F3533">
              <w:rPr>
                <w:rFonts w:cs="Times New Roman"/>
                <w:szCs w:val="24"/>
                <w:lang w:val="bg-BG"/>
              </w:rPr>
              <w:t>operational</w:t>
            </w:r>
            <w:proofErr w:type="spellEnd"/>
            <w:r w:rsidRPr="006F3533">
              <w:rPr>
                <w:rFonts w:cs="Times New Roman"/>
                <w:szCs w:val="24"/>
                <w:lang w:val="bg-BG"/>
              </w:rPr>
              <w:t xml:space="preserve"> </w:t>
            </w:r>
            <w:proofErr w:type="spellStart"/>
            <w:r w:rsidRPr="006F3533">
              <w:rPr>
                <w:rFonts w:cs="Times New Roman"/>
                <w:szCs w:val="24"/>
                <w:lang w:val="bg-BG"/>
              </w:rPr>
              <w:t>greenhouse</w:t>
            </w:r>
            <w:proofErr w:type="spellEnd"/>
            <w:r w:rsidRPr="006F3533">
              <w:rPr>
                <w:rFonts w:cs="Times New Roman"/>
                <w:szCs w:val="24"/>
                <w:lang w:val="bg-BG"/>
              </w:rPr>
              <w:t xml:space="preserve"> </w:t>
            </w:r>
            <w:proofErr w:type="spellStart"/>
            <w:r w:rsidRPr="006F3533">
              <w:rPr>
                <w:rFonts w:cs="Times New Roman"/>
                <w:szCs w:val="24"/>
                <w:lang w:val="bg-BG"/>
              </w:rPr>
              <w:t>gas</w:t>
            </w:r>
            <w:proofErr w:type="spellEnd"/>
            <w:r w:rsidRPr="006F3533">
              <w:rPr>
                <w:rFonts w:cs="Times New Roman"/>
                <w:szCs w:val="24"/>
                <w:lang w:val="bg-BG"/>
              </w:rPr>
              <w:t xml:space="preserve"> </w:t>
            </w:r>
            <w:proofErr w:type="spellStart"/>
            <w:r w:rsidRPr="006F3533">
              <w:rPr>
                <w:rFonts w:cs="Times New Roman"/>
                <w:szCs w:val="24"/>
                <w:lang w:val="bg-BG"/>
              </w:rPr>
              <w:t>emissions</w:t>
            </w:r>
            <w:proofErr w:type="spellEnd"/>
          </w:p>
          <w:p w14:paraId="362BB6FE" w14:textId="77777777" w:rsidR="00143414" w:rsidRPr="006F3533" w:rsidRDefault="00143414" w:rsidP="00541E06">
            <w:pPr>
              <w:contextualSpacing/>
              <w:jc w:val="center"/>
              <w:rPr>
                <w:rFonts w:cs="Times New Roman"/>
                <w:szCs w:val="24"/>
                <w:lang w:val="bg-BG"/>
              </w:rPr>
            </w:pPr>
            <w:r w:rsidRPr="006F3533">
              <w:rPr>
                <w:rFonts w:cs="Times New Roman"/>
                <w:szCs w:val="24"/>
                <w:lang w:val="bg-BG"/>
              </w:rPr>
              <w:t>kgCO2eq/(m².y)</w:t>
            </w:r>
          </w:p>
        </w:tc>
      </w:tr>
      <w:tr w:rsidR="00143414" w:rsidRPr="006F3533" w14:paraId="58576727" w14:textId="77777777" w:rsidTr="00143414">
        <w:tc>
          <w:tcPr>
            <w:tcW w:w="1016" w:type="pct"/>
            <w:vMerge/>
          </w:tcPr>
          <w:p w14:paraId="21A321BA" w14:textId="77777777" w:rsidR="00143414" w:rsidRPr="006F3533" w:rsidRDefault="00143414" w:rsidP="00541E06">
            <w:pPr>
              <w:contextualSpacing/>
              <w:jc w:val="center"/>
              <w:rPr>
                <w:rFonts w:cs="Times New Roman"/>
                <w:szCs w:val="24"/>
                <w:lang w:val="bg-BG"/>
              </w:rPr>
            </w:pPr>
          </w:p>
        </w:tc>
        <w:tc>
          <w:tcPr>
            <w:tcW w:w="1328" w:type="pct"/>
            <w:shd w:val="clear" w:color="auto" w:fill="D9D9D9" w:themeFill="background1" w:themeFillShade="D9"/>
          </w:tcPr>
          <w:p w14:paraId="0A51B1C4" w14:textId="77777777" w:rsidR="00143414" w:rsidRPr="006F3533" w:rsidRDefault="00143414" w:rsidP="00541E06">
            <w:pPr>
              <w:contextualSpacing/>
              <w:jc w:val="center"/>
              <w:rPr>
                <w:rFonts w:cs="Times New Roman"/>
                <w:szCs w:val="24"/>
                <w:lang w:val="bg-BG"/>
              </w:rPr>
            </w:pPr>
            <w:r w:rsidRPr="006F3533">
              <w:rPr>
                <w:rFonts w:cs="Times New Roman"/>
                <w:szCs w:val="24"/>
                <w:lang w:val="bg-BG"/>
              </w:rPr>
              <w:t>2030</w:t>
            </w:r>
          </w:p>
        </w:tc>
        <w:tc>
          <w:tcPr>
            <w:tcW w:w="1328" w:type="pct"/>
            <w:shd w:val="clear" w:color="auto" w:fill="D9D9D9" w:themeFill="background1" w:themeFillShade="D9"/>
          </w:tcPr>
          <w:p w14:paraId="7B1D73D5" w14:textId="77777777" w:rsidR="00143414" w:rsidRPr="006F3533" w:rsidRDefault="00143414" w:rsidP="00541E06">
            <w:pPr>
              <w:contextualSpacing/>
              <w:jc w:val="center"/>
              <w:rPr>
                <w:rFonts w:cs="Times New Roman"/>
                <w:szCs w:val="24"/>
                <w:lang w:val="bg-BG"/>
              </w:rPr>
            </w:pPr>
            <w:r w:rsidRPr="006F3533">
              <w:rPr>
                <w:rFonts w:cs="Times New Roman"/>
                <w:szCs w:val="24"/>
                <w:lang w:val="bg-BG"/>
              </w:rPr>
              <w:t>2040</w:t>
            </w:r>
          </w:p>
        </w:tc>
        <w:tc>
          <w:tcPr>
            <w:tcW w:w="1328" w:type="pct"/>
            <w:shd w:val="clear" w:color="auto" w:fill="D9D9D9" w:themeFill="background1" w:themeFillShade="D9"/>
          </w:tcPr>
          <w:p w14:paraId="33F1A518" w14:textId="77777777" w:rsidR="00143414" w:rsidRPr="006F3533" w:rsidRDefault="00143414" w:rsidP="00541E06">
            <w:pPr>
              <w:contextualSpacing/>
              <w:jc w:val="center"/>
              <w:rPr>
                <w:rFonts w:cs="Times New Roman"/>
                <w:szCs w:val="24"/>
                <w:lang w:val="bg-BG"/>
              </w:rPr>
            </w:pPr>
            <w:r w:rsidRPr="006F3533">
              <w:rPr>
                <w:rFonts w:cs="Times New Roman"/>
                <w:szCs w:val="24"/>
                <w:lang w:val="bg-BG"/>
              </w:rPr>
              <w:t>2050</w:t>
            </w:r>
          </w:p>
        </w:tc>
      </w:tr>
      <w:tr w:rsidR="00143414" w:rsidRPr="006F3533" w14:paraId="60BEAFE6" w14:textId="77777777" w:rsidTr="00143414">
        <w:tc>
          <w:tcPr>
            <w:tcW w:w="1016" w:type="pct"/>
          </w:tcPr>
          <w:p w14:paraId="2C1D306A" w14:textId="77777777" w:rsidR="00143414" w:rsidRPr="006F3533" w:rsidRDefault="00143414" w:rsidP="00541E06">
            <w:pPr>
              <w:contextualSpacing/>
              <w:jc w:val="both"/>
              <w:rPr>
                <w:rFonts w:cs="Times New Roman"/>
                <w:szCs w:val="24"/>
                <w:lang w:val="bg-BG"/>
              </w:rPr>
            </w:pPr>
            <w:proofErr w:type="spellStart"/>
            <w:r w:rsidRPr="006F3533">
              <w:rPr>
                <w:rFonts w:cs="Times New Roman"/>
                <w:szCs w:val="24"/>
                <w:lang w:val="bg-BG"/>
              </w:rPr>
              <w:t>Residential</w:t>
            </w:r>
            <w:proofErr w:type="spellEnd"/>
          </w:p>
        </w:tc>
        <w:tc>
          <w:tcPr>
            <w:tcW w:w="1328" w:type="pct"/>
          </w:tcPr>
          <w:p w14:paraId="76D725E6" w14:textId="77777777" w:rsidR="00143414" w:rsidRPr="006F3533" w:rsidRDefault="00143414" w:rsidP="00541E06">
            <w:pPr>
              <w:contextualSpacing/>
              <w:jc w:val="center"/>
              <w:rPr>
                <w:rFonts w:cs="Times New Roman"/>
                <w:szCs w:val="24"/>
                <w:lang w:val="bg-BG"/>
              </w:rPr>
            </w:pPr>
            <w:r w:rsidRPr="006F3533">
              <w:rPr>
                <w:rFonts w:cs="Times New Roman"/>
                <w:szCs w:val="24"/>
                <w:lang w:val="bg-BG"/>
              </w:rPr>
              <w:t>6.24</w:t>
            </w:r>
          </w:p>
        </w:tc>
        <w:tc>
          <w:tcPr>
            <w:tcW w:w="1328" w:type="pct"/>
          </w:tcPr>
          <w:p w14:paraId="36D5EF20" w14:textId="77777777" w:rsidR="00143414" w:rsidRPr="006F3533" w:rsidRDefault="00143414" w:rsidP="00541E06">
            <w:pPr>
              <w:contextualSpacing/>
              <w:jc w:val="both"/>
              <w:rPr>
                <w:rFonts w:cs="Times New Roman"/>
                <w:szCs w:val="24"/>
                <w:lang w:val="bg-BG"/>
              </w:rPr>
            </w:pPr>
            <w:proofErr w:type="spellStart"/>
            <w:r w:rsidRPr="006F3533">
              <w:rPr>
                <w:rFonts w:cs="Times New Roman"/>
                <w:szCs w:val="24"/>
                <w:lang w:val="bg-BG"/>
              </w:rPr>
              <w:t>Value</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(2040) – </w:t>
            </w:r>
            <w:proofErr w:type="spellStart"/>
            <w:r w:rsidRPr="006F3533">
              <w:rPr>
                <w:rFonts w:cs="Times New Roman"/>
                <w:szCs w:val="24"/>
                <w:lang w:val="bg-BG"/>
              </w:rPr>
              <w:t>value</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(X-2)</w:t>
            </w:r>
          </w:p>
        </w:tc>
        <w:tc>
          <w:tcPr>
            <w:tcW w:w="1328" w:type="pct"/>
          </w:tcPr>
          <w:p w14:paraId="48438128" w14:textId="77777777" w:rsidR="00143414" w:rsidRPr="006F3533" w:rsidRDefault="00143414" w:rsidP="00541E06">
            <w:pPr>
              <w:contextualSpacing/>
              <w:jc w:val="both"/>
              <w:rPr>
                <w:rFonts w:cs="Times New Roman"/>
                <w:szCs w:val="24"/>
                <w:lang w:val="bg-BG"/>
              </w:rPr>
            </w:pPr>
            <w:proofErr w:type="spellStart"/>
            <w:r w:rsidRPr="006F3533">
              <w:rPr>
                <w:rFonts w:cs="Times New Roman"/>
                <w:szCs w:val="24"/>
                <w:lang w:val="bg-BG"/>
              </w:rPr>
              <w:t>Value</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(2050) – </w:t>
            </w:r>
            <w:proofErr w:type="spellStart"/>
            <w:r w:rsidRPr="006F3533">
              <w:rPr>
                <w:rFonts w:cs="Times New Roman"/>
                <w:szCs w:val="24"/>
                <w:lang w:val="bg-BG"/>
              </w:rPr>
              <w:t>value</w:t>
            </w:r>
            <w:proofErr w:type="spellEnd"/>
            <w:r w:rsidRPr="006F3533">
              <w:rPr>
                <w:rFonts w:cs="Times New Roman"/>
                <w:szCs w:val="24"/>
                <w:lang w:val="bg-BG"/>
              </w:rPr>
              <w:t xml:space="preserve"> </w:t>
            </w:r>
            <w:proofErr w:type="spellStart"/>
            <w:r w:rsidRPr="006F3533">
              <w:rPr>
                <w:rFonts w:cs="Times New Roman"/>
                <w:szCs w:val="24"/>
                <w:lang w:val="bg-BG"/>
              </w:rPr>
              <w:t>in</w:t>
            </w:r>
            <w:proofErr w:type="spellEnd"/>
            <w:r w:rsidRPr="006F3533">
              <w:rPr>
                <w:rFonts w:cs="Times New Roman"/>
                <w:szCs w:val="24"/>
                <w:lang w:val="bg-BG"/>
              </w:rPr>
              <w:t xml:space="preserve"> </w:t>
            </w:r>
            <w:proofErr w:type="spellStart"/>
            <w:r w:rsidRPr="006F3533">
              <w:rPr>
                <w:rFonts w:cs="Times New Roman"/>
                <w:szCs w:val="24"/>
                <w:lang w:val="bg-BG"/>
              </w:rPr>
              <w:t>Year</w:t>
            </w:r>
            <w:proofErr w:type="spellEnd"/>
            <w:r w:rsidRPr="006F3533">
              <w:rPr>
                <w:rFonts w:cs="Times New Roman"/>
                <w:szCs w:val="24"/>
                <w:lang w:val="bg-BG"/>
              </w:rPr>
              <w:t xml:space="preserve"> (X-2)</w:t>
            </w:r>
          </w:p>
        </w:tc>
      </w:tr>
      <w:tr w:rsidR="00143414" w:rsidRPr="006F3533" w14:paraId="3B848DC9" w14:textId="77777777" w:rsidTr="00143414">
        <w:tc>
          <w:tcPr>
            <w:tcW w:w="1016" w:type="pct"/>
          </w:tcPr>
          <w:p w14:paraId="0E6EF8A1" w14:textId="77777777" w:rsidR="00143414" w:rsidRPr="006F3533" w:rsidRDefault="00143414" w:rsidP="00541E06">
            <w:pPr>
              <w:contextualSpacing/>
              <w:jc w:val="both"/>
              <w:rPr>
                <w:rFonts w:cs="Times New Roman"/>
                <w:szCs w:val="24"/>
                <w:lang w:val="bg-BG"/>
              </w:rPr>
            </w:pPr>
            <w:proofErr w:type="spellStart"/>
            <w:r w:rsidRPr="006F3533">
              <w:rPr>
                <w:rFonts w:cs="Times New Roman"/>
                <w:szCs w:val="24"/>
                <w:lang w:val="bg-BG"/>
              </w:rPr>
              <w:t>Non-residential</w:t>
            </w:r>
            <w:proofErr w:type="spellEnd"/>
            <w:r w:rsidRPr="006F3533">
              <w:rPr>
                <w:rFonts w:cs="Times New Roman"/>
                <w:szCs w:val="24"/>
                <w:lang w:val="bg-BG"/>
              </w:rPr>
              <w:t xml:space="preserve"> </w:t>
            </w:r>
          </w:p>
        </w:tc>
        <w:tc>
          <w:tcPr>
            <w:tcW w:w="1328" w:type="pct"/>
          </w:tcPr>
          <w:p w14:paraId="5244E572" w14:textId="77777777" w:rsidR="00143414" w:rsidRPr="006F3533" w:rsidRDefault="00143414" w:rsidP="00541E06">
            <w:pPr>
              <w:ind w:right="713"/>
              <w:contextualSpacing/>
              <w:jc w:val="right"/>
              <w:rPr>
                <w:rFonts w:cs="Times New Roman"/>
                <w:szCs w:val="24"/>
                <w:lang w:val="bg-BG"/>
              </w:rPr>
            </w:pPr>
            <w:r w:rsidRPr="006F3533">
              <w:rPr>
                <w:rFonts w:cs="Times New Roman"/>
                <w:szCs w:val="24"/>
                <w:lang w:val="bg-BG"/>
              </w:rPr>
              <w:t>4.42</w:t>
            </w:r>
          </w:p>
        </w:tc>
        <w:tc>
          <w:tcPr>
            <w:tcW w:w="1328" w:type="pct"/>
          </w:tcPr>
          <w:p w14:paraId="38231FA8" w14:textId="77777777" w:rsidR="00143414" w:rsidRPr="006F3533" w:rsidRDefault="00143414" w:rsidP="00541E06">
            <w:pPr>
              <w:ind w:right="713"/>
              <w:contextualSpacing/>
              <w:jc w:val="right"/>
              <w:rPr>
                <w:rFonts w:cs="Times New Roman"/>
                <w:szCs w:val="24"/>
                <w:lang w:val="bg-BG"/>
              </w:rPr>
            </w:pPr>
            <w:r w:rsidRPr="006F3533">
              <w:rPr>
                <w:rFonts w:cs="Times New Roman"/>
                <w:szCs w:val="24"/>
                <w:lang w:val="bg-BG"/>
              </w:rPr>
              <w:t>17.26</w:t>
            </w:r>
          </w:p>
        </w:tc>
        <w:tc>
          <w:tcPr>
            <w:tcW w:w="1328" w:type="pct"/>
          </w:tcPr>
          <w:p w14:paraId="36823052" w14:textId="77777777" w:rsidR="00143414" w:rsidRPr="006F3533" w:rsidRDefault="00143414" w:rsidP="00541E06">
            <w:pPr>
              <w:ind w:right="713"/>
              <w:contextualSpacing/>
              <w:jc w:val="right"/>
              <w:rPr>
                <w:rFonts w:cs="Times New Roman"/>
                <w:szCs w:val="24"/>
                <w:lang w:val="bg-BG"/>
              </w:rPr>
            </w:pPr>
            <w:r w:rsidRPr="006F3533">
              <w:rPr>
                <w:rFonts w:cs="Times New Roman"/>
                <w:szCs w:val="24"/>
                <w:lang w:val="bg-BG"/>
              </w:rPr>
              <w:t>26.24</w:t>
            </w:r>
          </w:p>
        </w:tc>
      </w:tr>
      <w:tr w:rsidR="00143414" w:rsidRPr="006F3533" w14:paraId="7CC87A5A" w14:textId="77777777" w:rsidTr="00143414">
        <w:tc>
          <w:tcPr>
            <w:tcW w:w="1016" w:type="pct"/>
          </w:tcPr>
          <w:p w14:paraId="6740233F" w14:textId="77777777" w:rsidR="00143414" w:rsidRPr="006F3533" w:rsidRDefault="00143414" w:rsidP="00541E06">
            <w:pPr>
              <w:contextualSpacing/>
              <w:jc w:val="right"/>
              <w:rPr>
                <w:rFonts w:cs="Times New Roman"/>
                <w:szCs w:val="24"/>
                <w:lang w:val="bg-BG"/>
              </w:rPr>
            </w:pPr>
            <w:r w:rsidRPr="006F3533">
              <w:rPr>
                <w:rFonts w:cs="Times New Roman"/>
                <w:szCs w:val="24"/>
                <w:lang w:val="bg-BG"/>
              </w:rPr>
              <w:t xml:space="preserve">Total </w:t>
            </w:r>
          </w:p>
        </w:tc>
        <w:tc>
          <w:tcPr>
            <w:tcW w:w="1328" w:type="pct"/>
          </w:tcPr>
          <w:p w14:paraId="22950FD0" w14:textId="77777777" w:rsidR="00143414" w:rsidRPr="006F3533" w:rsidRDefault="00143414" w:rsidP="00541E06">
            <w:pPr>
              <w:contextualSpacing/>
              <w:jc w:val="center"/>
              <w:rPr>
                <w:rFonts w:cs="Times New Roman"/>
                <w:szCs w:val="24"/>
                <w:lang w:val="bg-BG"/>
              </w:rPr>
            </w:pPr>
            <w:r w:rsidRPr="006F3533">
              <w:rPr>
                <w:rFonts w:cs="Times New Roman"/>
                <w:szCs w:val="24"/>
                <w:lang w:val="bg-BG"/>
              </w:rPr>
              <w:t>10.66</w:t>
            </w:r>
          </w:p>
        </w:tc>
        <w:tc>
          <w:tcPr>
            <w:tcW w:w="1328" w:type="pct"/>
          </w:tcPr>
          <w:p w14:paraId="4B8C75EE" w14:textId="77777777" w:rsidR="00143414" w:rsidRPr="006F3533" w:rsidRDefault="00143414" w:rsidP="00541E06">
            <w:pPr>
              <w:contextualSpacing/>
              <w:jc w:val="center"/>
              <w:rPr>
                <w:rFonts w:cs="Times New Roman"/>
                <w:szCs w:val="24"/>
                <w:lang w:val="bg-BG"/>
              </w:rPr>
            </w:pPr>
            <w:proofErr w:type="spellStart"/>
            <w:r w:rsidRPr="006F3533">
              <w:rPr>
                <w:rFonts w:cs="Times New Roman"/>
                <w:szCs w:val="24"/>
                <w:lang w:val="bg-BG"/>
              </w:rPr>
              <w:t>Savings</w:t>
            </w:r>
            <w:proofErr w:type="spellEnd"/>
            <w:r w:rsidRPr="006F3533">
              <w:rPr>
                <w:rFonts w:cs="Times New Roman"/>
                <w:szCs w:val="24"/>
                <w:lang w:val="bg-BG"/>
              </w:rPr>
              <w:t xml:space="preserve"> </w:t>
            </w:r>
            <w:proofErr w:type="spellStart"/>
            <w:r w:rsidRPr="006F3533">
              <w:rPr>
                <w:rFonts w:cs="Times New Roman"/>
                <w:szCs w:val="24"/>
                <w:lang w:val="bg-BG"/>
              </w:rPr>
              <w:t>residential</w:t>
            </w:r>
            <w:proofErr w:type="spellEnd"/>
            <w:r w:rsidRPr="006F3533">
              <w:rPr>
                <w:rFonts w:cs="Times New Roman"/>
                <w:szCs w:val="24"/>
                <w:lang w:val="bg-BG"/>
              </w:rPr>
              <w:t xml:space="preserve"> + </w:t>
            </w:r>
            <w:proofErr w:type="spellStart"/>
            <w:r w:rsidRPr="006F3533">
              <w:rPr>
                <w:rFonts w:cs="Times New Roman"/>
                <w:szCs w:val="24"/>
                <w:lang w:val="bg-BG"/>
              </w:rPr>
              <w:t>non-residential</w:t>
            </w:r>
            <w:proofErr w:type="spellEnd"/>
          </w:p>
        </w:tc>
        <w:tc>
          <w:tcPr>
            <w:tcW w:w="1328" w:type="pct"/>
          </w:tcPr>
          <w:p w14:paraId="6694FD5B" w14:textId="77777777" w:rsidR="00143414" w:rsidRPr="006F3533" w:rsidRDefault="00143414" w:rsidP="00541E06">
            <w:pPr>
              <w:contextualSpacing/>
              <w:jc w:val="center"/>
              <w:rPr>
                <w:rFonts w:cs="Times New Roman"/>
                <w:szCs w:val="24"/>
                <w:lang w:val="bg-BG"/>
              </w:rPr>
            </w:pPr>
            <w:proofErr w:type="spellStart"/>
            <w:r w:rsidRPr="006F3533">
              <w:rPr>
                <w:rFonts w:cs="Times New Roman"/>
                <w:szCs w:val="24"/>
                <w:lang w:val="bg-BG"/>
              </w:rPr>
              <w:t>Savings</w:t>
            </w:r>
            <w:proofErr w:type="spellEnd"/>
            <w:r w:rsidRPr="006F3533">
              <w:rPr>
                <w:rFonts w:cs="Times New Roman"/>
                <w:szCs w:val="24"/>
                <w:lang w:val="bg-BG"/>
              </w:rPr>
              <w:t xml:space="preserve"> </w:t>
            </w:r>
            <w:proofErr w:type="spellStart"/>
            <w:r w:rsidRPr="006F3533">
              <w:rPr>
                <w:rFonts w:cs="Times New Roman"/>
                <w:szCs w:val="24"/>
                <w:lang w:val="bg-BG"/>
              </w:rPr>
              <w:t>residential</w:t>
            </w:r>
            <w:proofErr w:type="spellEnd"/>
            <w:r w:rsidRPr="006F3533">
              <w:rPr>
                <w:rFonts w:cs="Times New Roman"/>
                <w:szCs w:val="24"/>
                <w:lang w:val="bg-BG"/>
              </w:rPr>
              <w:t xml:space="preserve"> + </w:t>
            </w:r>
            <w:proofErr w:type="spellStart"/>
            <w:r w:rsidRPr="006F3533">
              <w:rPr>
                <w:rFonts w:cs="Times New Roman"/>
                <w:szCs w:val="24"/>
                <w:lang w:val="bg-BG"/>
              </w:rPr>
              <w:t>non-residential</w:t>
            </w:r>
            <w:proofErr w:type="spellEnd"/>
          </w:p>
        </w:tc>
      </w:tr>
    </w:tbl>
    <w:p w14:paraId="320AB6EC" w14:textId="77777777" w:rsidR="00143414" w:rsidRPr="006F3533" w:rsidRDefault="00143414" w:rsidP="00143414">
      <w:pPr>
        <w:spacing w:line="240" w:lineRule="auto"/>
        <w:ind w:left="720"/>
        <w:contextualSpacing/>
        <w:jc w:val="both"/>
        <w:rPr>
          <w:rFonts w:cs="Times New Roman"/>
          <w:i/>
          <w:iCs/>
          <w:szCs w:val="24"/>
          <w:lang w:val="bg-BG"/>
        </w:rPr>
      </w:pPr>
    </w:p>
    <w:p w14:paraId="45676BD1" w14:textId="77777777" w:rsidR="0039488E" w:rsidRPr="006F3533" w:rsidRDefault="0039488E" w:rsidP="006F0DA0">
      <w:pPr>
        <w:spacing w:line="240" w:lineRule="auto"/>
        <w:ind w:left="720"/>
        <w:contextualSpacing/>
        <w:jc w:val="both"/>
        <w:rPr>
          <w:rFonts w:cs="Times New Roman"/>
          <w:i/>
          <w:iCs/>
          <w:szCs w:val="24"/>
          <w:lang w:val="bg-BG"/>
        </w:rPr>
      </w:pPr>
    </w:p>
    <w:p w14:paraId="2BA0097E" w14:textId="6ACFEAE6" w:rsidR="0039488E" w:rsidRPr="006F3533" w:rsidRDefault="0039488E" w:rsidP="006F0DA0">
      <w:pPr>
        <w:spacing w:before="100" w:beforeAutospacing="1" w:after="100" w:afterAutospacing="1" w:line="240" w:lineRule="auto"/>
        <w:jc w:val="both"/>
        <w:outlineLvl w:val="1"/>
        <w:rPr>
          <w:rFonts w:eastAsia="Times New Roman" w:cs="Times New Roman"/>
          <w:b/>
          <w:bCs/>
          <w:sz w:val="28"/>
          <w:szCs w:val="28"/>
          <w:lang w:val="bg-BG"/>
        </w:rPr>
      </w:pPr>
      <w:bookmarkStart w:id="180" w:name="_Toc217888814"/>
      <w:r w:rsidRPr="006F3533">
        <w:rPr>
          <w:rFonts w:eastAsia="Times New Roman" w:cs="Times New Roman"/>
          <w:b/>
          <w:bCs/>
          <w:sz w:val="28"/>
          <w:szCs w:val="28"/>
          <w:lang w:val="bg-BG"/>
        </w:rPr>
        <w:t xml:space="preserve">Принос на обновяването на сградния фонд към целите на ЕС за </w:t>
      </w:r>
      <w:r w:rsidR="00143414" w:rsidRPr="006F3533">
        <w:rPr>
          <w:rFonts w:eastAsia="Times New Roman" w:cs="Times New Roman"/>
          <w:b/>
          <w:bCs/>
          <w:sz w:val="28"/>
          <w:szCs w:val="28"/>
          <w:lang w:val="bg-BG"/>
        </w:rPr>
        <w:t>енергийна ефективност</w:t>
      </w:r>
      <w:r w:rsidRPr="006F3533">
        <w:rPr>
          <w:rFonts w:eastAsia="Times New Roman" w:cs="Times New Roman"/>
          <w:b/>
          <w:bCs/>
          <w:sz w:val="28"/>
          <w:szCs w:val="28"/>
          <w:lang w:val="bg-BG"/>
        </w:rPr>
        <w:t xml:space="preserve"> </w:t>
      </w:r>
      <w:r w:rsidRPr="006F3533">
        <w:rPr>
          <w:rFonts w:eastAsia="Times New Roman" w:cs="Times New Roman"/>
          <w:b/>
          <w:bCs/>
          <w:i/>
          <w:iCs/>
          <w:sz w:val="28"/>
          <w:szCs w:val="28"/>
          <w:lang w:val="bg-BG"/>
        </w:rPr>
        <w:t>(в съответствие с член 4 от Директива (ЕС) 2023/1791)</w:t>
      </w:r>
      <w:bookmarkEnd w:id="180"/>
    </w:p>
    <w:p w14:paraId="4E8C288F" w14:textId="6E0B571E" w:rsidR="00D42E4D" w:rsidRPr="006F3533" w:rsidRDefault="0039488E" w:rsidP="00D42E4D">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В съответствие с член 4 от Директива (ЕС) 2023/1791, приносът на обновяването на съществуващите </w:t>
      </w:r>
      <w:r w:rsidR="00D42E4D" w:rsidRPr="006F3533">
        <w:rPr>
          <w:rFonts w:eastAsia="Times New Roman" w:cs="Times New Roman"/>
          <w:szCs w:val="24"/>
          <w:lang w:val="bg-BG" w:eastAsia="en-GB"/>
        </w:rPr>
        <w:t xml:space="preserve">жилищните и </w:t>
      </w:r>
      <w:r w:rsidRPr="006F3533">
        <w:rPr>
          <w:rFonts w:eastAsia="Times New Roman" w:cs="Times New Roman"/>
          <w:szCs w:val="24"/>
          <w:lang w:val="bg-BG" w:eastAsia="en-GB"/>
        </w:rPr>
        <w:t xml:space="preserve">нежилищни сгради към целите за енергийна ефективност е оценен за 2030 г. Общите спестявания на крайна енергия, които могат да бъдат пряко отнесени към обновяването на сградния фонд, възлизат на </w:t>
      </w:r>
      <w:r w:rsidR="00854EB1">
        <w:rPr>
          <w:rFonts w:eastAsia="Times New Roman" w:cs="Times New Roman"/>
          <w:szCs w:val="24"/>
          <w:lang w:val="bg-BG" w:eastAsia="en-GB"/>
        </w:rPr>
        <w:t>444.84</w:t>
      </w:r>
      <w:r w:rsidR="00D42E4D" w:rsidRPr="006F3533">
        <w:rPr>
          <w:rFonts w:eastAsia="Times New Roman" w:cs="Times New Roman"/>
          <w:szCs w:val="24"/>
          <w:lang w:val="bg-BG" w:eastAsia="en-GB"/>
        </w:rPr>
        <w:t xml:space="preserve"> </w:t>
      </w:r>
      <w:proofErr w:type="spellStart"/>
      <w:r w:rsidR="00D42E4D" w:rsidRPr="006F3533">
        <w:rPr>
          <w:rFonts w:eastAsia="Times New Roman" w:cs="Times New Roman"/>
          <w:szCs w:val="24"/>
          <w:lang w:val="bg-BG" w:eastAsia="en-GB"/>
        </w:rPr>
        <w:t>ktoe</w:t>
      </w:r>
      <w:proofErr w:type="spellEnd"/>
      <w:r w:rsidR="00D42E4D" w:rsidRPr="006F3533">
        <w:rPr>
          <w:rFonts w:eastAsia="Times New Roman" w:cs="Times New Roman"/>
          <w:szCs w:val="24"/>
          <w:lang w:val="bg-BG" w:eastAsia="en-GB"/>
        </w:rPr>
        <w:t xml:space="preserve"> (</w:t>
      </w:r>
      <w:r w:rsidR="00854EB1">
        <w:rPr>
          <w:rFonts w:eastAsia="Times New Roman" w:cs="Times New Roman"/>
          <w:szCs w:val="24"/>
          <w:lang w:val="bg-BG" w:eastAsia="en-GB"/>
        </w:rPr>
        <w:t>381</w:t>
      </w:r>
      <w:r w:rsidR="00D42E4D" w:rsidRPr="006F3533">
        <w:rPr>
          <w:rFonts w:eastAsia="Times New Roman" w:cs="Times New Roman"/>
          <w:szCs w:val="24"/>
          <w:lang w:val="bg-BG" w:eastAsia="en-GB"/>
        </w:rPr>
        <w:t xml:space="preserve"> при жилищните и </w:t>
      </w:r>
      <w:r w:rsidR="00854EB1">
        <w:rPr>
          <w:rFonts w:eastAsia="Times New Roman" w:cs="Times New Roman"/>
          <w:szCs w:val="24"/>
          <w:lang w:val="bg-BG" w:eastAsia="en-GB"/>
        </w:rPr>
        <w:t>63.84</w:t>
      </w:r>
      <w:r w:rsidR="00D42E4D" w:rsidRPr="006F3533">
        <w:rPr>
          <w:rFonts w:eastAsia="Times New Roman" w:cs="Times New Roman"/>
          <w:szCs w:val="24"/>
          <w:lang w:val="bg-BG" w:eastAsia="en-GB"/>
        </w:rPr>
        <w:t xml:space="preserve"> при нежилищните сгради).</w:t>
      </w:r>
    </w:p>
    <w:p w14:paraId="47FEAC9F" w14:textId="77777777"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Тези спестявания допринасят за постигането на националната цел за крайно енергийно потребление до 2030 г., определена в </w:t>
      </w:r>
      <w:r w:rsidRPr="006F3533">
        <w:rPr>
          <w:rFonts w:eastAsia="Times New Roman" w:cs="Times New Roman"/>
          <w:i/>
          <w:iCs/>
          <w:szCs w:val="24"/>
          <w:lang w:val="bg-BG" w:eastAsia="en-GB"/>
        </w:rPr>
        <w:t>Интегриран план в областта на енергетиката и климата на Република България – актуализация 2024 г</w:t>
      </w:r>
      <w:r w:rsidRPr="006F3533">
        <w:rPr>
          <w:rFonts w:eastAsia="Times New Roman" w:cs="Times New Roman"/>
          <w:szCs w:val="24"/>
          <w:lang w:val="bg-BG" w:eastAsia="en-GB"/>
        </w:rPr>
        <w:t>.</w:t>
      </w:r>
    </w:p>
    <w:p w14:paraId="10313DFC" w14:textId="1BD9A911" w:rsidR="0039488E" w:rsidRPr="006F3533" w:rsidRDefault="0039488E" w:rsidP="006F0DA0">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lastRenderedPageBreak/>
        <w:t>Спестяванията на енергия в сградите са определени в съответствие с пътната карта за обновяване, представена в Таблиц</w:t>
      </w:r>
      <w:r w:rsidR="00143414" w:rsidRPr="006F3533">
        <w:rPr>
          <w:rFonts w:eastAsia="Times New Roman" w:cs="Times New Roman"/>
          <w:szCs w:val="24"/>
          <w:lang w:val="bg-BG" w:eastAsia="en-GB"/>
        </w:rPr>
        <w:t>и</w:t>
      </w:r>
      <w:r w:rsidRPr="006F3533">
        <w:rPr>
          <w:rFonts w:eastAsia="Times New Roman" w:cs="Times New Roman"/>
          <w:szCs w:val="24"/>
          <w:lang w:val="bg-BG" w:eastAsia="en-GB"/>
        </w:rPr>
        <w:t xml:space="preserve"> 15a</w:t>
      </w:r>
      <w:r w:rsidR="00D42E4D" w:rsidRPr="006F3533">
        <w:rPr>
          <w:rFonts w:eastAsia="Times New Roman" w:cs="Times New Roman"/>
          <w:szCs w:val="24"/>
          <w:lang w:val="bg-BG" w:eastAsia="en-GB"/>
        </w:rPr>
        <w:t xml:space="preserve">, </w:t>
      </w:r>
      <w:r w:rsidRPr="006F3533">
        <w:rPr>
          <w:rFonts w:eastAsia="Times New Roman" w:cs="Times New Roman"/>
          <w:szCs w:val="24"/>
          <w:lang w:val="bg-BG" w:eastAsia="en-GB"/>
        </w:rPr>
        <w:t>15b</w:t>
      </w:r>
      <w:r w:rsidR="00D42E4D" w:rsidRPr="006F3533">
        <w:rPr>
          <w:rFonts w:eastAsia="Times New Roman" w:cs="Times New Roman"/>
          <w:szCs w:val="24"/>
          <w:lang w:val="bg-BG" w:eastAsia="en-GB"/>
        </w:rPr>
        <w:t xml:space="preserve"> и 15 с, </w:t>
      </w:r>
      <w:r w:rsidRPr="006F3533">
        <w:rPr>
          <w:rFonts w:eastAsia="Times New Roman" w:cs="Times New Roman"/>
          <w:szCs w:val="24"/>
          <w:lang w:val="bg-BG" w:eastAsia="en-GB"/>
        </w:rPr>
        <w:t>въз основа на изчисления на крайното енергийно потребление при осреднени енергийни характеристики на сградите, съответстващи на нивата на енергийна ефективност, които се очаква да бъдат постигнати след обновяването.</w:t>
      </w:r>
    </w:p>
    <w:p w14:paraId="4C23A771" w14:textId="77777777" w:rsidR="0039488E" w:rsidRPr="006F3533" w:rsidRDefault="0039488E" w:rsidP="006F0DA0">
      <w:pPr>
        <w:spacing w:before="100" w:beforeAutospacing="1" w:after="100" w:afterAutospacing="1" w:line="240" w:lineRule="auto"/>
        <w:jc w:val="both"/>
        <w:outlineLvl w:val="1"/>
        <w:rPr>
          <w:rFonts w:eastAsia="Times New Roman" w:cs="Times New Roman"/>
          <w:b/>
          <w:bCs/>
          <w:sz w:val="28"/>
          <w:szCs w:val="28"/>
          <w:lang w:val="bg-BG"/>
        </w:rPr>
      </w:pPr>
      <w:bookmarkStart w:id="181" w:name="_Toc217888815"/>
      <w:r w:rsidRPr="006F3533">
        <w:rPr>
          <w:rFonts w:eastAsia="Times New Roman" w:cs="Times New Roman"/>
          <w:b/>
          <w:bCs/>
          <w:sz w:val="28"/>
          <w:szCs w:val="28"/>
          <w:lang w:val="bg-BG"/>
        </w:rPr>
        <w:t xml:space="preserve">Принос на обновяването на сградния фонд към целите на ЕС за възобновяема енергия </w:t>
      </w:r>
      <w:r w:rsidRPr="006F3533">
        <w:rPr>
          <w:rFonts w:eastAsia="Times New Roman" w:cs="Times New Roman"/>
          <w:b/>
          <w:bCs/>
          <w:i/>
          <w:iCs/>
          <w:sz w:val="28"/>
          <w:szCs w:val="28"/>
          <w:lang w:val="bg-BG"/>
        </w:rPr>
        <w:t>(в съответствие с Директива (ЕС) 2018/2001)</w:t>
      </w:r>
      <w:bookmarkEnd w:id="181"/>
    </w:p>
    <w:p w14:paraId="22231256" w14:textId="2747D44D" w:rsidR="00560454" w:rsidRPr="006F3533" w:rsidRDefault="00D42E4D" w:rsidP="006F0DA0">
      <w:pPr>
        <w:jc w:val="both"/>
        <w:rPr>
          <w:rFonts w:cs="Times New Roman"/>
          <w:i/>
          <w:iCs/>
          <w:color w:val="0070C0"/>
          <w:szCs w:val="24"/>
          <w:lang w:val="bg-BG"/>
        </w:rPr>
        <w:sectPr w:rsidR="00560454" w:rsidRPr="006F3533" w:rsidSect="00B572B1">
          <w:pgSz w:w="11906" w:h="16838"/>
          <w:pgMar w:top="1417" w:right="1417" w:bottom="1417" w:left="1417" w:header="708" w:footer="708" w:gutter="0"/>
          <w:cols w:space="708"/>
          <w:docGrid w:linePitch="360"/>
        </w:sectPr>
      </w:pPr>
      <w:r w:rsidRPr="006F3533">
        <w:rPr>
          <w:rFonts w:eastAsia="Times New Roman" w:cs="Times New Roman"/>
          <w:szCs w:val="24"/>
          <w:lang w:val="bg-BG" w:eastAsia="en-GB"/>
        </w:rPr>
        <w:t>За съжаление, поради липса на</w:t>
      </w:r>
      <w:r w:rsidR="00B43E59" w:rsidRPr="006F3533">
        <w:rPr>
          <w:rFonts w:eastAsia="Times New Roman" w:cs="Times New Roman"/>
          <w:szCs w:val="24"/>
          <w:lang w:val="bg-BG" w:eastAsia="en-GB"/>
        </w:rPr>
        <w:t xml:space="preserve"> достоверни и съпоставими данни, приносът на сградния сектор към целите в областта на възобновяемата енергия не може да бъде изчислен. Анализ на очакваните бъдещи ползи </w:t>
      </w:r>
      <w:r w:rsidR="00974A1B" w:rsidRPr="006F3533">
        <w:rPr>
          <w:rFonts w:eastAsia="Times New Roman" w:cs="Times New Roman"/>
          <w:szCs w:val="24"/>
          <w:lang w:val="bg-BG" w:eastAsia="en-GB"/>
        </w:rPr>
        <w:t>като</w:t>
      </w:r>
      <w:r w:rsidR="00B43E59" w:rsidRPr="006F3533">
        <w:rPr>
          <w:rFonts w:eastAsia="Times New Roman" w:cs="Times New Roman"/>
          <w:szCs w:val="24"/>
          <w:lang w:val="bg-BG" w:eastAsia="en-GB"/>
        </w:rPr>
        <w:t xml:space="preserve"> резултат </w:t>
      </w:r>
      <w:r w:rsidR="00974A1B" w:rsidRPr="006F3533">
        <w:rPr>
          <w:rFonts w:eastAsia="Times New Roman" w:cs="Times New Roman"/>
          <w:szCs w:val="24"/>
          <w:lang w:val="bg-BG" w:eastAsia="en-GB"/>
        </w:rPr>
        <w:t>от</w:t>
      </w:r>
      <w:r w:rsidR="00B43E59" w:rsidRPr="006F3533">
        <w:rPr>
          <w:rFonts w:eastAsia="Times New Roman" w:cs="Times New Roman"/>
          <w:szCs w:val="24"/>
          <w:lang w:val="bg-BG" w:eastAsia="en-GB"/>
        </w:rPr>
        <w:t xml:space="preserve"> прилаганите политики ще бъде направен в окончателния вариант на плана. </w:t>
      </w:r>
    </w:p>
    <w:p w14:paraId="7D8C482B" w14:textId="27B0ECC4" w:rsidR="00B572B1" w:rsidRPr="006F3533" w:rsidRDefault="00B572B1" w:rsidP="00077D42">
      <w:pPr>
        <w:pStyle w:val="Heading1"/>
        <w:jc w:val="both"/>
        <w:rPr>
          <w:lang w:val="bg-BG" w:eastAsia="bg-BG"/>
        </w:rPr>
      </w:pPr>
      <w:bookmarkStart w:id="182" w:name="_Toc217888816"/>
      <w:r w:rsidRPr="006F3533">
        <w:rPr>
          <w:lang w:val="bg-BG" w:eastAsia="bg-BG"/>
        </w:rPr>
        <w:lastRenderedPageBreak/>
        <w:t>Преглед на политиките и финансовите инструменти за сградно обновяване</w:t>
      </w:r>
      <w:bookmarkEnd w:id="182"/>
      <w:r w:rsidRPr="006F3533">
        <w:rPr>
          <w:lang w:val="bg-BG" w:eastAsia="bg-BG"/>
        </w:rPr>
        <w:t xml:space="preserve"> </w:t>
      </w:r>
    </w:p>
    <w:p w14:paraId="09B99EEC"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Настоящият раздел представя обзор на прилаганите политики и финансови инструменти за сградно обновяване в България през последните години, с акцент върху резултатите, отчетени през 2024 г. Анализът стъпва върху наличните стратегически и аналитични документи, включително Анализа за състоянието на енергийната ефективност през 2024 г., както и върху натрупаните резултати от изпълнението на национални и европейски програми.</w:t>
      </w:r>
    </w:p>
    <w:p w14:paraId="31127C9B" w14:textId="5E012BE4" w:rsidR="00B572B1" w:rsidRPr="006F3533" w:rsidRDefault="00B572B1" w:rsidP="00077D42">
      <w:pPr>
        <w:pStyle w:val="Heading2"/>
        <w:jc w:val="both"/>
        <w:rPr>
          <w:lang w:val="bg-BG" w:eastAsia="bg-BG"/>
        </w:rPr>
      </w:pPr>
      <w:bookmarkStart w:id="183" w:name="_Toc217888817"/>
      <w:r w:rsidRPr="006F3533">
        <w:rPr>
          <w:lang w:val="bg-BG" w:eastAsia="bg-BG"/>
        </w:rPr>
        <w:t>Жилищни сгради</w:t>
      </w:r>
      <w:bookmarkEnd w:id="183"/>
    </w:p>
    <w:p w14:paraId="50E7548E" w14:textId="77777777" w:rsidR="00D15956" w:rsidRPr="006F3533" w:rsidRDefault="00D15956" w:rsidP="00D15956">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Многофамилни жилищни сгради</w:t>
      </w:r>
    </w:p>
    <w:p w14:paraId="55A39AEF"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Политиката за енергийно обновяване на многофамилните жилищни сгради (МЖС) в България се формира в контекста на специфичната структура на жилищния фонд, при който преобладават сгради с множество собственици, висока степен на индивидуална собственост, социално-икономически микс от обитатели и ограничен институционален капацитет на ниво етажна собственост. Статистическият преглед на жилищния фонд ясно показва, че именно МЖС концентрират значителен дял от обитаваните жилища, от разгънатата застроена площ, както и от потенциала за мащабни енергийни спестявания, което ги поставя в центъра на националната политика за сградно обновяване, която през последните две десетилетия се реализира чрез национални и европейски програми с преобладаващ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xml:space="preserve"> характер, администрирани централизирано. Прилаганият подход е насочен към постигане на значими енергийни спестявания на ниво сграда, но с ограничен обхват спрямо мащаба и разнообразието на сградния фонд.</w:t>
      </w:r>
    </w:p>
    <w:p w14:paraId="007BAA61" w14:textId="77777777" w:rsidR="00D15956" w:rsidRPr="006F3533" w:rsidRDefault="00D15956" w:rsidP="00D15956">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Основни програмни периоди и инструменти</w:t>
      </w:r>
    </w:p>
    <w:p w14:paraId="2343FFC4"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1. Програмен период 2007–2015 г. - ранни модели със съфинансиране</w:t>
      </w:r>
    </w:p>
    <w:p w14:paraId="02B7C25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първия етап от прилагането на систематични политики за енергийна ефективност на МЖС, подходът се характеризира с експериментален, но концептуално балансиран модел, основан на съфинансиране от страна на собствениците, комбинирано с публична подкрепа и целенасочена институционална </w:t>
      </w:r>
      <w:proofErr w:type="spellStart"/>
      <w:r w:rsidRPr="006F3533">
        <w:rPr>
          <w:rFonts w:eastAsia="Times New Roman" w:cs="Times New Roman"/>
          <w:szCs w:val="24"/>
          <w:lang w:val="bg-BG" w:eastAsia="bg-BG"/>
        </w:rPr>
        <w:t>фасилитация</w:t>
      </w:r>
      <w:proofErr w:type="spellEnd"/>
      <w:r w:rsidRPr="006F3533">
        <w:rPr>
          <w:rFonts w:eastAsia="Times New Roman" w:cs="Times New Roman"/>
          <w:szCs w:val="24"/>
          <w:lang w:val="bg-BG" w:eastAsia="bg-BG"/>
        </w:rPr>
        <w:t>. Най-ясен израз на този подход е проектът „Демонстрационно обновяване на многофамилни жилищни сгради“, реализиран в периода 2007–2011 г. от Министерството на регионалното развитие и благоустройството и Програмата на ООН за развитие, в партньорство с общини от различни типове и мащаби.</w:t>
      </w:r>
    </w:p>
    <w:p w14:paraId="5EA77B87"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Проектът има ясно дефинирана демонстрационна цел – за първи път в национален мащаб да бъде изпробван целият цикъл на обновяване на МЖС, включително организационните, техническите, финансовите и социалните аспекти на процеса. В рамките на ограничен, но показателен обхват – </w:t>
      </w:r>
      <w:r w:rsidRPr="006F3533">
        <w:rPr>
          <w:rFonts w:eastAsia="Times New Roman" w:cs="Times New Roman"/>
          <w:b/>
          <w:bCs/>
          <w:szCs w:val="24"/>
          <w:lang w:val="bg-BG" w:eastAsia="bg-BG"/>
        </w:rPr>
        <w:t xml:space="preserve">50 сгради с обща обновена разгъната застроена площ от близо 81 хил. кв.м и бюджет от приблизително 11 млн. лв. </w:t>
      </w:r>
      <w:r w:rsidRPr="006F3533">
        <w:rPr>
          <w:rFonts w:eastAsia="Times New Roman" w:cs="Times New Roman"/>
          <w:szCs w:val="24"/>
          <w:lang w:val="bg-BG" w:eastAsia="bg-BG"/>
        </w:rPr>
        <w:t>– проектът създава практически модел за работа с етажната собственост като колективен субект, способен да взема решения, да поема финансови ангажименти и да участва обновяването и последващата поддръжка на сградата.</w:t>
      </w:r>
    </w:p>
    <w:p w14:paraId="5A3ACC2A"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 xml:space="preserve">Ключова характеристика на този ранен модел е </w:t>
      </w:r>
      <w:r w:rsidRPr="006F3533">
        <w:rPr>
          <w:rFonts w:eastAsia="Times New Roman" w:cs="Times New Roman"/>
          <w:b/>
          <w:bCs/>
          <w:szCs w:val="24"/>
          <w:lang w:val="bg-BG" w:eastAsia="bg-BG"/>
        </w:rPr>
        <w:t>въвеждането на принципа на съфинансиране</w:t>
      </w:r>
      <w:r w:rsidRPr="006F3533">
        <w:rPr>
          <w:rFonts w:eastAsia="Times New Roman" w:cs="Times New Roman"/>
          <w:szCs w:val="24"/>
          <w:lang w:val="bg-BG" w:eastAsia="bg-BG"/>
        </w:rPr>
        <w:t>, при който собствениците участват финансово в обновяването на индивидуалните си жилища, докато публичната подкрепа е фокусирана върху общите части на сградата</w:t>
      </w:r>
      <w:r w:rsidRPr="006F3533">
        <w:rPr>
          <w:rFonts w:eastAsia="Times New Roman" w:cs="Times New Roman"/>
          <w:szCs w:val="24"/>
          <w:vertAlign w:val="superscript"/>
          <w:lang w:val="bg-BG" w:eastAsia="bg-BG"/>
        </w:rPr>
        <w:footnoteReference w:id="45"/>
      </w:r>
      <w:r w:rsidRPr="006F3533">
        <w:rPr>
          <w:rFonts w:eastAsia="Times New Roman" w:cs="Times New Roman"/>
          <w:szCs w:val="24"/>
          <w:lang w:val="bg-BG" w:eastAsia="bg-BG"/>
        </w:rPr>
        <w:t>, пряко свързани с безопасното обитаване и дългосрочната експлоатационна годност – покриви, плочи, входни пространства, стълбищни клетки. Този подход отразява логиката, че общите части представляват колективен актив, чието обновяване има системен ефект върху енергийните характеристики на сградата, докато интервенциите в самостоятелните обекти следва да бъдат споделена отговорност.</w:t>
      </w:r>
    </w:p>
    <w:p w14:paraId="1CB73F73"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Особено важно от гледна точка на развитието на финансовите инструменти в страната е, че в рамките на проекта е изпробван и практически </w:t>
      </w:r>
      <w:r w:rsidRPr="006F3533">
        <w:rPr>
          <w:rFonts w:eastAsia="Times New Roman" w:cs="Times New Roman"/>
          <w:b/>
          <w:bCs/>
          <w:szCs w:val="24"/>
          <w:lang w:val="bg-BG" w:eastAsia="bg-BG"/>
        </w:rPr>
        <w:t>реализиран механизъм за колективно кредитиране на етажна собственост</w:t>
      </w:r>
      <w:r w:rsidRPr="006F3533">
        <w:rPr>
          <w:rFonts w:eastAsia="Times New Roman" w:cs="Times New Roman"/>
          <w:szCs w:val="24"/>
          <w:lang w:val="bg-BG" w:eastAsia="bg-BG"/>
        </w:rPr>
        <w:t xml:space="preserve"> – инструмент, който и до днес остава по-скоро изключение, отколкото правило в българската практика. В демонстрационен проект във Варна е предоставен целеви кредит директно на етажната собственост, като договорът е сключен между Фонда за енергийна ефективност и възобновяеми източници и упълномощен представител на собствениците. По този начин за първи път е призната де факто възможността етажната собственост да бъде носител на финансов ангажимент, въпреки липсата на класически активи за обезпечение.</w:t>
      </w:r>
    </w:p>
    <w:p w14:paraId="3D09F09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Решението на проблема с обезпечението е показателно за адаптивността на модела: чрез колективно осигуряване на парична гаранция, представляваща 20% от размера на кредита, всички собственици участват солидарно в намаляването на кредитния риск, докато реалните кредитни средства се предоставят на онези домакинства, които се нуждаят от финансиране за своя дял от съфинансирането. Индивидуалните кредитни суми остават в сравнително нисък диапазон, съобразен с платежоспособността на домакинствата, а допълнителното застраховане на кредита от страна на ФЕЕВИ осигурява още един слой на финансова сигурност.</w:t>
      </w:r>
    </w:p>
    <w:p w14:paraId="416004E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От аналитична гледна точка този модел има особено значение в контекста на статистически установените характеристики на жилищния фонд, включително високия дял на малки домакинства, застаряващо население и неравномерна доходна структура в многофамилните сгради. Именно в такива условия индивидуалният достъп до кредитиране често е ограничен или невъзможен, а колективният механизъм, комбиниран с целева публична подкрепа, позволява преодоляване на бариерите пред участието в процеса на обновяване.</w:t>
      </w:r>
    </w:p>
    <w:p w14:paraId="1BA924A1"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 резултат на проекта не само са обновени конкретни сгради, но е натрупан институционален и социален капитал, който поставя основите на по-късните, значително по-мащабни програми за сградно обновяване. Променени са нагласите на собствениците, изпробвани са работещи модели за сдружаване и колективно вземане на решения, а публичната администрация и финансовите институции получават реален опит за работа с етажната собственост като специфичен, но управляем субект.</w:t>
      </w:r>
    </w:p>
    <w:p w14:paraId="42EF00FD"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този смисъл демонстрационният проект от периода 2007–2011 г. остава отправна точка за бъдещия дизайн на политики и финансови инструменти за обновяване на многофамилните жилищни сгради. Той ясно показва, че </w:t>
      </w:r>
      <w:r w:rsidRPr="006F3533">
        <w:rPr>
          <w:rFonts w:eastAsia="Times New Roman" w:cs="Times New Roman"/>
          <w:b/>
          <w:bCs/>
          <w:szCs w:val="24"/>
          <w:lang w:val="bg-BG" w:eastAsia="bg-BG"/>
        </w:rPr>
        <w:t xml:space="preserve">модели със съфинансиране и </w:t>
      </w:r>
      <w:r w:rsidRPr="006F3533">
        <w:rPr>
          <w:rFonts w:eastAsia="Times New Roman" w:cs="Times New Roman"/>
          <w:b/>
          <w:bCs/>
          <w:szCs w:val="24"/>
          <w:lang w:val="bg-BG" w:eastAsia="bg-BG"/>
        </w:rPr>
        <w:lastRenderedPageBreak/>
        <w:t>целево колективно кредитиране са възможни, работещи и съобразени със структурата на жилищния фонд</w:t>
      </w:r>
      <w:r w:rsidRPr="006F3533">
        <w:rPr>
          <w:rFonts w:eastAsia="Times New Roman" w:cs="Times New Roman"/>
          <w:szCs w:val="24"/>
          <w:lang w:val="bg-BG" w:eastAsia="bg-BG"/>
        </w:rPr>
        <w:t>, но изискват активна публична роля, институционална подкрепа и внимателно адаптиране към социално-икономическия профил на собствениците.</w:t>
      </w:r>
    </w:p>
    <w:p w14:paraId="6605D535" w14:textId="77777777" w:rsidR="00D15956" w:rsidRPr="006F3533" w:rsidRDefault="00D15956" w:rsidP="00D15956">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В периода 2012–2015 г.</w:t>
      </w:r>
      <w:r w:rsidRPr="006F3533">
        <w:rPr>
          <w:rFonts w:eastAsia="Times New Roman" w:cs="Times New Roman"/>
          <w:szCs w:val="24"/>
          <w:lang w:val="bg-BG" w:eastAsia="bg-BG"/>
        </w:rPr>
        <w:t xml:space="preserve"> в рамките на Оперативна програма „Регионално развитие“ 2007–2013 МРРБ, чрез Дирекция „Жилищна политика“, реализира проекта </w:t>
      </w:r>
      <w:r w:rsidRPr="006F3533">
        <w:rPr>
          <w:rFonts w:eastAsia="Times New Roman" w:cs="Times New Roman"/>
          <w:b/>
          <w:bCs/>
          <w:szCs w:val="24"/>
          <w:lang w:val="bg-BG" w:eastAsia="bg-BG"/>
        </w:rPr>
        <w:t>„Енергийно обновяване на българските домове“</w:t>
      </w:r>
      <w:r w:rsidRPr="006F3533">
        <w:rPr>
          <w:rFonts w:eastAsia="Times New Roman" w:cs="Times New Roman"/>
          <w:szCs w:val="24"/>
          <w:lang w:val="bg-BG" w:eastAsia="bg-BG"/>
        </w:rPr>
        <w:t xml:space="preserve">, който представлява втория систематичен опит за прилагане на политики за енергийно обновяване на многофамилния жилищен фонд на национално ниво. Проектът надгражда демонстрационните интервенции от предходния период, като въвежда по-мащабен програмен подход и първоначално също </w:t>
      </w:r>
      <w:r w:rsidRPr="006F3533">
        <w:rPr>
          <w:rFonts w:eastAsia="Times New Roman" w:cs="Times New Roman"/>
          <w:b/>
          <w:bCs/>
          <w:szCs w:val="24"/>
          <w:lang w:val="bg-BG" w:eastAsia="bg-BG"/>
        </w:rPr>
        <w:t>комбинира безвъзмездна финансова помощ със съфинансиране от страна на собствениците.</w:t>
      </w:r>
    </w:p>
    <w:p w14:paraId="08D1304B"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В рамките на проекта са обновени общо 156 сгради,</w:t>
      </w:r>
      <w:r w:rsidRPr="006F3533">
        <w:rPr>
          <w:rFonts w:eastAsia="Times New Roman" w:cs="Times New Roman"/>
          <w:szCs w:val="24"/>
          <w:lang w:val="bg-BG" w:eastAsia="bg-BG"/>
        </w:rPr>
        <w:t xml:space="preserve"> като първоначално финансовият модел предвижда 50% БФП, впоследствие увеличена на 75%, а в заключителната фаза – до 100%. </w:t>
      </w:r>
      <w:r w:rsidRPr="006F3533">
        <w:rPr>
          <w:rFonts w:eastAsia="Times New Roman" w:cs="Times New Roman"/>
          <w:b/>
          <w:bCs/>
          <w:szCs w:val="24"/>
          <w:lang w:val="bg-BG" w:eastAsia="bg-BG"/>
        </w:rPr>
        <w:t>Общата стойност на предоставената безвъзмездна финансова помощ възлиза на малко над 50 млн. лв., а обновената разгъната застроена площ достига 240 692 кв. м.</w:t>
      </w:r>
      <w:r w:rsidRPr="006F3533">
        <w:rPr>
          <w:rFonts w:eastAsia="Times New Roman" w:cs="Times New Roman"/>
          <w:szCs w:val="24"/>
          <w:lang w:val="bg-BG" w:eastAsia="bg-BG"/>
        </w:rPr>
        <w:t xml:space="preserve"> Паралелно с това за още 139 договорени сгради изпълнението на строително-монтажните работи е прехвърлено към Националната програма за енергийна ефективност на многофамилни жилищни сгради (НПЕЕМЖС), което на практика бележи прехода към нов модел на изцяло публично финансиране.</w:t>
      </w:r>
    </w:p>
    <w:p w14:paraId="5C365F26"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Ключов момент в развитието на проекта е съвпадането на две събития – приключването на програмния период, респективно проекта и стартирането през 2015 г. на НПЕЕМЖС, предвиждаща 100% БФП. В този контекст държавата поема ангажимента да осигури съфинансирането в размер на 25% от стойността за обновяване на сградите, за сметка на държавния бюджет. Това решение фактически елиминира необходимостта от финансово участие на домакинствата и води до утвърждаването на модела на 100% БФП, който впоследствие доминира политиките за сградно обновяване в страната.</w:t>
      </w:r>
    </w:p>
    <w:p w14:paraId="2CED0D9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По проекта е предвидено функционирането на Фонд за жилищно обновяване</w:t>
      </w:r>
      <w:r w:rsidRPr="006F3533">
        <w:rPr>
          <w:rFonts w:eastAsia="Times New Roman" w:cs="Times New Roman"/>
          <w:szCs w:val="24"/>
          <w:vertAlign w:val="superscript"/>
          <w:lang w:val="bg-BG" w:eastAsia="bg-BG"/>
        </w:rPr>
        <w:footnoteReference w:id="46"/>
      </w:r>
      <w:r w:rsidRPr="006F3533">
        <w:rPr>
          <w:rFonts w:eastAsia="Times New Roman" w:cs="Times New Roman"/>
          <w:szCs w:val="24"/>
          <w:lang w:val="bg-BG" w:eastAsia="bg-BG"/>
        </w:rPr>
        <w:t>, замислен като инструмент за предоставяне на нисколихвени кредити и гаранции с цел подпомагане на етажните собствености/сдруженията на собствениците при осигуряването на изискуемото съфинансиране. Фондът има за цел да разработва насоки за финансови пакети, да прилага политики за оценка на кредитния риск и да подпомага посредниците при оценката на платежоспособността на етажните собствености. На практика обаче предоставяните кредити са индивидуални, а не колективни, насочени към отделни собственици, при условия и изисквания, близки до стандартните потребителски кредити на търговските банки. Това значително ограничава интереса и възможността за участие, особено в сгради с по-висок дял възрастни домакинства, ниски доходи и ограничен достъп до кредитиране</w:t>
      </w:r>
      <w:r w:rsidRPr="006F3533">
        <w:rPr>
          <w:rFonts w:eastAsia="Times New Roman" w:cs="Times New Roman"/>
          <w:szCs w:val="24"/>
          <w:vertAlign w:val="superscript"/>
          <w:lang w:val="bg-BG" w:eastAsia="bg-BG"/>
        </w:rPr>
        <w:footnoteReference w:id="47"/>
      </w:r>
      <w:r w:rsidRPr="006F3533">
        <w:rPr>
          <w:rFonts w:eastAsia="Times New Roman" w:cs="Times New Roman"/>
          <w:szCs w:val="24"/>
          <w:lang w:val="bg-BG" w:eastAsia="bg-BG"/>
        </w:rPr>
        <w:t>.</w:t>
      </w:r>
    </w:p>
    <w:p w14:paraId="1D2F636D"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Проектът прави и опит за въвеждане на </w:t>
      </w:r>
      <w:r w:rsidRPr="006F3533">
        <w:rPr>
          <w:rFonts w:eastAsia="Times New Roman" w:cs="Times New Roman"/>
          <w:b/>
          <w:bCs/>
          <w:szCs w:val="24"/>
          <w:lang w:val="bg-BG" w:eastAsia="bg-BG"/>
        </w:rPr>
        <w:t>социално насочен компонент</w:t>
      </w:r>
      <w:r w:rsidRPr="006F3533">
        <w:rPr>
          <w:rFonts w:eastAsia="Times New Roman" w:cs="Times New Roman"/>
          <w:szCs w:val="24"/>
          <w:lang w:val="bg-BG" w:eastAsia="bg-BG"/>
        </w:rPr>
        <w:t xml:space="preserve"> в модела на съфинансиране, като предвижда възможност социално уязвими домакинства да получат 100% БФП за обновяване на жилищата си, поради невъзможност да осигурят собствено съфинансиране или да се възползват от кредитните инструменти на Фонда за жилищно </w:t>
      </w:r>
      <w:r w:rsidRPr="006F3533">
        <w:rPr>
          <w:rFonts w:eastAsia="Times New Roman" w:cs="Times New Roman"/>
          <w:szCs w:val="24"/>
          <w:lang w:val="bg-BG" w:eastAsia="bg-BG"/>
        </w:rPr>
        <w:lastRenderedPageBreak/>
        <w:t>обновяване. На практика обаче процедурата е сложна, с множество рестриктивни критерии и продължителни срокове, което води до ограничен брой реално подпомогнати домакинства и минимален ефект на този механизъм</w:t>
      </w:r>
      <w:r w:rsidRPr="006F3533">
        <w:rPr>
          <w:rFonts w:eastAsia="Times New Roman" w:cs="Times New Roman"/>
          <w:szCs w:val="24"/>
          <w:vertAlign w:val="superscript"/>
          <w:lang w:val="bg-BG" w:eastAsia="bg-BG"/>
        </w:rPr>
        <w:footnoteReference w:id="48"/>
      </w:r>
      <w:r w:rsidRPr="006F3533">
        <w:rPr>
          <w:rFonts w:eastAsia="Times New Roman" w:cs="Times New Roman"/>
          <w:szCs w:val="24"/>
          <w:lang w:val="bg-BG" w:eastAsia="bg-BG"/>
        </w:rPr>
        <w:t>.</w:t>
      </w:r>
    </w:p>
    <w:p w14:paraId="3E0612F5"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Проектът „Енергийно обновяване на българските домове“ представлява ключов преходен етап в развитието на политиките за сградно обновяване в България. Той демонстрира както потенциала, така и ограниченията на моделите със съфинансиране в условията на силно фрагментирана собственост, липса на достъп до колективно кредитиране и ниска платежоспособност на част от домакинствата. Натрупаният опит ясно показва ограниченията на универсалния  модел за финансиране и подчертава необходимостта от разработване на по-гъвкави и целеви финансови инструменти, които едновременно да позволяват устойчиво мащабиране на процеса на енергийно обновяване в дългосрочен план и да осигуряват адекватна подкрепа за социално уязвими домакинства, които поради ниски доходи, възрастова структура или здравословни и социални фактори не са в състояние самостоятелно да </w:t>
      </w:r>
      <w:proofErr w:type="spellStart"/>
      <w:r w:rsidRPr="006F3533">
        <w:rPr>
          <w:rFonts w:eastAsia="Times New Roman" w:cs="Times New Roman"/>
          <w:szCs w:val="24"/>
          <w:lang w:val="bg-BG" w:eastAsia="bg-BG"/>
        </w:rPr>
        <w:t>съфинансират</w:t>
      </w:r>
      <w:proofErr w:type="spellEnd"/>
      <w:r w:rsidRPr="006F3533">
        <w:rPr>
          <w:rFonts w:eastAsia="Times New Roman" w:cs="Times New Roman"/>
          <w:szCs w:val="24"/>
          <w:lang w:val="bg-BG" w:eastAsia="bg-BG"/>
        </w:rPr>
        <w:t xml:space="preserve"> обновяването на жилищата си.</w:t>
      </w:r>
    </w:p>
    <w:p w14:paraId="0A1209FD"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Натрупаният опит от двата проекта със съфинансиране показва, че ключов фактор за реализирането на обновителни дейности в МЖС не е единствено наличието на финансов ресурс, а осигуряването на целенасочена, професионална и координирана подкрепа за етажните собствености/сдруженията на собствениците  през целия жизнен цикъл на проекта. В този контекст фигурата на т.нар. „проектен мениджър“, прилагана както в демонстрационния проект от периода 2007–2011 г., така и в проекта „Енергийно обновяване на българските домове“, представлява функционален предшественик на модела за обслужване на едно гише, който се утвърждава като добра европейска практика в политиките за сградно обновяване.</w:t>
      </w:r>
    </w:p>
    <w:p w14:paraId="7115DF3C"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Чрез проектните мениджъри собствениците получават интегрирана подкрепа, обхващаща едновременно технически, организационни, административни и финансови аспекти на процеса по обновяване. Тази подкрепа значително подпомага собствениците, ограничава риска от грешки и несъответствия с нормативната уредба и компенсира липсата на експертен капацитет на ниво сграда – дефицит, който е системно установен в анализа на жилищния фонд и тематични разработки, включително социологически проучвания извършени в рамките на проекти с европейско финансиране, като проект „</w:t>
      </w:r>
      <w:proofErr w:type="spellStart"/>
      <w:r w:rsidR="002E2FD9">
        <w:fldChar w:fldCharType="begin"/>
      </w:r>
      <w:r w:rsidR="002E2FD9">
        <w:instrText xml:space="preserve"> HYPERLINK "https://sheerenov.eu/bg/%d0%bd%d0%b0%d1%87%d0%b0%d0%bb%d0%be" </w:instrText>
      </w:r>
      <w:r w:rsidR="002E2FD9">
        <w:fldChar w:fldCharType="separate"/>
      </w:r>
      <w:r w:rsidRPr="006F3533">
        <w:rPr>
          <w:rFonts w:eastAsia="Times New Roman" w:cs="Times New Roman"/>
          <w:color w:val="0563C1"/>
          <w:szCs w:val="24"/>
          <w:u w:val="single"/>
          <w:lang w:val="bg-BG" w:eastAsia="bg-BG"/>
        </w:rPr>
        <w:t>SHEERenov</w:t>
      </w:r>
      <w:proofErr w:type="spellEnd"/>
      <w:r w:rsidR="002E2FD9">
        <w:rPr>
          <w:rFonts w:eastAsia="Times New Roman" w:cs="Times New Roman"/>
          <w:color w:val="0563C1"/>
          <w:szCs w:val="24"/>
          <w:u w:val="single"/>
          <w:lang w:val="bg-BG" w:eastAsia="bg-BG"/>
        </w:rPr>
        <w:fldChar w:fldCharType="end"/>
      </w:r>
      <w:r w:rsidRPr="006F3533">
        <w:rPr>
          <w:rFonts w:eastAsia="Times New Roman" w:cs="Times New Roman"/>
          <w:szCs w:val="24"/>
          <w:lang w:val="bg-BG" w:eastAsia="bg-BG"/>
        </w:rPr>
        <w:t xml:space="preserve"> - Интегрирани услуги за енергийно обновяване на </w:t>
      </w:r>
      <w:r w:rsidRPr="006F3533">
        <w:rPr>
          <w:rFonts w:eastAsia="Times New Roman" w:cs="Times New Roman"/>
          <w:szCs w:val="24"/>
          <w:lang w:val="bg-BG" w:eastAsia="bg-BG"/>
        </w:rPr>
        <w:lastRenderedPageBreak/>
        <w:t>жилищни сгради</w:t>
      </w:r>
      <w:r w:rsidRPr="006F3533">
        <w:rPr>
          <w:rFonts w:eastAsia="Times New Roman" w:cs="Times New Roman"/>
          <w:szCs w:val="24"/>
          <w:vertAlign w:val="superscript"/>
          <w:lang w:val="bg-BG" w:eastAsia="bg-BG"/>
        </w:rPr>
        <w:footnoteReference w:id="49"/>
      </w:r>
      <w:r w:rsidRPr="006F3533">
        <w:rPr>
          <w:rFonts w:eastAsia="Times New Roman" w:cs="Times New Roman"/>
          <w:szCs w:val="24"/>
          <w:lang w:val="bg-BG" w:eastAsia="bg-BG"/>
        </w:rPr>
        <w:t xml:space="preserve">“, проект </w:t>
      </w:r>
      <w:hyperlink r:id="rId38" w:history="1">
        <w:proofErr w:type="spellStart"/>
        <w:r w:rsidRPr="006F3533">
          <w:rPr>
            <w:rFonts w:eastAsia="Times New Roman" w:cs="Times New Roman"/>
            <w:color w:val="0563C1"/>
            <w:szCs w:val="24"/>
            <w:u w:val="single"/>
            <w:lang w:val="bg-BG" w:eastAsia="bg-BG"/>
          </w:rPr>
          <w:t>SHEERenov</w:t>
        </w:r>
        <w:proofErr w:type="spellEnd"/>
        <w:r w:rsidRPr="006F3533">
          <w:rPr>
            <w:rFonts w:eastAsia="Times New Roman" w:cs="Times New Roman"/>
            <w:color w:val="0563C1"/>
            <w:szCs w:val="24"/>
            <w:u w:val="single"/>
            <w:lang w:val="bg-BG" w:eastAsia="bg-BG"/>
          </w:rPr>
          <w:t>+</w:t>
        </w:r>
      </w:hyperlink>
      <w:r w:rsidRPr="006F3533">
        <w:rPr>
          <w:rFonts w:eastAsia="Times New Roman" w:cs="Times New Roman"/>
          <w:szCs w:val="24"/>
          <w:vertAlign w:val="superscript"/>
          <w:lang w:val="bg-BG" w:eastAsia="bg-BG"/>
        </w:rPr>
        <w:footnoteReference w:id="50"/>
      </w:r>
      <w:r w:rsidRPr="006F3533">
        <w:rPr>
          <w:rFonts w:eastAsia="Times New Roman" w:cs="Times New Roman"/>
          <w:szCs w:val="24"/>
          <w:lang w:val="bg-BG" w:eastAsia="bg-BG"/>
        </w:rPr>
        <w:t>, проект ,,</w:t>
      </w:r>
      <w:proofErr w:type="spellStart"/>
      <w:r w:rsidR="002E2FD9">
        <w:fldChar w:fldCharType="begin"/>
      </w:r>
      <w:r w:rsidR="002E2FD9">
        <w:instrText xml:space="preserve"> HYPERLINK "https://inspirenov.sheerenov.eu/bg/%d0%bd%d0%b0%d1%87%d0%b0%d0%bb%d0%be" </w:instrText>
      </w:r>
      <w:r w:rsidR="002E2FD9">
        <w:fldChar w:fldCharType="separate"/>
      </w:r>
      <w:r w:rsidRPr="006F3533">
        <w:rPr>
          <w:rFonts w:eastAsia="Times New Roman" w:cs="Times New Roman"/>
          <w:color w:val="0563C1"/>
          <w:szCs w:val="24"/>
          <w:u w:val="single"/>
          <w:lang w:val="bg-BG" w:eastAsia="bg-BG"/>
        </w:rPr>
        <w:t>INSPIRenov</w:t>
      </w:r>
      <w:proofErr w:type="spellEnd"/>
      <w:r w:rsidR="002E2FD9">
        <w:rPr>
          <w:rFonts w:eastAsia="Times New Roman" w:cs="Times New Roman"/>
          <w:color w:val="0563C1"/>
          <w:szCs w:val="24"/>
          <w:u w:val="single"/>
          <w:lang w:val="bg-BG" w:eastAsia="bg-BG"/>
        </w:rPr>
        <w:fldChar w:fldCharType="end"/>
      </w:r>
      <w:r w:rsidRPr="006F3533">
        <w:rPr>
          <w:rFonts w:eastAsia="Times New Roman" w:cs="Times New Roman"/>
          <w:szCs w:val="24"/>
          <w:lang w:val="bg-BG" w:eastAsia="bg-BG"/>
        </w:rPr>
        <w:t xml:space="preserve"> - </w:t>
      </w:r>
      <w:proofErr w:type="spellStart"/>
      <w:r w:rsidRPr="006F3533">
        <w:rPr>
          <w:rFonts w:eastAsia="Times New Roman" w:cs="Times New Roman"/>
          <w:szCs w:val="24"/>
          <w:lang w:val="bg-BG" w:eastAsia="bg-BG"/>
        </w:rPr>
        <w:t>FINancial</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Schemes</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for</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Providing</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Innovation</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in</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the</w:t>
      </w:r>
      <w:proofErr w:type="spellEnd"/>
      <w:r w:rsidRPr="006F3533">
        <w:rPr>
          <w:rFonts w:eastAsia="Times New Roman" w:cs="Times New Roman"/>
          <w:szCs w:val="24"/>
          <w:lang w:val="bg-BG" w:eastAsia="bg-BG"/>
        </w:rPr>
        <w:t xml:space="preserve"> Energy </w:t>
      </w:r>
      <w:proofErr w:type="spellStart"/>
      <w:r w:rsidRPr="006F3533">
        <w:rPr>
          <w:rFonts w:eastAsia="Times New Roman" w:cs="Times New Roman"/>
          <w:szCs w:val="24"/>
          <w:lang w:val="bg-BG" w:eastAsia="bg-BG"/>
        </w:rPr>
        <w:t>Renovation</w:t>
      </w:r>
      <w:proofErr w:type="spellEnd"/>
      <w:r w:rsidRPr="006F3533">
        <w:rPr>
          <w:rFonts w:eastAsia="Times New Roman" w:cs="Times New Roman"/>
          <w:szCs w:val="24"/>
          <w:lang w:val="bg-BG" w:eastAsia="bg-BG"/>
        </w:rPr>
        <w:t>“</w:t>
      </w:r>
      <w:r w:rsidRPr="006F3533">
        <w:rPr>
          <w:rFonts w:eastAsia="Times New Roman" w:cs="Times New Roman"/>
          <w:szCs w:val="24"/>
          <w:vertAlign w:val="superscript"/>
          <w:lang w:val="bg-BG" w:eastAsia="bg-BG"/>
        </w:rPr>
        <w:footnoteReference w:id="51"/>
      </w:r>
      <w:r w:rsidRPr="006F3533">
        <w:rPr>
          <w:rFonts w:eastAsia="Times New Roman" w:cs="Times New Roman"/>
          <w:szCs w:val="24"/>
          <w:lang w:val="bg-BG" w:eastAsia="bg-BG"/>
        </w:rPr>
        <w:t xml:space="preserve"> и др.</w:t>
      </w:r>
    </w:p>
    <w:p w14:paraId="6F220711"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Особено съществен положителен елемент, който следва да бъде отчетен като устойчива и приложима практика, е предоставянето на 100% публична финансова подкрепа за подготвителните дейности, включително енергийните и техническите обследвания и оценките за съответствие със строително-техническите изисквания. Този подход адресира една от най-сериозните начални бариери пред участието на етажните собствености – необходимостта от предварителни разходи за проектна и техническа документация, които в условията на съфинансиране често се оказват непреодолими, особено за сгради с по-ниска социално-икономическа структура на обитателите.</w:t>
      </w:r>
    </w:p>
    <w:p w14:paraId="07760433"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 по-широк план, опитът от двата проекта показва, че ефективното сградно обновяване изисква не просто предоставяне на средства, а структурирана услуга, при която етажната собственост е поставена в центъра на процеса, но не носи сама тежестта на сложните административни и технически процедури. Именно този модел на обслужване на едно гише създава условия за по-широко участие, по-високо качество на изпълнение и по-добра устойчивост на резултатите.</w:t>
      </w:r>
    </w:p>
    <w:p w14:paraId="558BD717" w14:textId="77777777" w:rsidR="00D15956" w:rsidRPr="006F3533" w:rsidRDefault="00D15956" w:rsidP="00D15956">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2. Национална програма за енергийна ефективност на многофамилните жилищни сгради (от 2015 г.)</w:t>
      </w:r>
    </w:p>
    <w:p w14:paraId="70C780E4"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От 2015 г. насам фокусът на политиките за сградно обновяване в България се концентрира почти изцяло върху Националната програма за енергийна ефективност на многофамилните жилищни сгради (НПЕЕМЖС). </w:t>
      </w:r>
      <w:r w:rsidRPr="006F3533">
        <w:rPr>
          <w:rFonts w:eastAsia="Times New Roman" w:cs="Times New Roman"/>
          <w:b/>
          <w:bCs/>
          <w:szCs w:val="24"/>
          <w:lang w:val="bg-BG" w:eastAsia="bg-BG"/>
        </w:rPr>
        <w:t>Програмата въвежда модел на 100% безвъзмездна финансова помощ</w:t>
      </w:r>
      <w:r w:rsidRPr="006F3533">
        <w:rPr>
          <w:rFonts w:eastAsia="Times New Roman" w:cs="Times New Roman"/>
          <w:szCs w:val="24"/>
          <w:lang w:val="bg-BG" w:eastAsia="bg-BG"/>
        </w:rPr>
        <w:t xml:space="preserve"> за допустимите дейности и се утвърждава като основен инструмент за обновяване на многофамилния жилищен фонд, както и като алтернативна мярка за изпълнение на националната кумулативна цел за енергийни спестявания. </w:t>
      </w:r>
    </w:p>
    <w:p w14:paraId="30A8AE7A"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От старта на НПЕЕМЖС до 31.12.2024 г. в експлоатация са въведени общо </w:t>
      </w:r>
      <w:r w:rsidRPr="006F3533">
        <w:rPr>
          <w:rFonts w:eastAsia="Times New Roman" w:cs="Times New Roman"/>
          <w:b/>
          <w:bCs/>
          <w:szCs w:val="24"/>
          <w:lang w:val="bg-BG" w:eastAsia="bg-BG"/>
        </w:rPr>
        <w:t>1 968 сгради</w:t>
      </w:r>
      <w:r w:rsidRPr="006F3533">
        <w:rPr>
          <w:rFonts w:eastAsia="Times New Roman" w:cs="Times New Roman"/>
          <w:szCs w:val="24"/>
          <w:lang w:val="bg-BG" w:eastAsia="bg-BG"/>
        </w:rPr>
        <w:t xml:space="preserve">, включващи 131 729 жилища, с обновена разгъната застроена площ от 11 139 921,59 кв. м., с бюджет от приблизително 2 млрд. лв. Част от МЖС, за които осигуреното финансиране по бюджета на НПЕЕМЖС не е достигнало, са обхванати чрез допълнителен механизъм за финансиране на база двустранно подписани споразумения между МРРБ и съответните общини. Така се предвижда обновяване на още 47 сгради на територията на шест общини – Добрич, Каварна, Пловдив, Тутракан, Хасково и Столична община, с обща прогнозна стойност 91 446 897,50 лв. с ДДС. Изпълнението и въвеждането в експлоатация на сградите следва да приключи до края на 2025 г. </w:t>
      </w:r>
    </w:p>
    <w:p w14:paraId="523A5DB4"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Съгласно рамката, разработена от МРРБ, Българската банка за развитие (ББР) изпълнява функцията на агент по плащанията, като приема заявления от сдруженията на собствениците чрез общините. Общините поемат ролята на организатор на целия </w:t>
      </w:r>
      <w:r w:rsidRPr="006F3533">
        <w:rPr>
          <w:rFonts w:eastAsia="Times New Roman" w:cs="Times New Roman"/>
          <w:szCs w:val="24"/>
          <w:lang w:val="bg-BG" w:eastAsia="bg-BG"/>
        </w:rPr>
        <w:lastRenderedPageBreak/>
        <w:t>инвестиционен процес – провеждане на обществени поръчки, възлагане, строителен и авторски надзор – и изпращат одобрените фактури за плащане към ББР. Този модел осигурява централизирано управление и контрол на публичния ресурс, но едновременно с това поставя общините в нетипична за тях роля, тъй като възложителят и собственикът на сградите са различни субекти, което поражда редица административни и организационни усложнения.</w:t>
      </w:r>
    </w:p>
    <w:p w14:paraId="2429A500"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Междинната оценка на програмата показва, че прилагането на референтни стойности на разходите за строително-ремонтни работи (СМР) на квадратен метър разгъната застроена площ е практически неизбежно при подобен мащаб на интервенция и необходимост от лесно администриране и контрол. Въпреки това, този подход не винаги е достатъчно прецизен и не отчита в пълна степен спецификите на сградния фонд. Натрупаната практика ясно показва, че при формулиране на бъдещи референтни стойности е целесъобразно, освен етажността, да се въведе допълнителен критерий – тип покрив/година на въвеждане в експлоатация и др., тъй като част от сгради изискват значително по-високи разходи за съпътстващи дейности. Анализът на изпълнението на НПЕЕМЖС показва също, че програмата обхваща и се опитва да решава едновременно проблеми от различно естество и характер – от конструктивна устойчивост на сградите, през базови мерки за енергийна ефективност, до интегриране на възобновяеми енергийни източници. Този „универсален“ подход ограничава ефективността и гъвкавостта на интервенциите. В тази връзка по-ефективен и ефикасен би бил модел на паралелно действащи програми с ясно фокусирани цели – например отделни инструменти за сгради с конструктивни проблеми, за сгради, нуждаещи се от базови енергоспестяващи мерки, и за сгради с по-амбициозни собственици, стремящи се към по-високи цели по отношение на енергийната ефективност – и с различен интензитет на публичната подкрепа.</w:t>
      </w:r>
    </w:p>
    <w:p w14:paraId="6CABA5F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Организационните затруднения при прилагането на НПЕЕМЖС са свързани основно със сложността на правилата и процедурите, както и с ограничен административен капацитет в част от участващите институции. Определените по програмата роли и отговорности поставят участниците в нетипични за тях позиции, като особено показателен е случаят с прилагането на разпоредбите на Закона за устройство на територията, който изхожда от презумпцията, че възложителят на СМР и собственикът са едно и също лице – предпоставка, която не е валидна при МЖС в контекста на програмата.</w:t>
      </w:r>
    </w:p>
    <w:p w14:paraId="100B2B6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За разлика от предходните програми със съфинансиране, в рамките на НПЕЕМЖС не се формира пазар на икономически оператори в ролята на „проектен мениджър“ или специализиран посредник, който да предоставя професионална помощ на етажните собствености през целия процес на обновяване. Това е логично следствие от факта, че обновяването се реализира изцяло с публичен финансов и административен ресурс. В перспектива обаче, при преминаване към модели със съфинансиране, липсата на подобни структури се очертава като сериозна празнина. Не случайно една от мерките, заложени в стратегическата рамка на Дългосрочната стратегия за обновяване на сградния фонд до 2050 г., е утвърждаването на нормативна уредба, насърчаваща професионалното управление и поддръжка на сградните фондове.</w:t>
      </w:r>
    </w:p>
    <w:p w14:paraId="178D08A1"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Въпреки посочените слабости, резултатите от изследванията и оценките показват, че освен материалните подобрения, НПЕЕМЖС е допринесла и за нематериални ефекти – </w:t>
      </w:r>
      <w:r w:rsidRPr="006F3533">
        <w:rPr>
          <w:rFonts w:eastAsia="Times New Roman" w:cs="Times New Roman"/>
          <w:szCs w:val="24"/>
          <w:lang w:val="bg-BG" w:eastAsia="bg-BG"/>
        </w:rPr>
        <w:lastRenderedPageBreak/>
        <w:t>подобряване на съседските взаимоотношения, преодоляване на предразсъдъци относно колективното управление и повишаване на доверието в сдруженията на собствениците като инструмент за управление на етажната собственост.</w:t>
      </w:r>
    </w:p>
    <w:p w14:paraId="1890C5C8" w14:textId="77777777" w:rsidR="00D15956" w:rsidRPr="006F3533" w:rsidRDefault="00220456" w:rsidP="00D15956">
      <w:pPr>
        <w:spacing w:line="240" w:lineRule="auto"/>
        <w:jc w:val="both"/>
        <w:rPr>
          <w:rFonts w:eastAsia="Times New Roman" w:cs="Times New Roman"/>
          <w:szCs w:val="24"/>
          <w:lang w:val="bg-BG" w:eastAsia="bg-BG"/>
        </w:rPr>
      </w:pPr>
      <w:hyperlink r:id="rId39" w:history="1">
        <w:r w:rsidR="00D15956" w:rsidRPr="006F3533">
          <w:rPr>
            <w:rFonts w:eastAsia="Times New Roman" w:cs="Times New Roman"/>
            <w:color w:val="0563C1"/>
            <w:szCs w:val="24"/>
            <w:u w:val="single"/>
            <w:lang w:val="bg-BG" w:eastAsia="bg-BG"/>
          </w:rPr>
          <w:t>Докладът</w:t>
        </w:r>
      </w:hyperlink>
      <w:r w:rsidR="00D15956" w:rsidRPr="006F3533">
        <w:rPr>
          <w:rFonts w:eastAsia="Times New Roman" w:cs="Times New Roman"/>
          <w:szCs w:val="24"/>
          <w:vertAlign w:val="superscript"/>
          <w:lang w:val="bg-BG" w:eastAsia="bg-BG"/>
        </w:rPr>
        <w:footnoteReference w:id="52"/>
      </w:r>
      <w:r w:rsidR="00D15956" w:rsidRPr="006F3533">
        <w:rPr>
          <w:rFonts w:eastAsia="Times New Roman" w:cs="Times New Roman"/>
          <w:szCs w:val="24"/>
          <w:lang w:val="bg-BG" w:eastAsia="bg-BG"/>
        </w:rPr>
        <w:t xml:space="preserve"> на Световната банка дава положителна, но балансирана оценка на програмата, като подчертава, че тя е демонстрирала ползите от обновяването за постигане на енергийна ефективност, подобрила е комфорта на обитателите, намалила е сметките за енергия и е повишила удовлетвореността от сградите. В същото време в доклада ясно са очертани направленията за подобрение, включително необходимостта от по-устойчиви и </w:t>
      </w:r>
      <w:proofErr w:type="spellStart"/>
      <w:r w:rsidR="00D15956" w:rsidRPr="006F3533">
        <w:rPr>
          <w:rFonts w:eastAsia="Times New Roman" w:cs="Times New Roman"/>
          <w:szCs w:val="24"/>
          <w:lang w:val="bg-BG" w:eastAsia="bg-BG"/>
        </w:rPr>
        <w:t>мащабируеми</w:t>
      </w:r>
      <w:proofErr w:type="spellEnd"/>
      <w:r w:rsidR="00D15956" w:rsidRPr="006F3533">
        <w:rPr>
          <w:rFonts w:eastAsia="Times New Roman" w:cs="Times New Roman"/>
          <w:szCs w:val="24"/>
          <w:lang w:val="bg-BG" w:eastAsia="bg-BG"/>
        </w:rPr>
        <w:t xml:space="preserve"> финансови механизми, постепенно намаляване на дела на безвъзмездната помощ чрез увеличаване на приноса на етажните собствености, подобряване на техническото качество и надзора, както и прилагане на повече „меки“ мерки – стандартизирани задания, засилен мониторинг, енергиен контрол след обновяване, обучение на участниците и по-широко обществено информиране.</w:t>
      </w:r>
    </w:p>
    <w:p w14:paraId="05005377"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НПЕЕМЖС представлява ключов етап в развитието на политиките за сградно обновяване в България. Тя постига значителни количествени и качествени резултати, но едновременно с това ясно очертава границите на изцяло </w:t>
      </w:r>
      <w:proofErr w:type="spellStart"/>
      <w:r w:rsidRPr="006F3533">
        <w:rPr>
          <w:rFonts w:eastAsia="Times New Roman" w:cs="Times New Roman"/>
          <w:szCs w:val="24"/>
          <w:lang w:val="bg-BG" w:eastAsia="bg-BG"/>
        </w:rPr>
        <w:t>грантовия</w:t>
      </w:r>
      <w:proofErr w:type="spellEnd"/>
      <w:r w:rsidRPr="006F3533">
        <w:rPr>
          <w:rFonts w:eastAsia="Times New Roman" w:cs="Times New Roman"/>
          <w:szCs w:val="24"/>
          <w:lang w:val="bg-BG" w:eastAsia="bg-BG"/>
        </w:rPr>
        <w:t xml:space="preserve"> модел и необходимостта от еволюция към по-устойчиви, диференцирани и социално чувствителни финансови инструменти.</w:t>
      </w:r>
    </w:p>
    <w:p w14:paraId="788EAC7B" w14:textId="77777777" w:rsidR="00D15956" w:rsidRPr="006F3533" w:rsidRDefault="00D15956" w:rsidP="00D15956">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Проекти по приоритетна ос 1 и 2 на Оперативна програма „Региони в растеж“ 2014–2020 г.</w:t>
      </w:r>
    </w:p>
    <w:p w14:paraId="147BE9FD"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Реализацията на проектите по приоритетни оси 1 и 2 на ОПРР 2014–2020 г. съвпада във времето с действието на НПЕЕМЖС и следва сходна философия на публична интервенция. И в двата случая обновяването на многофамилните жилищни сгради се осъществява при условия на 100% безвъзмездна финансова помощ за допустимите дейности и при пълно администриране на процеса от страна на публичните власти. Това създава паралелна линия на финансиране, която разширява териториалния и типологичния обхват на обновяването, но едновременно с това възпроизвежда редица от системните характеристики и ограничения на изцяло </w:t>
      </w:r>
      <w:proofErr w:type="spellStart"/>
      <w:r w:rsidRPr="006F3533">
        <w:rPr>
          <w:rFonts w:eastAsia="Times New Roman" w:cs="Times New Roman"/>
          <w:szCs w:val="24"/>
          <w:lang w:val="bg-BG" w:eastAsia="bg-BG"/>
        </w:rPr>
        <w:t>грантовия</w:t>
      </w:r>
      <w:proofErr w:type="spellEnd"/>
      <w:r w:rsidRPr="006F3533">
        <w:rPr>
          <w:rFonts w:eastAsia="Times New Roman" w:cs="Times New Roman"/>
          <w:szCs w:val="24"/>
          <w:lang w:val="bg-BG" w:eastAsia="bg-BG"/>
        </w:rPr>
        <w:t xml:space="preserve"> модел.</w:t>
      </w:r>
    </w:p>
    <w:p w14:paraId="70CC59C3"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По приоритетна ос 1 „Устойчиво и интегрирано градско развитие“, с общ бюджет от 840,4 млн. евро, се финансират проекти, заложени в Интегрираните планове за градско възстановяване и развитие на административните центрове на 39 общини на големите и средно големите градове в страната. В рамките на тази приоритетна ос са </w:t>
      </w:r>
      <w:r w:rsidRPr="006F3533">
        <w:rPr>
          <w:rFonts w:eastAsia="Times New Roman" w:cs="Times New Roman"/>
          <w:b/>
          <w:bCs/>
          <w:szCs w:val="24"/>
          <w:lang w:val="bg-BG" w:eastAsia="bg-BG"/>
        </w:rPr>
        <w:t>обновени 219</w:t>
      </w:r>
      <w:r w:rsidRPr="006F3533">
        <w:rPr>
          <w:rFonts w:eastAsia="Times New Roman" w:cs="Times New Roman"/>
          <w:szCs w:val="24"/>
          <w:lang w:val="bg-BG" w:eastAsia="bg-BG"/>
        </w:rPr>
        <w:t xml:space="preserve"> </w:t>
      </w:r>
      <w:r w:rsidRPr="006F3533">
        <w:rPr>
          <w:rFonts w:eastAsia="Times New Roman" w:cs="Times New Roman"/>
          <w:b/>
          <w:bCs/>
          <w:szCs w:val="24"/>
          <w:lang w:val="bg-BG" w:eastAsia="bg-BG"/>
        </w:rPr>
        <w:t>МЖС с общ бюджет от приблизително 55 млн. лв.</w:t>
      </w:r>
      <w:r w:rsidRPr="006F3533">
        <w:rPr>
          <w:rFonts w:eastAsia="Times New Roman" w:cs="Times New Roman"/>
          <w:szCs w:val="24"/>
          <w:lang w:val="bg-BG" w:eastAsia="bg-BG"/>
        </w:rPr>
        <w:t xml:space="preserve"> Макар относително скромен като брой спрямо мащаба на Националната програма, този резултат допринася за по-балансирано териториално разпределение на публичната подкрепа и за интегриране на енергийната ефективност в по-широки градски политики.</w:t>
      </w:r>
    </w:p>
    <w:p w14:paraId="6A9C794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Приоритетна ос 2 „Подкрепа за енергийна ефективност в опорни центрове в периферни райони“ е насочена към малки градове и опорни центрове в периферни райони. По тази ос се финансират проекти за енергийна ефективност в жилищни и публични сгради, включително общински обекти от социалната, образователната и културната инфраструктура. Конкретни бенефициенти са 28 общини, като общият бюджет за </w:t>
      </w:r>
      <w:r w:rsidRPr="006F3533">
        <w:rPr>
          <w:rFonts w:eastAsia="Times New Roman" w:cs="Times New Roman"/>
          <w:szCs w:val="24"/>
          <w:lang w:val="bg-BG" w:eastAsia="bg-BG"/>
        </w:rPr>
        <w:lastRenderedPageBreak/>
        <w:t xml:space="preserve">обновяване на жилищни сгради възлиза на около 135 млн. лв., а броят на обновените сгради достига 574. Изпълнението на приоритетната ос е осъществено чрез три последователни процедури за подбор на проекти, което позволява поетапно усвояване на ресурса. Особено показателна за бъдещото развитие на политиките за сградно обновяване е практиката, приложена в рамките на третата процедура. Част от общините, които не разполагат със собствен финансов ресурс за покриване на подготвителните дейности – обследвания за енергийна ефективност и инвестиционно проектиране – въвеждат изискване кандидатстващите сдружения на собствениците да подават заявления за участие с вече изготвени технически проекти. Това означава, че собствениците сами организират и финансират подготвителните дейности, избирайки доставчици на услуги на пазарен принцип. Тази практика представлява важен емпиричен аргумент за </w:t>
      </w:r>
      <w:proofErr w:type="spellStart"/>
      <w:r w:rsidRPr="006F3533">
        <w:rPr>
          <w:rFonts w:eastAsia="Times New Roman" w:cs="Times New Roman"/>
          <w:szCs w:val="24"/>
          <w:lang w:val="bg-BG" w:eastAsia="bg-BG"/>
        </w:rPr>
        <w:t>реализуемостта</w:t>
      </w:r>
      <w:proofErr w:type="spellEnd"/>
      <w:r w:rsidRPr="006F3533">
        <w:rPr>
          <w:rFonts w:eastAsia="Times New Roman" w:cs="Times New Roman"/>
          <w:szCs w:val="24"/>
          <w:lang w:val="bg-BG" w:eastAsia="bg-BG"/>
        </w:rPr>
        <w:t xml:space="preserve"> на пазарно-ориентиран модел за сградно обновяване. Положителните ефекти се изразяват в съкращаване на сроковете за подготовка и изпълнение, тъй като се избягва необходимостта от провеждане на обществени поръчки от страна на общините за обследвания и проектиране. В допълнение, активното участие на частния бизнес, предлагащ тези услуги, допринася за по-бързи и навременни резултати и за достигане до по-широк кръг потенциални бенефициенти. Не на последно място, изискването за финансово участие в подготвителния етап повишава ангажираността и отговорността на собствениците и създава предпоставки за по-устойчиво участие в последващи схеми за съфинансиране.</w:t>
      </w:r>
    </w:p>
    <w:p w14:paraId="0FE5D1A5" w14:textId="77777777" w:rsidR="00D15956"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Опитът от приоритетни оси 1 и 2 на ОПРР 2014–2020 г. ясно показва, че макар изцяло </w:t>
      </w:r>
      <w:proofErr w:type="spellStart"/>
      <w:r w:rsidRPr="006F3533">
        <w:rPr>
          <w:rFonts w:eastAsia="Times New Roman" w:cs="Times New Roman"/>
          <w:szCs w:val="24"/>
          <w:lang w:val="bg-BG" w:eastAsia="bg-BG"/>
        </w:rPr>
        <w:t>грантовият</w:t>
      </w:r>
      <w:proofErr w:type="spellEnd"/>
      <w:r w:rsidRPr="006F3533">
        <w:rPr>
          <w:rFonts w:eastAsia="Times New Roman" w:cs="Times New Roman"/>
          <w:szCs w:val="24"/>
          <w:lang w:val="bg-BG" w:eastAsia="bg-BG"/>
        </w:rPr>
        <w:t xml:space="preserve"> модел да е ефективен за бързо постигане на видими резултати, съществуват работещи междинни решения, които комбинират публична подкрепа с пазарни механизми и ограничено финансово участие на собствениците. Именно тези решения очертават потенциална посока за бъдещи политики, насочени към по-устойчиво и </w:t>
      </w:r>
      <w:proofErr w:type="spellStart"/>
      <w:r w:rsidRPr="006F3533">
        <w:rPr>
          <w:rFonts w:eastAsia="Times New Roman" w:cs="Times New Roman"/>
          <w:szCs w:val="24"/>
          <w:lang w:val="bg-BG" w:eastAsia="bg-BG"/>
        </w:rPr>
        <w:t>мащабируемо</w:t>
      </w:r>
      <w:proofErr w:type="spellEnd"/>
      <w:r w:rsidRPr="006F3533">
        <w:rPr>
          <w:rFonts w:eastAsia="Times New Roman" w:cs="Times New Roman"/>
          <w:szCs w:val="24"/>
          <w:lang w:val="bg-BG" w:eastAsia="bg-BG"/>
        </w:rPr>
        <w:t xml:space="preserve"> обновяване на жилищния фонд в страната.</w:t>
      </w:r>
    </w:p>
    <w:p w14:paraId="29AED82A" w14:textId="77777777" w:rsidR="00925FB6" w:rsidRPr="006F3533" w:rsidRDefault="00925FB6" w:rsidP="00D15956">
      <w:pPr>
        <w:spacing w:line="240" w:lineRule="auto"/>
        <w:jc w:val="both"/>
        <w:rPr>
          <w:rFonts w:eastAsia="Times New Roman" w:cs="Times New Roman"/>
          <w:szCs w:val="24"/>
          <w:lang w:val="bg-BG" w:eastAsia="bg-BG"/>
        </w:rPr>
      </w:pPr>
    </w:p>
    <w:p w14:paraId="7EA85E89" w14:textId="77777777" w:rsidR="00D15956" w:rsidRPr="006F3533" w:rsidRDefault="00D15956" w:rsidP="00D15956">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3. Национален план за възстановяване и устойчивост (НПВУ)</w:t>
      </w:r>
    </w:p>
    <w:p w14:paraId="1C3FA56F"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Съвременният етап на политиките за енергийно обновяване на МЖС се характеризира с интегрирането на националната практика в рамката на Механизма за възстановяване и устойчивост. В рамките на НПВУ подходът на преобладаващо </w:t>
      </w:r>
      <w:proofErr w:type="spellStart"/>
      <w:r w:rsidRPr="006F3533">
        <w:rPr>
          <w:rFonts w:eastAsia="Times New Roman" w:cs="Times New Roman"/>
          <w:szCs w:val="24"/>
          <w:lang w:val="bg-BG" w:eastAsia="bg-BG"/>
        </w:rPr>
        <w:t>грантово</w:t>
      </w:r>
      <w:proofErr w:type="spellEnd"/>
      <w:r w:rsidRPr="006F3533">
        <w:rPr>
          <w:rFonts w:eastAsia="Times New Roman" w:cs="Times New Roman"/>
          <w:szCs w:val="24"/>
          <w:lang w:val="bg-BG" w:eastAsia="bg-BG"/>
        </w:rPr>
        <w:t xml:space="preserve"> финансиране е запазен, но допълнен с опит за поетапно въвеждане на съфинансиране. По своя замисъл двата етапа на инвестицията „Подкрепа за устойчиво енергийно обновяване на жилищния сграден фонд“ отразяват еволюцията на националната политика – от масово подпомагане с пълна публична подкрепа към намерение за преход към смесена схема, която да подготви пазара и домакинствата за бъдещи финансови инструменти (кредити, гаранции и целеви фондове) и за постепенно намаляване на зависимостта от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xml:space="preserve"> ресурс.</w:t>
      </w:r>
    </w:p>
    <w:p w14:paraId="50BA49F2"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Етап I,</w:t>
      </w:r>
      <w:r w:rsidRPr="006F3533">
        <w:rPr>
          <w:rFonts w:eastAsia="Times New Roman" w:cs="Times New Roman"/>
          <w:szCs w:val="24"/>
          <w:lang w:val="bg-BG" w:eastAsia="bg-BG"/>
        </w:rPr>
        <w:t xml:space="preserve"> обявен в края на 2022 г., разполага със значително по-голям бюджет </w:t>
      </w:r>
      <w:r w:rsidRPr="006F3533">
        <w:rPr>
          <w:rFonts w:eastAsia="Times New Roman" w:cs="Times New Roman"/>
          <w:b/>
          <w:bCs/>
          <w:szCs w:val="24"/>
          <w:lang w:val="bg-BG" w:eastAsia="bg-BG"/>
        </w:rPr>
        <w:t>(1 129 881 600 лв.)</w:t>
      </w:r>
      <w:r w:rsidRPr="006F3533">
        <w:rPr>
          <w:rFonts w:eastAsia="Times New Roman" w:cs="Times New Roman"/>
          <w:szCs w:val="24"/>
          <w:lang w:val="bg-BG" w:eastAsia="bg-BG"/>
        </w:rPr>
        <w:t xml:space="preserve"> и фактически изпълняваше ролята на „наследник“ на националната програма. Основната му цел е постигане на широк обхват на обновени сгради, но вече при по-строги условия, съобразени с европейските изисквания: минимум 30% спестяване на първична енергия, достигане на енергиен клас „В“ и съответствие с принципа за „</w:t>
      </w:r>
      <w:proofErr w:type="spellStart"/>
      <w:r w:rsidRPr="006F3533">
        <w:rPr>
          <w:rFonts w:eastAsia="Times New Roman" w:cs="Times New Roman"/>
          <w:szCs w:val="24"/>
          <w:lang w:val="bg-BG" w:eastAsia="bg-BG"/>
        </w:rPr>
        <w:t>ненанасяне</w:t>
      </w:r>
      <w:proofErr w:type="spellEnd"/>
      <w:r w:rsidRPr="006F3533">
        <w:rPr>
          <w:rFonts w:eastAsia="Times New Roman" w:cs="Times New Roman"/>
          <w:szCs w:val="24"/>
          <w:lang w:val="bg-BG" w:eastAsia="bg-BG"/>
        </w:rPr>
        <w:t xml:space="preserve"> на значителна вреда“ (DNSH). Този етап има ясно изразен демонстрационен характер – да покаже осезаеми ползи за домакинствата и да създаде </w:t>
      </w:r>
      <w:r w:rsidRPr="006F3533">
        <w:rPr>
          <w:rFonts w:eastAsia="Times New Roman" w:cs="Times New Roman"/>
          <w:szCs w:val="24"/>
          <w:lang w:val="bg-BG" w:eastAsia="bg-BG"/>
        </w:rPr>
        <w:lastRenderedPageBreak/>
        <w:t>доверие, че обновяването е реалистично постижимо и управляемо като процес. В него ангажиментът на собствениците е предимно организационен: учредяване на сдружения на собствениците, осигуряване на необходимите обследвания, взаимодействие с общините и изпълнение на административните изисквания в партньорски модел, при който местната власт функционира като администратор на процедурата и водещ партньор.</w:t>
      </w:r>
    </w:p>
    <w:p w14:paraId="15B3B2B7"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Етап II,</w:t>
      </w:r>
      <w:r w:rsidRPr="006F3533">
        <w:rPr>
          <w:rFonts w:eastAsia="Times New Roman" w:cs="Times New Roman"/>
          <w:szCs w:val="24"/>
          <w:lang w:val="bg-BG" w:eastAsia="bg-BG"/>
        </w:rPr>
        <w:t xml:space="preserve"> обявен през юни 2023 г., първоначално е замислен като преход към по-устойчива финансова рамка – 80% БФП и 20% самоучастие от страна на сдруженията на собствениците. Логиката на този дизайн е постепенно въвеждане на принципа на съфинансиране и създаване на предпоставки за последващо развитие на финансови инструменти и пазарни механизми за сградно обновяване. На практика обаче етапът срещна ниска активност, която ясно показа разминаване между целевия модел и реалните възможности на участниците: липсва специализиран кредитен продукт, който да адресира нуждите на етажните собствености като колективни субекти, липсват работещи механизми за подкрепа на енергийно бедни и социално уязвими домакинства, а в много сгради съжителстват домакинства с различни доходи и различна готовност за поемане на финансов ангажимент. Този профил е напълно предвидим на фона на статистически установените характеристики на жилищния фонд – висока концентрация на собственост във физически лица, значителен дял възрастни и малки домакинства и ограничена финансова устойчивост на част от собствениците, особено в по-големи МЖС.</w:t>
      </w:r>
    </w:p>
    <w:p w14:paraId="29DBDC3E"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Данните за подадените и одобрените проектни предложения потвърждават възпиращия ефект на първоначално планираното съфинансиране. </w:t>
      </w:r>
      <w:r w:rsidRPr="006F3533">
        <w:rPr>
          <w:rFonts w:eastAsia="Times New Roman" w:cs="Times New Roman"/>
          <w:b/>
          <w:bCs/>
          <w:szCs w:val="24"/>
          <w:lang w:val="bg-BG" w:eastAsia="bg-BG"/>
        </w:rPr>
        <w:t>При Етап I са подадени 3 061 предложения и одобрени 761 сгради с РЗП 4 057 648 кв.м., докато при Етап II подадените са 309, а одобрените – 287 сгради с РЗП 497 208 кв.м. (общо 3 370 подадени и 1 048 одобрени предложения/сгради).</w:t>
      </w:r>
      <w:r w:rsidRPr="006F3533">
        <w:rPr>
          <w:rFonts w:eastAsia="Times New Roman" w:cs="Times New Roman"/>
          <w:szCs w:val="24"/>
          <w:lang w:val="bg-BG" w:eastAsia="bg-BG"/>
        </w:rPr>
        <w:t xml:space="preserve"> Разликата в активността е почти десетократна и ясно показва, че дори относително ограничено самоучастие може да блокира търсенето, </w:t>
      </w:r>
      <w:r w:rsidRPr="006F3533">
        <w:rPr>
          <w:rFonts w:eastAsia="Times New Roman" w:cs="Times New Roman"/>
          <w:b/>
          <w:bCs/>
          <w:szCs w:val="24"/>
          <w:lang w:val="bg-BG" w:eastAsia="bg-BG"/>
        </w:rPr>
        <w:t>когато не е подкрепено от достъпни финансови механизми и предвидима институционална рамка.</w:t>
      </w:r>
      <w:r w:rsidRPr="006F3533">
        <w:rPr>
          <w:rFonts w:eastAsia="Times New Roman" w:cs="Times New Roman"/>
          <w:szCs w:val="24"/>
          <w:lang w:val="bg-BG" w:eastAsia="bg-BG"/>
        </w:rPr>
        <w:t xml:space="preserve"> Допълнителен фактор за ниската активност по Етап II е изчаквателното поведение, усилено от противоречиви сигнали в публичното пространство за предстоящо „връщане“ към 100% финансиране в бъдещи схеми. Това подчертава колко силно програмите за обновяване зависят от доверие, стабилност на правилата и последователна комуникация – условия, без които и добре проектираните механизми трудно постигат масово участие.</w:t>
      </w:r>
    </w:p>
    <w:p w14:paraId="729CEE1E"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Впоследствие, е взето решение финансовите параметри на Етап II да бъдат променени така, че и той да се реализира при 100% безвъзмездно финансиране. Това показва системен проблем: въвеждането на съфинансиране не може да бъде „административно решение“, ако не е придружено от реален пазарен инструментариум, включително кредитиране на сдруженията на собствениците, гаранционни механизми и работещи модели за защита на уязвимите групи, които иначе остават извън обхвата на обновяването.</w:t>
      </w:r>
    </w:p>
    <w:p w14:paraId="0967EC90"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Опитът от НПВУ потвърждава и значението на ранната подготовка като решаващ фактор за успеваемост. Общините, които поемат организацията и/или финансирането на обследванията (енергийно и техническото) и работят активно за ускоряване на подготвителните дейности, отчитат висок дял одобрени проекти и високо усвояване на </w:t>
      </w:r>
      <w:r w:rsidRPr="006F3533">
        <w:rPr>
          <w:rFonts w:eastAsia="Times New Roman" w:cs="Times New Roman"/>
          <w:szCs w:val="24"/>
          <w:lang w:val="bg-BG" w:eastAsia="bg-BG"/>
        </w:rPr>
        <w:lastRenderedPageBreak/>
        <w:t>бюджета по Етап I. Това показва, че публичната подкрепа в началния етап на процеса може да действа като „мултипликатор“ – преодолява първата бариера пред етажните собствености (липса на средства и капацитет за обследвания и документация) и увеличава вероятността проектите да преминат успешно оценката. В същото време има и общини с добри резултати без пряко финансиране на обследванията, което подсказва, че ефективната местна роля не е задължително свързана с разходи, а с навременна методическа помощ, координация, ясна комуникация и организационна подкрепа. Точно тук се откроява значението на структурите за обслужване „на едно гише“ и координираната техническа помощ – когато тя е налична и добре организирана, сдруженията на собствениците могат да се справят самостоятелно, когато липсва, натоварването и рискът се прехвърлят върху домакинствата и това води до неравнопоставеност между участниците и до ограничено участие.</w:t>
      </w:r>
    </w:p>
    <w:p w14:paraId="72EB06EF"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За разлика от Етап I, при Етап II не се наблюдава аналогична общинска подкрепа за подготвителните дейности в същия мащаб, което на практика поставя кандидатите в двата етапа в асиметрични условия: едни получават институционално „ускорение“ още в началото, а други са оставени да осигурят самостоятелно средства и експертна помощ при по-сложни изисквания и първоначално предвидено съфинансиране. </w:t>
      </w:r>
      <w:r w:rsidRPr="006F3533">
        <w:rPr>
          <w:rFonts w:eastAsia="Times New Roman" w:cs="Times New Roman"/>
          <w:b/>
          <w:bCs/>
          <w:szCs w:val="24"/>
          <w:lang w:val="bg-BG" w:eastAsia="bg-BG"/>
        </w:rPr>
        <w:t>Това неравновесие повдига ключов въпрос за бъдещото програмиране:</w:t>
      </w:r>
      <w:r w:rsidRPr="006F3533">
        <w:rPr>
          <w:rFonts w:eastAsia="Times New Roman" w:cs="Times New Roman"/>
          <w:szCs w:val="24"/>
          <w:lang w:val="bg-BG" w:eastAsia="bg-BG"/>
        </w:rPr>
        <w:t xml:space="preserve"> устойчивият модел на обновяване не е само въпрос на процент БФП, а на гарантиран равен достъп до информация, предварителна техническа помощ, подготвителни дейности и предвидими правила. Без такава рамка всяка бъдеща стъпка към съфинансиране ще генерира ниска активност, изчаквателно поведение и социално напрежение между групите собственици и между общините с различен административен капацитет.</w:t>
      </w:r>
    </w:p>
    <w:p w14:paraId="3D75E8A0"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НПВУ затвърждава две ключови поуки за бъдещите политики за сградно обновяване. Първо, </w:t>
      </w:r>
      <w:proofErr w:type="spellStart"/>
      <w:r w:rsidRPr="006F3533">
        <w:rPr>
          <w:rFonts w:eastAsia="Times New Roman" w:cs="Times New Roman"/>
          <w:szCs w:val="24"/>
          <w:lang w:val="bg-BG" w:eastAsia="bg-BG"/>
        </w:rPr>
        <w:t>грантовият</w:t>
      </w:r>
      <w:proofErr w:type="spellEnd"/>
      <w:r w:rsidRPr="006F3533">
        <w:rPr>
          <w:rFonts w:eastAsia="Times New Roman" w:cs="Times New Roman"/>
          <w:szCs w:val="24"/>
          <w:lang w:val="bg-BG" w:eastAsia="bg-BG"/>
        </w:rPr>
        <w:t xml:space="preserve"> подход осигурява висока активност и бързи резултати, но не изгражда сам по себе си устойчивост и </w:t>
      </w:r>
      <w:proofErr w:type="spellStart"/>
      <w:r w:rsidRPr="006F3533">
        <w:rPr>
          <w:rFonts w:eastAsia="Times New Roman" w:cs="Times New Roman"/>
          <w:szCs w:val="24"/>
          <w:lang w:val="bg-BG" w:eastAsia="bg-BG"/>
        </w:rPr>
        <w:t>мащабируемост</w:t>
      </w:r>
      <w:proofErr w:type="spellEnd"/>
      <w:r w:rsidRPr="006F3533">
        <w:rPr>
          <w:rFonts w:eastAsia="Times New Roman" w:cs="Times New Roman"/>
          <w:szCs w:val="24"/>
          <w:lang w:val="bg-BG" w:eastAsia="bg-BG"/>
        </w:rPr>
        <w:t xml:space="preserve">, ако паралелно не се развиват финансови инструменти и професионална подкрепа за етажните собствености. Второ, въвеждането на съфинансиране е възможно само ако е подкрепено от реална инфраструктура – целеви кредитни продукти за етажни собствености, механизми за гарантиране и защита на уязвимите домакинства, както и стабилен модел за обслужване „на едно гише“, който да намалява организационния риск за гражданите. Именно тази комбинация е предпоставка бъдещите програми да преминат от епизодично </w:t>
      </w:r>
      <w:proofErr w:type="spellStart"/>
      <w:r w:rsidRPr="006F3533">
        <w:rPr>
          <w:rFonts w:eastAsia="Times New Roman" w:cs="Times New Roman"/>
          <w:szCs w:val="24"/>
          <w:lang w:val="bg-BG" w:eastAsia="bg-BG"/>
        </w:rPr>
        <w:t>грантово</w:t>
      </w:r>
      <w:proofErr w:type="spellEnd"/>
      <w:r w:rsidRPr="006F3533">
        <w:rPr>
          <w:rFonts w:eastAsia="Times New Roman" w:cs="Times New Roman"/>
          <w:szCs w:val="24"/>
          <w:lang w:val="bg-BG" w:eastAsia="bg-BG"/>
        </w:rPr>
        <w:t xml:space="preserve"> обновяване към дългосрочен, предвидим и социално справедлив модел.</w:t>
      </w:r>
    </w:p>
    <w:p w14:paraId="6F6A07E1"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В програмния период 2021–2027 г. Програма „Развитие на регионите“ (ПРР)</w:t>
      </w:r>
      <w:r w:rsidRPr="006F3533">
        <w:rPr>
          <w:rFonts w:eastAsia="Times New Roman" w:cs="Times New Roman"/>
          <w:szCs w:val="24"/>
          <w:lang w:val="bg-BG" w:eastAsia="bg-BG"/>
        </w:rPr>
        <w:t xml:space="preserve"> предвижда целеви финансов ресурс за обновяване на МЖС в рамките на три приоритета. Подходът по ПРР запазва доминиращата роля на БФП и високата степен на публично администриране на процеса.</w:t>
      </w:r>
    </w:p>
    <w:p w14:paraId="51BD4710"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По Приоритет 1 „Интегрирано градско развитие“ е предвиден ресурс от приблизително 26 млн. лв. за обновяване на около 45 сгради с прогнозна обновена РЗП от около 95 484 кв. м. В рамките на този приоритет е обявена процедура „Подкрепа за интегрирано градско развитие в 10-те градски общини – основни центрове на растеж“, която обхваща широк спектър от допустими дейности – от инфраструктурни мерки за насърчаване на икономическата активност, през енергийна ефективност и устойчиво обновяване на жилищни и обществени сгради (включително студентски и ученически общежития), до устойчива и градска мобилност и т.н. За проектите за енергийна ефективност на </w:t>
      </w:r>
      <w:r w:rsidRPr="006F3533">
        <w:rPr>
          <w:rFonts w:eastAsia="Times New Roman" w:cs="Times New Roman"/>
          <w:szCs w:val="24"/>
          <w:lang w:val="bg-BG" w:eastAsia="bg-BG"/>
        </w:rPr>
        <w:lastRenderedPageBreak/>
        <w:t>жилищни и обществени сгради по тази процедура е въведено изискване за 5% съфинансиране на допустимите разходи. Практическото изпълнение към момента показва обаче ограничен интерес и реализация в жилищния сектор – справка в ИСУН сочи, че сред сключените договори за БФП единствено община Видин има подписани договори за енергийна ефективност в МЖС (4 договора на обща стойност 11,3 млн. лв.), докато останалите договори са насочени към други допустими дейности по процедурата. Това потвърждава, че при широки интегрирани процедури жилищното обновяване често остава второстепенно спрямо други инвестиционни приоритети на общинските администрации.</w:t>
      </w:r>
    </w:p>
    <w:p w14:paraId="655C0242"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По Приоритет 2 на ПРР е планиран по-значителен ресурс – около 64 млн. лв., с индикативен обхват от приблизително 389 сгради с планирана за обновяване РЗП от около 234 074 кв. м. </w:t>
      </w:r>
    </w:p>
    <w:p w14:paraId="15CF88D4"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Съществено по-различен профил има Приоритет 4 „Справедлив преход“, който е пряко обвързан с териториите, засегнати от прехода към нисковъглеродна икономика, и с целите за справяне с енергийната бедност. По този приоритет е предвиден ресурс – приблизително 203 млн. лв., с вече сключени 139 договора за обновяване на МЖС и прогнозна обновена РЗП от около 293 962 кв. м. Дейностите се изпълняват на територията на общините в областите Кюстендил, Перник и Стара Загора, както и в 10-те общини, свързани с Маришкия басейн, попадащи в обхвата на Фонда за справедлив преход. Предвидено е предоставянето на 100% БФП за обновяване на МЖС.</w:t>
      </w:r>
    </w:p>
    <w:p w14:paraId="55C0E13D"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 по-широк контекст, ПРР 2021–2027 г. допълва и припокрива по време интервенциите по НПВУ. В сравнително кратък и сходен период за кандидатстване на практика функционират паралелно три възможности за финансиране на енергийно обновяване на МЖС – по НПВУ, по Приоритет 1 и по Приоритет 4 на ПРР – с различен интензитет на безвъзмездната помощ (80%, 95% и 100%). Същественото в случая е, че този различен интензитет на подкрепа е практически единствената разлика между схемите, доколкото останалите изисквания – по отношение на допустими дейности, технически стандарти, енергийни спестявания, процедурни правила и административна логика – са в голяма степен идентични. Липсва ясно аргументирана и публично комуникирана логика защо сходни по тип сгради и домакинства следва да бъдат третирани с различни нива на подкрепа в рамките на паралелни програми, което създава объркване сред потенциалните кандидати и насърчава изчаквателно поведение.</w:t>
      </w:r>
    </w:p>
    <w:p w14:paraId="638DD226"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От гледна точка на бъдещото програмиране, натрупаният опит ясно показва, че наличието на повече възможности за кандидатстване с различен процент на безвъзмездна финансова помощ само по себе си не е проблем, а напротив предимство. Ключовото условие обаче е тези различия в интензитета на подкрепа да бъдат ясно обосновани и обвързани със специфичните характеристики на кандидатстващите сгради и най-вече със социално-икономическия профил и „микса“ на обитателите. Сгради с висока концентрация на енергийно бедни и социално уязвими домакинства обективно изискват по-висок интензитет на публична подкрепа, докато при други типове сгради и общности може да се прилагат смесени модели със съфинансиране, подкрепени от адекватни финансови инструменти и професионална помощ. </w:t>
      </w:r>
    </w:p>
    <w:p w14:paraId="52C3F8B6"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 амбицията за продължаване и надграждане на постигнатите резултати от първия етап на НПЕЕМЖС, към момента се планира </w:t>
      </w:r>
      <w:r w:rsidRPr="006F3533">
        <w:rPr>
          <w:rFonts w:eastAsia="Times New Roman" w:cs="Times New Roman"/>
          <w:b/>
          <w:bCs/>
          <w:szCs w:val="24"/>
          <w:lang w:val="bg-BG" w:eastAsia="bg-BG"/>
        </w:rPr>
        <w:t>втори етап</w:t>
      </w:r>
      <w:r w:rsidRPr="006F3533">
        <w:rPr>
          <w:rFonts w:eastAsia="Times New Roman" w:cs="Times New Roman"/>
          <w:szCs w:val="24"/>
          <w:lang w:val="bg-BG" w:eastAsia="bg-BG"/>
        </w:rPr>
        <w:t xml:space="preserve"> на програмата с допълнителен бюджетен ресурс в размер на </w:t>
      </w:r>
      <w:r w:rsidRPr="006F3533">
        <w:rPr>
          <w:rFonts w:eastAsia="Times New Roman" w:cs="Times New Roman"/>
          <w:b/>
          <w:bCs/>
          <w:szCs w:val="24"/>
          <w:lang w:val="bg-BG" w:eastAsia="bg-BG"/>
        </w:rPr>
        <w:t>около 2,5 млрд. лв., предвиден за усвояване до 2029 г.</w:t>
      </w:r>
      <w:r w:rsidRPr="006F3533">
        <w:rPr>
          <w:rFonts w:eastAsia="Times New Roman" w:cs="Times New Roman"/>
          <w:szCs w:val="24"/>
          <w:lang w:val="bg-BG" w:eastAsia="bg-BG"/>
        </w:rPr>
        <w:t xml:space="preserve"> </w:t>
      </w:r>
      <w:r w:rsidRPr="006F3533">
        <w:rPr>
          <w:rFonts w:eastAsia="Times New Roman" w:cs="Times New Roman"/>
          <w:szCs w:val="24"/>
          <w:lang w:val="bg-BG" w:eastAsia="bg-BG"/>
        </w:rPr>
        <w:lastRenderedPageBreak/>
        <w:t xml:space="preserve">Индикативните параметри на този етап сочат обхват от </w:t>
      </w:r>
      <w:r w:rsidRPr="006F3533">
        <w:rPr>
          <w:rFonts w:eastAsia="Times New Roman" w:cs="Times New Roman"/>
          <w:b/>
          <w:bCs/>
          <w:szCs w:val="24"/>
          <w:lang w:val="bg-BG" w:eastAsia="bg-BG"/>
        </w:rPr>
        <w:t xml:space="preserve">приблизително 2 200 </w:t>
      </w:r>
      <w:r w:rsidRPr="006F3533">
        <w:rPr>
          <w:rFonts w:eastAsia="Times New Roman" w:cs="Times New Roman"/>
          <w:szCs w:val="24"/>
          <w:lang w:val="bg-BG" w:eastAsia="bg-BG"/>
        </w:rPr>
        <w:t xml:space="preserve">МЖС с прогнозна обновена или планирана за обновяване РЗП от около </w:t>
      </w:r>
      <w:r w:rsidRPr="006F3533">
        <w:rPr>
          <w:rFonts w:eastAsia="Times New Roman" w:cs="Times New Roman"/>
          <w:b/>
          <w:bCs/>
          <w:szCs w:val="24"/>
          <w:lang w:val="bg-BG" w:eastAsia="bg-BG"/>
        </w:rPr>
        <w:t>7,68 млн. кв. м.</w:t>
      </w:r>
      <w:r w:rsidRPr="006F3533">
        <w:rPr>
          <w:rFonts w:eastAsia="Times New Roman" w:cs="Times New Roman"/>
          <w:szCs w:val="24"/>
          <w:lang w:val="bg-BG" w:eastAsia="bg-BG"/>
        </w:rPr>
        <w:t xml:space="preserve"> Подобно на досегашния модел, и в този бъдещ етап е заложено100% безвъзмездно финансиране на допустимите дейности, без изискване за финансово участие от страна на собствениците.</w:t>
      </w:r>
    </w:p>
    <w:p w14:paraId="43293017"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Мащабът на предвидения ресурс и очакваният брой обновени сгради поставят въпроса за дългосрочната устойчивост на този модел. При 100% </w:t>
      </w:r>
      <w:proofErr w:type="spellStart"/>
      <w:r w:rsidRPr="006F3533">
        <w:rPr>
          <w:rFonts w:eastAsia="Times New Roman" w:cs="Times New Roman"/>
          <w:szCs w:val="24"/>
          <w:lang w:val="bg-BG" w:eastAsia="bg-BG"/>
        </w:rPr>
        <w:t>грантово</w:t>
      </w:r>
      <w:proofErr w:type="spellEnd"/>
      <w:r w:rsidRPr="006F3533">
        <w:rPr>
          <w:rFonts w:eastAsia="Times New Roman" w:cs="Times New Roman"/>
          <w:szCs w:val="24"/>
          <w:lang w:val="bg-BG" w:eastAsia="bg-BG"/>
        </w:rPr>
        <w:t xml:space="preserve"> финансиране програмата продължава да разчита изцяло на бюджетни средства и да функционира като централизирана публична интервенция, което ограничава възможностите за мобилизиране на частен капитал и за поетапно въвеждане на пазарни механизми. Това отново изважда на преден план необходимостта от паралелно развитие на допълващи инструменти – финансови механизми за съфинансиране, целеви кредитни продукти, гаранционни схеми и специализирана подкрепа за собствениците, които да подготвят системата за преход към по-устойчив модел на сградно обновяване след изчерпване на </w:t>
      </w:r>
      <w:proofErr w:type="spellStart"/>
      <w:r w:rsidRPr="006F3533">
        <w:rPr>
          <w:rFonts w:eastAsia="Times New Roman" w:cs="Times New Roman"/>
          <w:szCs w:val="24"/>
          <w:lang w:val="bg-BG" w:eastAsia="bg-BG"/>
        </w:rPr>
        <w:t>грантовия</w:t>
      </w:r>
      <w:proofErr w:type="spellEnd"/>
      <w:r w:rsidRPr="006F3533">
        <w:rPr>
          <w:rFonts w:eastAsia="Times New Roman" w:cs="Times New Roman"/>
          <w:szCs w:val="24"/>
          <w:lang w:val="bg-BG" w:eastAsia="bg-BG"/>
        </w:rPr>
        <w:t xml:space="preserve"> ресурс.</w:t>
      </w:r>
    </w:p>
    <w:p w14:paraId="1E26B142"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този смисъл планираният втори етап на НПЕЕ следва да се разглежда не само като продължение на утвърдената практика за 100% безвъзмездна помощ, но и като стратегически прозорец за тестване и въвеждане на елементи, които да надграждат </w:t>
      </w:r>
      <w:proofErr w:type="spellStart"/>
      <w:r w:rsidRPr="006F3533">
        <w:rPr>
          <w:rFonts w:eastAsia="Times New Roman" w:cs="Times New Roman"/>
          <w:szCs w:val="24"/>
          <w:lang w:val="bg-BG" w:eastAsia="bg-BG"/>
        </w:rPr>
        <w:t>грантовия</w:t>
      </w:r>
      <w:proofErr w:type="spellEnd"/>
      <w:r w:rsidRPr="006F3533">
        <w:rPr>
          <w:rFonts w:eastAsia="Times New Roman" w:cs="Times New Roman"/>
          <w:szCs w:val="24"/>
          <w:lang w:val="bg-BG" w:eastAsia="bg-BG"/>
        </w:rPr>
        <w:t xml:space="preserve"> модел и да създадат предпоставки за по-мащабно, балансирано и финансово устойчиво обновяване на МЖС в по-дългосрочен хоризонт.</w:t>
      </w:r>
    </w:p>
    <w:p w14:paraId="4D6AEEB8" w14:textId="77777777" w:rsidR="00D15956" w:rsidRPr="006F3533" w:rsidRDefault="00D15956" w:rsidP="00D15956">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4.Кумулативен ефект и обхват</w:t>
      </w:r>
    </w:p>
    <w:p w14:paraId="1A54D61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Обобщаването на реализираните и планирани интервенции за енергийна ефективност в МЖС до 2030 г. позволява да се направи цялостна оценка на кумулативния ефект от прилаганите политики и програмни подходи през последните близо 25 години. Данните от отделните програми и проекти, представени в таблицата, показват значителна по размер публична интервенция, но и ясно очертани ограничения по отношение на постигнатия обхват.</w:t>
      </w:r>
    </w:p>
    <w:p w14:paraId="43A63AF9" w14:textId="77777777" w:rsidR="00D15956" w:rsidRPr="006F3533" w:rsidRDefault="00D15956" w:rsidP="00D15956">
      <w:pPr>
        <w:spacing w:line="240" w:lineRule="auto"/>
        <w:jc w:val="both"/>
        <w:rPr>
          <w:rFonts w:cs="Times New Roman"/>
          <w:i/>
          <w:iCs/>
          <w:color w:val="0070C0"/>
          <w:szCs w:val="24"/>
          <w:lang w:val="bg-BG"/>
        </w:rPr>
      </w:pPr>
      <w:r w:rsidRPr="006F3533">
        <w:rPr>
          <w:rFonts w:cs="Times New Roman"/>
          <w:i/>
          <w:iCs/>
          <w:color w:val="0070C0"/>
          <w:szCs w:val="24"/>
          <w:lang w:val="bg-BG"/>
        </w:rPr>
        <w:t xml:space="preserve">Таблица № </w:t>
      </w:r>
      <w:r w:rsidRPr="006F3533">
        <w:rPr>
          <w:rFonts w:cs="Times New Roman"/>
          <w:i/>
          <w:iCs/>
          <w:color w:val="0070C0"/>
          <w:szCs w:val="24"/>
          <w:lang w:val="bg-BG"/>
        </w:rPr>
        <w:fldChar w:fldCharType="begin"/>
      </w:r>
      <w:r w:rsidRPr="006F3533">
        <w:rPr>
          <w:rFonts w:cs="Times New Roman"/>
          <w:i/>
          <w:iCs/>
          <w:color w:val="0070C0"/>
          <w:szCs w:val="24"/>
          <w:lang w:val="bg-BG"/>
        </w:rPr>
        <w:instrText xml:space="preserve"> SEQ Таблица_№ \* ARABIC </w:instrText>
      </w:r>
      <w:r w:rsidRPr="006F3533">
        <w:rPr>
          <w:rFonts w:cs="Times New Roman"/>
          <w:i/>
          <w:iCs/>
          <w:color w:val="0070C0"/>
          <w:szCs w:val="24"/>
          <w:lang w:val="bg-BG"/>
        </w:rPr>
        <w:fldChar w:fldCharType="separate"/>
      </w:r>
      <w:r w:rsidRPr="006F3533">
        <w:rPr>
          <w:rFonts w:cs="Times New Roman"/>
          <w:i/>
          <w:iCs/>
          <w:color w:val="0070C0"/>
          <w:szCs w:val="24"/>
          <w:lang w:val="bg-BG"/>
        </w:rPr>
        <w:t>34</w:t>
      </w:r>
      <w:r w:rsidRPr="006F3533">
        <w:rPr>
          <w:rFonts w:cs="Times New Roman"/>
          <w:i/>
          <w:iCs/>
          <w:color w:val="0070C0"/>
          <w:szCs w:val="24"/>
          <w:lang w:val="bg-BG"/>
        </w:rPr>
        <w:fldChar w:fldCharType="end"/>
      </w:r>
      <w:r w:rsidRPr="006F3533">
        <w:rPr>
          <w:rFonts w:cs="Times New Roman"/>
          <w:i/>
          <w:iCs/>
          <w:color w:val="0070C0"/>
          <w:szCs w:val="24"/>
          <w:lang w:val="bg-BG"/>
        </w:rPr>
        <w:t>: Реализирани и планирани интервенции за ЕЕ обновяване на МЖС до 2030 г.</w:t>
      </w:r>
    </w:p>
    <w:tbl>
      <w:tblPr>
        <w:tblStyle w:val="GridTable4-Accent5"/>
        <w:tblW w:w="0" w:type="auto"/>
        <w:tblLook w:val="04A0" w:firstRow="1" w:lastRow="0" w:firstColumn="1" w:lastColumn="0" w:noHBand="0" w:noVBand="1"/>
      </w:tblPr>
      <w:tblGrid>
        <w:gridCol w:w="2337"/>
        <w:gridCol w:w="2237"/>
        <w:gridCol w:w="2245"/>
        <w:gridCol w:w="2243"/>
      </w:tblGrid>
      <w:tr w:rsidR="00D15956" w:rsidRPr="006F3533" w14:paraId="2303A6BF" w14:textId="77777777" w:rsidTr="00541E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5B313DA5" w14:textId="77777777" w:rsidR="00D15956" w:rsidRPr="006F3533" w:rsidRDefault="00D15956" w:rsidP="00541E06">
            <w:pPr>
              <w:jc w:val="both"/>
              <w:rPr>
                <w:rFonts w:eastAsia="Times New Roman" w:cs="Times New Roman"/>
                <w:szCs w:val="24"/>
                <w:lang w:val="bg-BG" w:eastAsia="bg-BG"/>
              </w:rPr>
            </w:pPr>
            <w:bookmarkStart w:id="184" w:name="_Hlk217395879"/>
            <w:r w:rsidRPr="006F3533">
              <w:rPr>
                <w:rFonts w:eastAsia="Times New Roman" w:cs="Times New Roman"/>
                <w:szCs w:val="24"/>
                <w:lang w:val="bg-BG" w:eastAsia="bg-BG"/>
              </w:rPr>
              <w:t>Източник на финансиране</w:t>
            </w:r>
          </w:p>
        </w:tc>
        <w:tc>
          <w:tcPr>
            <w:tcW w:w="2237" w:type="dxa"/>
          </w:tcPr>
          <w:p w14:paraId="0B16BEF5" w14:textId="77777777" w:rsidR="00D15956" w:rsidRPr="006F3533" w:rsidRDefault="00D15956" w:rsidP="00541E06">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Бюджет</w:t>
            </w:r>
          </w:p>
          <w:p w14:paraId="02A87295" w14:textId="77777777" w:rsidR="00D15956" w:rsidRPr="006F3533" w:rsidRDefault="00D15956" w:rsidP="00541E06">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(лв.)</w:t>
            </w:r>
          </w:p>
        </w:tc>
        <w:tc>
          <w:tcPr>
            <w:tcW w:w="2245" w:type="dxa"/>
          </w:tcPr>
          <w:p w14:paraId="13406CBD" w14:textId="77777777" w:rsidR="00D15956" w:rsidRPr="006F3533" w:rsidRDefault="00D15956" w:rsidP="00541E06">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Обхванати сгради (бр.)</w:t>
            </w:r>
          </w:p>
        </w:tc>
        <w:tc>
          <w:tcPr>
            <w:tcW w:w="2243" w:type="dxa"/>
          </w:tcPr>
          <w:p w14:paraId="29984164" w14:textId="77777777" w:rsidR="00D15956" w:rsidRPr="006F3533" w:rsidRDefault="00D15956" w:rsidP="00541E06">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Обновена/ планирана за обновяване РЗП</w:t>
            </w:r>
          </w:p>
          <w:p w14:paraId="511162AF" w14:textId="77777777" w:rsidR="00D15956" w:rsidRPr="006F3533" w:rsidRDefault="00D15956" w:rsidP="00541E06">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(кв. м)</w:t>
            </w:r>
          </w:p>
        </w:tc>
      </w:tr>
      <w:tr w:rsidR="00D15956" w:rsidRPr="006F3533" w14:paraId="179C1578"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5E20B8B0"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проект „Демонстрационно обновяване на многофамилни жилищни сгради” 2007-2011 г.</w:t>
            </w:r>
          </w:p>
        </w:tc>
        <w:tc>
          <w:tcPr>
            <w:tcW w:w="2237" w:type="dxa"/>
          </w:tcPr>
          <w:p w14:paraId="285A26D5"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11 млн.</w:t>
            </w:r>
          </w:p>
        </w:tc>
        <w:tc>
          <w:tcPr>
            <w:tcW w:w="2245" w:type="dxa"/>
          </w:tcPr>
          <w:p w14:paraId="25908CA0"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50</w:t>
            </w:r>
          </w:p>
        </w:tc>
        <w:tc>
          <w:tcPr>
            <w:tcW w:w="2243" w:type="dxa"/>
          </w:tcPr>
          <w:p w14:paraId="356FA866"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80 975</w:t>
            </w:r>
          </w:p>
        </w:tc>
      </w:tr>
      <w:tr w:rsidR="00D15956" w:rsidRPr="006F3533" w14:paraId="52DCD782" w14:textId="77777777" w:rsidTr="00541E06">
        <w:tc>
          <w:tcPr>
            <w:cnfStyle w:val="001000000000" w:firstRow="0" w:lastRow="0" w:firstColumn="1" w:lastColumn="0" w:oddVBand="0" w:evenVBand="0" w:oddHBand="0" w:evenHBand="0" w:firstRowFirstColumn="0" w:firstRowLastColumn="0" w:lastRowFirstColumn="0" w:lastRowLastColumn="0"/>
            <w:tcW w:w="2337" w:type="dxa"/>
          </w:tcPr>
          <w:p w14:paraId="59F049D9"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проект „Енергийно обновяване на българските домове“</w:t>
            </w:r>
            <w:r w:rsidRPr="006F3533">
              <w:rPr>
                <w:rFonts w:eastAsia="Calibri" w:cs="Times New Roman"/>
                <w:szCs w:val="24"/>
                <w:lang w:val="bg-BG"/>
              </w:rPr>
              <w:t xml:space="preserve"> </w:t>
            </w:r>
            <w:r w:rsidRPr="006F3533">
              <w:rPr>
                <w:rFonts w:eastAsia="Times New Roman" w:cs="Times New Roman"/>
                <w:szCs w:val="24"/>
                <w:lang w:val="bg-BG" w:eastAsia="bg-BG"/>
              </w:rPr>
              <w:t>2012–2015 г.</w:t>
            </w:r>
          </w:p>
        </w:tc>
        <w:tc>
          <w:tcPr>
            <w:tcW w:w="2237" w:type="dxa"/>
          </w:tcPr>
          <w:p w14:paraId="724DFEF1"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50 млн.</w:t>
            </w:r>
          </w:p>
        </w:tc>
        <w:tc>
          <w:tcPr>
            <w:tcW w:w="2245" w:type="dxa"/>
          </w:tcPr>
          <w:p w14:paraId="353A6015"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156</w:t>
            </w:r>
          </w:p>
        </w:tc>
        <w:tc>
          <w:tcPr>
            <w:tcW w:w="2243" w:type="dxa"/>
          </w:tcPr>
          <w:p w14:paraId="1B84DB46"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240 692</w:t>
            </w:r>
          </w:p>
        </w:tc>
      </w:tr>
      <w:tr w:rsidR="00D15956" w:rsidRPr="006F3533" w14:paraId="1E2C5251"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7D447036"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lastRenderedPageBreak/>
              <w:t>НПЕЕМЖС</w:t>
            </w:r>
          </w:p>
        </w:tc>
        <w:tc>
          <w:tcPr>
            <w:tcW w:w="2237" w:type="dxa"/>
          </w:tcPr>
          <w:p w14:paraId="4591CD97"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2 млрд.</w:t>
            </w:r>
          </w:p>
        </w:tc>
        <w:tc>
          <w:tcPr>
            <w:tcW w:w="2245" w:type="dxa"/>
          </w:tcPr>
          <w:p w14:paraId="0588EB02"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1968</w:t>
            </w:r>
          </w:p>
        </w:tc>
        <w:tc>
          <w:tcPr>
            <w:tcW w:w="2243" w:type="dxa"/>
          </w:tcPr>
          <w:p w14:paraId="70AC5456"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11 139 922</w:t>
            </w:r>
          </w:p>
        </w:tc>
      </w:tr>
      <w:tr w:rsidR="00D15956" w:rsidRPr="006F3533" w14:paraId="6FE6954B" w14:textId="77777777" w:rsidTr="00541E06">
        <w:tc>
          <w:tcPr>
            <w:cnfStyle w:val="001000000000" w:firstRow="0" w:lastRow="0" w:firstColumn="1" w:lastColumn="0" w:oddVBand="0" w:evenVBand="0" w:oddHBand="0" w:evenHBand="0" w:firstRowFirstColumn="0" w:firstRowLastColumn="0" w:lastRowFirstColumn="0" w:lastRowLastColumn="0"/>
            <w:tcW w:w="2337" w:type="dxa"/>
          </w:tcPr>
          <w:p w14:paraId="255EB6A2"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ОПРР 2014-2020 г. Приоритетна ос 1</w:t>
            </w:r>
          </w:p>
        </w:tc>
        <w:tc>
          <w:tcPr>
            <w:tcW w:w="2237" w:type="dxa"/>
          </w:tcPr>
          <w:p w14:paraId="3D912A16"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55 млн.</w:t>
            </w:r>
          </w:p>
        </w:tc>
        <w:tc>
          <w:tcPr>
            <w:tcW w:w="2245" w:type="dxa"/>
          </w:tcPr>
          <w:p w14:paraId="0508618B"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219</w:t>
            </w:r>
          </w:p>
        </w:tc>
        <w:tc>
          <w:tcPr>
            <w:tcW w:w="2243" w:type="dxa"/>
          </w:tcPr>
          <w:p w14:paraId="2D92B2EA"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68 033</w:t>
            </w:r>
            <w:r w:rsidRPr="006F3533">
              <w:rPr>
                <w:rFonts w:eastAsia="Times New Roman" w:cs="Times New Roman"/>
                <w:szCs w:val="24"/>
                <w:vertAlign w:val="superscript"/>
                <w:lang w:val="bg-BG" w:eastAsia="bg-BG"/>
              </w:rPr>
              <w:footnoteReference w:id="53"/>
            </w:r>
          </w:p>
        </w:tc>
      </w:tr>
      <w:tr w:rsidR="00D15956" w:rsidRPr="006F3533" w14:paraId="304D193B"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7BFA59B9"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ОПРР 2014-2020 г. Приоритетна ос 2</w:t>
            </w:r>
          </w:p>
        </w:tc>
        <w:tc>
          <w:tcPr>
            <w:tcW w:w="2237" w:type="dxa"/>
          </w:tcPr>
          <w:p w14:paraId="4E511B99"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135 млн.</w:t>
            </w:r>
          </w:p>
        </w:tc>
        <w:tc>
          <w:tcPr>
            <w:tcW w:w="2245" w:type="dxa"/>
          </w:tcPr>
          <w:p w14:paraId="189C8D22"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574</w:t>
            </w:r>
          </w:p>
        </w:tc>
        <w:tc>
          <w:tcPr>
            <w:tcW w:w="2243" w:type="dxa"/>
          </w:tcPr>
          <w:p w14:paraId="48DF0EF1"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323 040</w:t>
            </w:r>
            <w:r w:rsidRPr="006F3533">
              <w:rPr>
                <w:rFonts w:eastAsia="Times New Roman" w:cs="Times New Roman"/>
                <w:szCs w:val="24"/>
                <w:vertAlign w:val="superscript"/>
                <w:lang w:val="bg-BG" w:eastAsia="bg-BG"/>
              </w:rPr>
              <w:footnoteReference w:id="54"/>
            </w:r>
          </w:p>
        </w:tc>
      </w:tr>
      <w:tr w:rsidR="00D15956" w:rsidRPr="006F3533" w14:paraId="579C15CD" w14:textId="77777777" w:rsidTr="00541E06">
        <w:tc>
          <w:tcPr>
            <w:cnfStyle w:val="001000000000" w:firstRow="0" w:lastRow="0" w:firstColumn="1" w:lastColumn="0" w:oddVBand="0" w:evenVBand="0" w:oddHBand="0" w:evenHBand="0" w:firstRowFirstColumn="0" w:firstRowLastColumn="0" w:lastRowFirstColumn="0" w:lastRowLastColumn="0"/>
            <w:tcW w:w="2337" w:type="dxa"/>
          </w:tcPr>
          <w:p w14:paraId="18CDB292"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НПВУ Етап I</w:t>
            </w:r>
          </w:p>
        </w:tc>
        <w:tc>
          <w:tcPr>
            <w:tcW w:w="2237" w:type="dxa"/>
          </w:tcPr>
          <w:p w14:paraId="26483F1E"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1,144</w:t>
            </w:r>
            <w:r w:rsidRPr="006F3533">
              <w:rPr>
                <w:rFonts w:eastAsia="Calibri" w:cs="Times New Roman"/>
                <w:szCs w:val="24"/>
                <w:lang w:val="bg-BG"/>
              </w:rPr>
              <w:t xml:space="preserve"> </w:t>
            </w:r>
            <w:r w:rsidRPr="006F3533">
              <w:rPr>
                <w:rFonts w:eastAsia="Times New Roman" w:cs="Times New Roman"/>
                <w:szCs w:val="24"/>
                <w:lang w:val="bg-BG" w:eastAsia="bg-BG"/>
              </w:rPr>
              <w:t>млрд.</w:t>
            </w:r>
          </w:p>
        </w:tc>
        <w:tc>
          <w:tcPr>
            <w:tcW w:w="2245" w:type="dxa"/>
          </w:tcPr>
          <w:p w14:paraId="3CAA1E97"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761</w:t>
            </w:r>
          </w:p>
        </w:tc>
        <w:tc>
          <w:tcPr>
            <w:tcW w:w="2243" w:type="dxa"/>
          </w:tcPr>
          <w:p w14:paraId="656465A3"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4 057 648</w:t>
            </w:r>
          </w:p>
        </w:tc>
      </w:tr>
      <w:tr w:rsidR="00D15956" w:rsidRPr="006F3533" w14:paraId="7104A3D2"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19FD2F6B"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НПВУ</w:t>
            </w:r>
            <w:r w:rsidRPr="006F3533">
              <w:rPr>
                <w:rFonts w:eastAsia="Calibri" w:cs="Times New Roman"/>
                <w:szCs w:val="24"/>
                <w:lang w:val="bg-BG"/>
              </w:rPr>
              <w:t xml:space="preserve"> </w:t>
            </w:r>
            <w:r w:rsidRPr="006F3533">
              <w:rPr>
                <w:rFonts w:eastAsia="Times New Roman" w:cs="Times New Roman"/>
                <w:szCs w:val="24"/>
                <w:lang w:val="bg-BG" w:eastAsia="bg-BG"/>
              </w:rPr>
              <w:t xml:space="preserve">Етап I </w:t>
            </w:r>
            <w:proofErr w:type="spellStart"/>
            <w:r w:rsidRPr="006F3533">
              <w:rPr>
                <w:rFonts w:eastAsia="Times New Roman" w:cs="Times New Roman"/>
                <w:szCs w:val="24"/>
                <w:lang w:val="bg-BG" w:eastAsia="bg-BG"/>
              </w:rPr>
              <w:t>I</w:t>
            </w:r>
            <w:proofErr w:type="spellEnd"/>
          </w:p>
        </w:tc>
        <w:tc>
          <w:tcPr>
            <w:tcW w:w="2237" w:type="dxa"/>
          </w:tcPr>
          <w:p w14:paraId="2110DC76"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140 млн.</w:t>
            </w:r>
          </w:p>
        </w:tc>
        <w:tc>
          <w:tcPr>
            <w:tcW w:w="2245" w:type="dxa"/>
          </w:tcPr>
          <w:p w14:paraId="1EE66460"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287</w:t>
            </w:r>
          </w:p>
        </w:tc>
        <w:tc>
          <w:tcPr>
            <w:tcW w:w="2243" w:type="dxa"/>
          </w:tcPr>
          <w:p w14:paraId="07A5719F"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497 208</w:t>
            </w:r>
          </w:p>
        </w:tc>
      </w:tr>
      <w:tr w:rsidR="00D15956" w:rsidRPr="006F3533" w14:paraId="1B85E112" w14:textId="77777777" w:rsidTr="00541E06">
        <w:tc>
          <w:tcPr>
            <w:cnfStyle w:val="001000000000" w:firstRow="0" w:lastRow="0" w:firstColumn="1" w:lastColumn="0" w:oddVBand="0" w:evenVBand="0" w:oddHBand="0" w:evenHBand="0" w:firstRowFirstColumn="0" w:firstRowLastColumn="0" w:lastRowFirstColumn="0" w:lastRowLastColumn="0"/>
            <w:tcW w:w="2337" w:type="dxa"/>
          </w:tcPr>
          <w:p w14:paraId="5A0D9EEE"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ПРР 2021-2027 г.</w:t>
            </w:r>
            <w:r w:rsidRPr="006F3533">
              <w:rPr>
                <w:rFonts w:eastAsia="Calibri" w:cs="Times New Roman"/>
                <w:szCs w:val="24"/>
                <w:lang w:val="bg-BG"/>
              </w:rPr>
              <w:t xml:space="preserve"> </w:t>
            </w:r>
            <w:r w:rsidRPr="006F3533">
              <w:rPr>
                <w:rFonts w:eastAsia="Times New Roman" w:cs="Times New Roman"/>
                <w:szCs w:val="24"/>
                <w:lang w:val="bg-BG" w:eastAsia="bg-BG"/>
              </w:rPr>
              <w:t xml:space="preserve">Приоритет 1 </w:t>
            </w:r>
          </w:p>
        </w:tc>
        <w:tc>
          <w:tcPr>
            <w:tcW w:w="2237" w:type="dxa"/>
          </w:tcPr>
          <w:p w14:paraId="5797032D"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26 млн.</w:t>
            </w:r>
          </w:p>
        </w:tc>
        <w:tc>
          <w:tcPr>
            <w:tcW w:w="2245" w:type="dxa"/>
          </w:tcPr>
          <w:p w14:paraId="5761B2B5"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45</w:t>
            </w:r>
          </w:p>
        </w:tc>
        <w:tc>
          <w:tcPr>
            <w:tcW w:w="2243" w:type="dxa"/>
          </w:tcPr>
          <w:p w14:paraId="5A11B008"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Calibri" w:cs="Arial"/>
                <w:szCs w:val="24"/>
                <w:lang w:val="bg-BG"/>
              </w:rPr>
            </w:pPr>
            <w:r w:rsidRPr="006F3533">
              <w:rPr>
                <w:rFonts w:eastAsia="Times New Roman" w:cs="Times New Roman"/>
                <w:szCs w:val="24"/>
                <w:lang w:val="bg-BG" w:eastAsia="bg-BG"/>
              </w:rPr>
              <w:t xml:space="preserve">~ </w:t>
            </w:r>
            <w:r w:rsidRPr="006F3533">
              <w:rPr>
                <w:rFonts w:eastAsia="Calibri" w:cs="Arial"/>
                <w:szCs w:val="24"/>
                <w:lang w:val="bg-BG"/>
              </w:rPr>
              <w:t>95 484</w:t>
            </w:r>
          </w:p>
          <w:p w14:paraId="739AFA6B"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p>
        </w:tc>
      </w:tr>
      <w:tr w:rsidR="00D15956" w:rsidRPr="006F3533" w14:paraId="62364D42"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7A182F4D"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ПРР 2021-2027 г. Приоритет 2</w:t>
            </w:r>
          </w:p>
        </w:tc>
        <w:tc>
          <w:tcPr>
            <w:tcW w:w="2237" w:type="dxa"/>
          </w:tcPr>
          <w:p w14:paraId="0CDB8CEB"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64 млн.</w:t>
            </w:r>
          </w:p>
        </w:tc>
        <w:tc>
          <w:tcPr>
            <w:tcW w:w="2245" w:type="dxa"/>
          </w:tcPr>
          <w:p w14:paraId="5DB9D53B"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389</w:t>
            </w:r>
          </w:p>
        </w:tc>
        <w:tc>
          <w:tcPr>
            <w:tcW w:w="2243" w:type="dxa"/>
          </w:tcPr>
          <w:p w14:paraId="3D362BAC"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234 074</w:t>
            </w:r>
          </w:p>
        </w:tc>
      </w:tr>
      <w:tr w:rsidR="00D15956" w:rsidRPr="006F3533" w14:paraId="57D1E52F" w14:textId="77777777" w:rsidTr="00541E06">
        <w:tc>
          <w:tcPr>
            <w:cnfStyle w:val="001000000000" w:firstRow="0" w:lastRow="0" w:firstColumn="1" w:lastColumn="0" w:oddVBand="0" w:evenVBand="0" w:oddHBand="0" w:evenHBand="0" w:firstRowFirstColumn="0" w:firstRowLastColumn="0" w:lastRowFirstColumn="0" w:lastRowLastColumn="0"/>
            <w:tcW w:w="2337" w:type="dxa"/>
          </w:tcPr>
          <w:p w14:paraId="583ECCC5"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ПРР 2021-2027 г. Приоритет 4 „Справедлив преход“</w:t>
            </w:r>
          </w:p>
        </w:tc>
        <w:tc>
          <w:tcPr>
            <w:tcW w:w="2237" w:type="dxa"/>
          </w:tcPr>
          <w:p w14:paraId="7C427BB4"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203</w:t>
            </w:r>
            <w:r w:rsidRPr="006F3533">
              <w:rPr>
                <w:rFonts w:ascii="Calibri" w:eastAsia="Calibri" w:hAnsi="Calibri" w:cs="Times New Roman"/>
                <w:sz w:val="22"/>
                <w:lang w:val="bg-BG"/>
              </w:rPr>
              <w:t xml:space="preserve"> </w:t>
            </w:r>
            <w:r w:rsidRPr="006F3533">
              <w:rPr>
                <w:rFonts w:eastAsia="Times New Roman" w:cs="Times New Roman"/>
                <w:szCs w:val="24"/>
                <w:lang w:val="bg-BG" w:eastAsia="bg-BG"/>
              </w:rPr>
              <w:t>млн.</w:t>
            </w:r>
          </w:p>
        </w:tc>
        <w:tc>
          <w:tcPr>
            <w:tcW w:w="2245" w:type="dxa"/>
          </w:tcPr>
          <w:p w14:paraId="1D9095F0"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139</w:t>
            </w:r>
          </w:p>
        </w:tc>
        <w:tc>
          <w:tcPr>
            <w:tcW w:w="2243" w:type="dxa"/>
          </w:tcPr>
          <w:p w14:paraId="4ED4E13E" w14:textId="77777777" w:rsidR="00D15956" w:rsidRPr="006F3533" w:rsidRDefault="00D15956" w:rsidP="00541E0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293 962</w:t>
            </w:r>
          </w:p>
        </w:tc>
      </w:tr>
      <w:tr w:rsidR="00D15956" w:rsidRPr="006F3533" w14:paraId="02BF3856" w14:textId="77777777" w:rsidTr="00541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2A5217DD" w14:textId="77777777" w:rsidR="00D15956" w:rsidRPr="006F3533" w:rsidRDefault="00D15956" w:rsidP="00541E06">
            <w:pPr>
              <w:jc w:val="both"/>
              <w:rPr>
                <w:rFonts w:eastAsia="Times New Roman" w:cs="Times New Roman"/>
                <w:szCs w:val="24"/>
                <w:lang w:val="bg-BG" w:eastAsia="bg-BG"/>
              </w:rPr>
            </w:pPr>
            <w:r w:rsidRPr="006F3533">
              <w:rPr>
                <w:rFonts w:eastAsia="Times New Roman" w:cs="Times New Roman"/>
                <w:szCs w:val="24"/>
                <w:lang w:val="bg-BG" w:eastAsia="bg-BG"/>
              </w:rPr>
              <w:t>НПЕЕ</w:t>
            </w:r>
          </w:p>
        </w:tc>
        <w:tc>
          <w:tcPr>
            <w:tcW w:w="2237" w:type="dxa"/>
          </w:tcPr>
          <w:p w14:paraId="2A6A4052"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2.5 млрд.</w:t>
            </w:r>
          </w:p>
        </w:tc>
        <w:tc>
          <w:tcPr>
            <w:tcW w:w="2245" w:type="dxa"/>
          </w:tcPr>
          <w:p w14:paraId="493244C2"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val="bg-BG" w:eastAsia="bg-BG"/>
              </w:rPr>
            </w:pPr>
            <w:r w:rsidRPr="006F3533">
              <w:rPr>
                <w:rFonts w:eastAsia="Times New Roman" w:cs="Times New Roman"/>
                <w:szCs w:val="24"/>
                <w:lang w:val="bg-BG" w:eastAsia="bg-BG"/>
              </w:rPr>
              <w:t>~ 2200</w:t>
            </w:r>
          </w:p>
        </w:tc>
        <w:tc>
          <w:tcPr>
            <w:tcW w:w="2243" w:type="dxa"/>
          </w:tcPr>
          <w:p w14:paraId="28849E72" w14:textId="77777777" w:rsidR="00D15956" w:rsidRPr="006F3533" w:rsidRDefault="00D15956" w:rsidP="00541E06">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lang w:val="bg-BG"/>
              </w:rPr>
            </w:pPr>
            <w:r w:rsidRPr="006F3533">
              <w:rPr>
                <w:rFonts w:ascii="Arial" w:eastAsia="Calibri" w:hAnsi="Arial" w:cs="Arial"/>
                <w:sz w:val="20"/>
                <w:szCs w:val="20"/>
                <w:lang w:val="bg-BG"/>
              </w:rPr>
              <w:t>~ 7 680 000.</w:t>
            </w:r>
          </w:p>
        </w:tc>
      </w:tr>
      <w:bookmarkEnd w:id="184"/>
    </w:tbl>
    <w:p w14:paraId="7CE0E234" w14:textId="77777777" w:rsidR="00D15956" w:rsidRPr="006F3533" w:rsidRDefault="00D15956" w:rsidP="00D15956">
      <w:pPr>
        <w:spacing w:line="240" w:lineRule="auto"/>
        <w:jc w:val="both"/>
        <w:rPr>
          <w:rFonts w:eastAsia="Times New Roman" w:cs="Times New Roman"/>
          <w:szCs w:val="24"/>
          <w:lang w:val="bg-BG" w:eastAsia="bg-BG"/>
        </w:rPr>
      </w:pPr>
    </w:p>
    <w:p w14:paraId="5A52D01D"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На база на наличната информация за периода 2015–2030 г., включително вече реализираните и планираните към момента интервенции, се очаква:</w:t>
      </w:r>
    </w:p>
    <w:p w14:paraId="3606D69B" w14:textId="77777777" w:rsidR="00D15956" w:rsidRPr="006F3533" w:rsidRDefault="00D15956" w:rsidP="00551FED">
      <w:pPr>
        <w:numPr>
          <w:ilvl w:val="0"/>
          <w:numId w:val="116"/>
        </w:numPr>
        <w:spacing w:line="240" w:lineRule="auto"/>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да бъдат обновени общо около </w:t>
      </w:r>
      <w:r w:rsidRPr="006F3533">
        <w:rPr>
          <w:rFonts w:eastAsia="Times New Roman" w:cs="Times New Roman"/>
          <w:b/>
          <w:bCs/>
          <w:szCs w:val="24"/>
          <w:lang w:val="bg-BG" w:eastAsia="bg-BG"/>
        </w:rPr>
        <w:t>6 790</w:t>
      </w:r>
      <w:r w:rsidRPr="006F3533">
        <w:rPr>
          <w:rFonts w:eastAsia="Times New Roman" w:cs="Times New Roman"/>
          <w:szCs w:val="24"/>
          <w:lang w:val="bg-BG" w:eastAsia="bg-BG"/>
        </w:rPr>
        <w:t xml:space="preserve"> МЖС;</w:t>
      </w:r>
    </w:p>
    <w:p w14:paraId="3F63CBA1" w14:textId="77777777" w:rsidR="00D15956" w:rsidRPr="006F3533" w:rsidRDefault="00D15956" w:rsidP="00551FED">
      <w:pPr>
        <w:numPr>
          <w:ilvl w:val="0"/>
          <w:numId w:val="116"/>
        </w:numPr>
        <w:spacing w:line="240" w:lineRule="auto"/>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да бъде използван публичен ресурс в размер на приблизително </w:t>
      </w:r>
      <w:r w:rsidRPr="006F3533">
        <w:rPr>
          <w:rFonts w:eastAsia="Times New Roman" w:cs="Times New Roman"/>
          <w:b/>
          <w:bCs/>
          <w:szCs w:val="24"/>
          <w:lang w:val="bg-BG" w:eastAsia="bg-BG"/>
        </w:rPr>
        <w:t>6,33 млрд. лв.</w:t>
      </w:r>
      <w:r w:rsidRPr="006F3533">
        <w:rPr>
          <w:rFonts w:eastAsia="Times New Roman" w:cs="Times New Roman"/>
          <w:szCs w:val="24"/>
          <w:lang w:val="bg-BG" w:eastAsia="bg-BG"/>
        </w:rPr>
        <w:t>;</w:t>
      </w:r>
    </w:p>
    <w:p w14:paraId="7287B8BA" w14:textId="77777777" w:rsidR="00D15956" w:rsidRPr="006F3533" w:rsidRDefault="00D15956" w:rsidP="00551FED">
      <w:pPr>
        <w:numPr>
          <w:ilvl w:val="0"/>
          <w:numId w:val="116"/>
        </w:numPr>
        <w:spacing w:line="240" w:lineRule="auto"/>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да бъде обхванат приблизително </w:t>
      </w:r>
      <w:r w:rsidRPr="006F3533">
        <w:rPr>
          <w:rFonts w:eastAsia="Times New Roman" w:cs="Times New Roman"/>
          <w:b/>
          <w:bCs/>
          <w:szCs w:val="24"/>
          <w:lang w:val="bg-BG" w:eastAsia="bg-BG"/>
        </w:rPr>
        <w:t>8,3%</w:t>
      </w:r>
      <w:r w:rsidRPr="006F3533">
        <w:rPr>
          <w:rFonts w:eastAsia="Times New Roman" w:cs="Times New Roman"/>
          <w:szCs w:val="24"/>
          <w:lang w:val="bg-BG" w:eastAsia="bg-BG"/>
        </w:rPr>
        <w:t xml:space="preserve"> от потенциалните над </w:t>
      </w:r>
      <w:r w:rsidRPr="006F3533">
        <w:rPr>
          <w:rFonts w:eastAsia="Times New Roman" w:cs="Times New Roman"/>
          <w:b/>
          <w:bCs/>
          <w:szCs w:val="24"/>
          <w:lang w:val="bg-BG" w:eastAsia="bg-BG"/>
        </w:rPr>
        <w:t>82 000</w:t>
      </w:r>
      <w:r w:rsidRPr="006F3533">
        <w:rPr>
          <w:rFonts w:eastAsia="Times New Roman" w:cs="Times New Roman"/>
          <w:szCs w:val="24"/>
          <w:lang w:val="bg-BG" w:eastAsia="bg-BG"/>
        </w:rPr>
        <w:t xml:space="preserve"> МЖС в страната.</w:t>
      </w:r>
    </w:p>
    <w:p w14:paraId="5BC69E3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Тези стойности ясно показват неблагоприятното съотношение между вложения публичен ресурс и реално постигнатия обхват на обновяване на жилищния фонд. Въпреки безспорните ползи на ниво отделна сграда и домакинство – подобрен комфорт, намалени енергийни разходи и по-добри енергийни характеристики – ефектът върху целия многофамилен жилищен фонд остава ограничен в мащаб. Дори при силно оптимистичен сценарий за пълна реализация на всички планирани интервенции до 2030 г., над 90% от МЖС в страната ще останат извън обхвата на публично подпомаганото енергийно обновяване.</w:t>
      </w:r>
    </w:p>
    <w:p w14:paraId="6DB0C4D9"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Анализът на натрупаните резултати очертава ясно основните характеристики на прилагания до момента модел за обновяване:</w:t>
      </w:r>
    </w:p>
    <w:p w14:paraId="317CB85C" w14:textId="77777777" w:rsidR="00D15956" w:rsidRPr="006F3533" w:rsidRDefault="00D15956" w:rsidP="00551FED">
      <w:pPr>
        <w:numPr>
          <w:ilvl w:val="0"/>
          <w:numId w:val="117"/>
        </w:numPr>
        <w:spacing w:line="240" w:lineRule="auto"/>
        <w:contextualSpacing/>
        <w:jc w:val="both"/>
        <w:rPr>
          <w:rFonts w:eastAsia="Times New Roman" w:cs="Times New Roman"/>
          <w:szCs w:val="24"/>
          <w:lang w:val="bg-BG" w:eastAsia="bg-BG"/>
        </w:rPr>
      </w:pPr>
      <w:r w:rsidRPr="006F3533">
        <w:rPr>
          <w:rFonts w:eastAsia="Times New Roman" w:cs="Times New Roman"/>
          <w:szCs w:val="24"/>
          <w:lang w:val="bg-BG" w:eastAsia="bg-BG"/>
        </w:rPr>
        <w:t xml:space="preserve">доминиращ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xml:space="preserve"> подход, с висок до пълен интензитет на БФП;</w:t>
      </w:r>
    </w:p>
    <w:p w14:paraId="18B98142" w14:textId="77777777" w:rsidR="00D15956" w:rsidRPr="006F3533" w:rsidRDefault="00D15956" w:rsidP="00551FED">
      <w:pPr>
        <w:numPr>
          <w:ilvl w:val="0"/>
          <w:numId w:val="117"/>
        </w:numPr>
        <w:spacing w:line="240" w:lineRule="auto"/>
        <w:contextualSpacing/>
        <w:jc w:val="both"/>
        <w:rPr>
          <w:rFonts w:eastAsia="Times New Roman" w:cs="Times New Roman"/>
          <w:szCs w:val="24"/>
          <w:lang w:val="bg-BG" w:eastAsia="bg-BG"/>
        </w:rPr>
      </w:pPr>
      <w:r w:rsidRPr="006F3533">
        <w:rPr>
          <w:rFonts w:eastAsia="Times New Roman" w:cs="Times New Roman"/>
          <w:szCs w:val="24"/>
          <w:lang w:val="bg-BG" w:eastAsia="bg-BG"/>
        </w:rPr>
        <w:t>липса на механизми за рециклиране на публичния ресурс, което води до еднократно използване на значителни бюджетни средства без възможност за мултиплициращ ефект;</w:t>
      </w:r>
    </w:p>
    <w:p w14:paraId="1FA080AB" w14:textId="77777777" w:rsidR="00D15956" w:rsidRPr="006F3533" w:rsidRDefault="00D15956" w:rsidP="00551FED">
      <w:pPr>
        <w:numPr>
          <w:ilvl w:val="0"/>
          <w:numId w:val="117"/>
        </w:numPr>
        <w:spacing w:line="240" w:lineRule="auto"/>
        <w:contextualSpacing/>
        <w:jc w:val="both"/>
        <w:rPr>
          <w:rFonts w:eastAsia="Times New Roman" w:cs="Times New Roman"/>
          <w:szCs w:val="24"/>
          <w:lang w:val="bg-BG" w:eastAsia="bg-BG"/>
        </w:rPr>
      </w:pPr>
      <w:r w:rsidRPr="006F3533">
        <w:rPr>
          <w:rFonts w:eastAsia="Times New Roman" w:cs="Times New Roman"/>
          <w:szCs w:val="24"/>
          <w:lang w:val="bg-BG" w:eastAsia="bg-BG"/>
        </w:rPr>
        <w:t>ограничено (липса на) системно привличане на частно финансиране, включително банкови продукти, гаранционни инструменти и фондове;</w:t>
      </w:r>
    </w:p>
    <w:p w14:paraId="6B74E2BB" w14:textId="77777777" w:rsidR="00D15956" w:rsidRPr="006F3533" w:rsidRDefault="00D15956" w:rsidP="00551FED">
      <w:pPr>
        <w:numPr>
          <w:ilvl w:val="0"/>
          <w:numId w:val="117"/>
        </w:numPr>
        <w:spacing w:line="240" w:lineRule="auto"/>
        <w:contextualSpacing/>
        <w:jc w:val="both"/>
        <w:rPr>
          <w:rFonts w:eastAsia="Times New Roman" w:cs="Times New Roman"/>
          <w:szCs w:val="24"/>
          <w:lang w:val="bg-BG" w:eastAsia="bg-BG"/>
        </w:rPr>
      </w:pPr>
      <w:r w:rsidRPr="006F3533">
        <w:rPr>
          <w:rFonts w:eastAsia="Times New Roman" w:cs="Times New Roman"/>
          <w:szCs w:val="24"/>
          <w:lang w:val="bg-BG" w:eastAsia="bg-BG"/>
        </w:rPr>
        <w:lastRenderedPageBreak/>
        <w:t>кампаниен характер на интервенциите, обвързан с конкретни програмни периоди, временни бюджетни решения и силна зависимост от политически цикли.</w:t>
      </w:r>
    </w:p>
    <w:p w14:paraId="7E2B0C20"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Натрупаният опит безспорно е довел до изграждане на значителен административен и технически капацитет – на национално и общинско ниво – за подготовка, администриране и изпълнение на проекти за сградно обновяване. В същото време този опит ясно очертава и структурните ограничения на модела по отношение на неговата </w:t>
      </w:r>
      <w:proofErr w:type="spellStart"/>
      <w:r w:rsidRPr="006F3533">
        <w:rPr>
          <w:rFonts w:eastAsia="Times New Roman" w:cs="Times New Roman"/>
          <w:szCs w:val="24"/>
          <w:lang w:val="bg-BG" w:eastAsia="bg-BG"/>
        </w:rPr>
        <w:t>мащабируемост</w:t>
      </w:r>
      <w:proofErr w:type="spellEnd"/>
      <w:r w:rsidRPr="006F3533">
        <w:rPr>
          <w:rFonts w:eastAsia="Times New Roman" w:cs="Times New Roman"/>
          <w:szCs w:val="24"/>
          <w:lang w:val="bg-BG" w:eastAsia="bg-BG"/>
        </w:rPr>
        <w:t xml:space="preserve">, устойчивост и дългосрочно въздействие върху жилищния сграден фонд. В този контекст кумулативният ефект от досегашните и планираните интервенции потвърждава необходимостта от еволюция на модела на финансиране и управление – от изцяло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кампаниен подход към по-гъвкава, диференцирана и пазарно допълваща рамка. Такава рамка следва да комбинира публичната подкрепа с финансово участие, социално насочени механизми за уязвимите домакинства и устойчиви инструменти за мобилизиране на частен ресурс, ако целта е постигане на реален, мащабен и дългосрочен ефект върху целия многофамилен жилищен фонд в страната.</w:t>
      </w:r>
    </w:p>
    <w:p w14:paraId="547D32EA" w14:textId="77777777" w:rsidR="00D15956" w:rsidRPr="006F3533" w:rsidRDefault="00D15956" w:rsidP="00D15956">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 xml:space="preserve">5. Потенциал и роля на Националния </w:t>
      </w:r>
      <w:proofErr w:type="spellStart"/>
      <w:r w:rsidRPr="006F3533">
        <w:rPr>
          <w:rFonts w:eastAsia="Times New Roman" w:cs="Times New Roman"/>
          <w:b/>
          <w:bCs/>
          <w:szCs w:val="24"/>
          <w:lang w:val="bg-BG" w:eastAsia="bg-BG"/>
        </w:rPr>
        <w:t>декарбонизационен</w:t>
      </w:r>
      <w:proofErr w:type="spellEnd"/>
      <w:r w:rsidRPr="006F3533">
        <w:rPr>
          <w:rFonts w:eastAsia="Times New Roman" w:cs="Times New Roman"/>
          <w:b/>
          <w:bCs/>
          <w:szCs w:val="24"/>
          <w:lang w:val="bg-BG" w:eastAsia="bg-BG"/>
        </w:rPr>
        <w:t xml:space="preserve"> фонд (НДФ)</w:t>
      </w:r>
    </w:p>
    <w:p w14:paraId="62172E9F"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Разработването на настоящата точка се основава на публично достъпната концептуална рамка за Националния </w:t>
      </w:r>
      <w:proofErr w:type="spellStart"/>
      <w:r w:rsidRPr="006F3533">
        <w:rPr>
          <w:rFonts w:eastAsia="Times New Roman" w:cs="Times New Roman"/>
          <w:szCs w:val="24"/>
          <w:lang w:val="bg-BG" w:eastAsia="bg-BG"/>
        </w:rPr>
        <w:t>декарбонизационен</w:t>
      </w:r>
      <w:proofErr w:type="spellEnd"/>
      <w:r w:rsidRPr="006F3533">
        <w:rPr>
          <w:rFonts w:eastAsia="Times New Roman" w:cs="Times New Roman"/>
          <w:szCs w:val="24"/>
          <w:lang w:val="bg-BG" w:eastAsia="bg-BG"/>
        </w:rPr>
        <w:t xml:space="preserve"> фонд (НДФ), както и на анализа на структурните ограничения и пазарните нужди, идентифицирани в отделните части на настоящия документ. Представените механизми и инструменти не следва да се разглеждат като окончателно приети параметри, а като аналитично формулирани елементи, които отразяват утвърдената европейска практика при прилагане на финансови инструменти в жилищния сектор и логиката на българския пазар. Целта е да се очертае реалистичен, работещ и </w:t>
      </w:r>
      <w:proofErr w:type="spellStart"/>
      <w:r w:rsidRPr="006F3533">
        <w:rPr>
          <w:rFonts w:eastAsia="Times New Roman" w:cs="Times New Roman"/>
          <w:szCs w:val="24"/>
          <w:lang w:val="bg-BG" w:eastAsia="bg-BG"/>
        </w:rPr>
        <w:t>мащабируем</w:t>
      </w:r>
      <w:proofErr w:type="spellEnd"/>
      <w:r w:rsidRPr="006F3533">
        <w:rPr>
          <w:rFonts w:eastAsia="Times New Roman" w:cs="Times New Roman"/>
          <w:szCs w:val="24"/>
          <w:lang w:val="bg-BG" w:eastAsia="bg-BG"/>
        </w:rPr>
        <w:t xml:space="preserve"> модел за функционирането на НДФ, който да преодолее ограниченията на досегашния изцяло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xml:space="preserve"> подход.</w:t>
      </w:r>
    </w:p>
    <w:p w14:paraId="2E646E04" w14:textId="77777777" w:rsidR="00D15956" w:rsidRPr="006F3533" w:rsidRDefault="00D15956" w:rsidP="00D15956">
      <w:pPr>
        <w:spacing w:line="240" w:lineRule="auto"/>
        <w:jc w:val="both"/>
        <w:rPr>
          <w:rFonts w:eastAsia="Times New Roman" w:cs="Times New Roman"/>
          <w:b/>
          <w:bCs/>
          <w:i/>
          <w:iCs/>
          <w:szCs w:val="24"/>
          <w:lang w:val="bg-BG" w:eastAsia="bg-BG"/>
        </w:rPr>
      </w:pPr>
      <w:r w:rsidRPr="006F3533">
        <w:rPr>
          <w:rFonts w:eastAsia="Times New Roman" w:cs="Times New Roman"/>
          <w:b/>
          <w:bCs/>
          <w:i/>
          <w:iCs/>
          <w:szCs w:val="24"/>
          <w:lang w:val="bg-BG" w:eastAsia="bg-BG"/>
        </w:rPr>
        <w:t>Очаквани механизми и инструменти</w:t>
      </w:r>
    </w:p>
    <w:p w14:paraId="5DDD6AA4"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Националният </w:t>
      </w:r>
      <w:proofErr w:type="spellStart"/>
      <w:r w:rsidRPr="006F3533">
        <w:rPr>
          <w:rFonts w:eastAsia="Times New Roman" w:cs="Times New Roman"/>
          <w:szCs w:val="24"/>
          <w:lang w:val="bg-BG" w:eastAsia="bg-BG"/>
        </w:rPr>
        <w:t>декарбонизационен</w:t>
      </w:r>
      <w:proofErr w:type="spellEnd"/>
      <w:r w:rsidRPr="006F3533">
        <w:rPr>
          <w:rFonts w:eastAsia="Times New Roman" w:cs="Times New Roman"/>
          <w:szCs w:val="24"/>
          <w:lang w:val="bg-BG" w:eastAsia="bg-BG"/>
        </w:rPr>
        <w:t xml:space="preserve"> фонд е замислен като ключов инструмент за преход от кампанийни, еднократни </w:t>
      </w:r>
      <w:proofErr w:type="spellStart"/>
      <w:r w:rsidRPr="006F3533">
        <w:rPr>
          <w:rFonts w:eastAsia="Times New Roman" w:cs="Times New Roman"/>
          <w:szCs w:val="24"/>
          <w:lang w:val="bg-BG" w:eastAsia="bg-BG"/>
        </w:rPr>
        <w:t>грантови</w:t>
      </w:r>
      <w:proofErr w:type="spellEnd"/>
      <w:r w:rsidRPr="006F3533">
        <w:rPr>
          <w:rFonts w:eastAsia="Times New Roman" w:cs="Times New Roman"/>
          <w:szCs w:val="24"/>
          <w:lang w:val="bg-BG" w:eastAsia="bg-BG"/>
        </w:rPr>
        <w:t xml:space="preserve"> схеми към устойчив модел за финансиране, комбиниращ публични средства и частен капитал. НДФ не следва да замества грантовете, а да ги използва значително по-целенасочено – в комбинация с кредити, гаранции и техническа помощ – така че с ограничен публичен ресурс да се постигне по-голям обхват и по-дългосрочен ефект. В този смисъл фондът изпълнява ролята на „катализатор“, който намалява риска за частния сектор и създава условия за активно участие на финансовите институции в обновяването на жилищния фонд.</w:t>
      </w:r>
    </w:p>
    <w:p w14:paraId="1250F198"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Един от основните очаквани механизми в рамките на НДФ са гаранционните инструменти. Чрез предоставяне на частични гаранции към търговските банки фондът може да поеме част от кредитния риск при финансиране на сдружения на собствениците. Този подход е в основата на разработваните по европейски проекти модели, включително по проект </w:t>
      </w:r>
      <w:proofErr w:type="spellStart"/>
      <w:r w:rsidRPr="006F3533">
        <w:rPr>
          <w:rFonts w:eastAsia="Times New Roman" w:cs="Times New Roman"/>
          <w:szCs w:val="24"/>
          <w:lang w:val="bg-BG" w:eastAsia="bg-BG"/>
        </w:rPr>
        <w:t>INSPIRenov</w:t>
      </w:r>
      <w:proofErr w:type="spellEnd"/>
      <w:r w:rsidRPr="006F3533">
        <w:rPr>
          <w:rFonts w:eastAsia="Times New Roman" w:cs="Times New Roman"/>
          <w:szCs w:val="24"/>
          <w:lang w:val="bg-BG" w:eastAsia="bg-BG"/>
        </w:rPr>
        <w:t>, и има потенциала да отключи достъпа на банковата система до сегмент, който до момента се възприема като високорисков. Гаранциите позволяват предлагане на по-ниски лихви, по-дълги срокове и по-гъвкави условия, както и кредитиране на сгради и сдружения с по-ограничен финансов капацитет.</w:t>
      </w:r>
    </w:p>
    <w:p w14:paraId="465109CB"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 xml:space="preserve">В тясна връзка с това стои моделът на смесено финансиране, при който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xml:space="preserve"> компонент се комбинира с пазарно кредитиране. Този модел е широко валидиран в редица европейски държави и позволява ефективно споделяне на риска между публичния и частния сектор. Чрез смесеното финансиране публичният ресурс се мултиплицира, като всеки вложен лев публични средства привлича няколко лева частен капитал. По този начин се създават предпоставки за значително по-широк обхват на интервенциите без пропорционално увеличение на бюджетните разходи.</w:t>
      </w:r>
    </w:p>
    <w:p w14:paraId="2DF185B7"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Допълнителен инструмент с ключово значение е възможността за субсидиране на лихви или на част от главницата по кредитите. Този тип подкрепа позволява намаляване на реалната финансова тежест за домакинствата и е особено важен в контекста на установената в редица тематични разработки ниска готовност за поемане на дългосрочен кредитен ангажимент. В условията на висока чувствителност към разходите и ограничени спестявания, дори сравнително малка лихвена субсидия може да се окаже решаваща за вземането на положително решение от страна на сдруженията на собствениците.</w:t>
      </w:r>
    </w:p>
    <w:p w14:paraId="25A39692"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Функционирането на всички тези финансови инструменти е неразривно свързано с осигуряването на техническа помощ. В рамките на НДФ техническата помощ не следва да се разглежда като допълнителен, вторичен елемент, а като интегрална част от самия финансов модел. Обновяването на МЖС е сложен процес, който включва енергийни и технически обследвания, изготвяне на технически паспорти и инвестиционни проекти, както и управление на организационни, правни и финансови аспекти. Без системна техническа помощ моделът „грант плюс заем“ трудно може да бъде приложен успешно на ниво етажна собственост.</w:t>
      </w:r>
    </w:p>
    <w:p w14:paraId="0FD437C2"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Именно тук ключова роля играят Центровете за комплексно обслужване или т.нар. „обслужване на едно гише“ (ЦКО/OSS). Те поемат функции по координация между собствениците, организиране на общи събрания и вземане на решения, подготовка на документация, комуникация между одитори, проектанти, строители и банки, съдействие при избор на изпълнители, контрол на качеството и цялостно управление на процеса. Тези функции изискват експертиза и административен капацитет, които обикновено липсват на ниво етажна собственост, и затова не могат да бъдат прехвърлени върху самите собственици.</w:t>
      </w:r>
    </w:p>
    <w:p w14:paraId="5B6BC359" w14:textId="77777777" w:rsidR="00D15956" w:rsidRPr="006F3533" w:rsidRDefault="00D15956" w:rsidP="00D15956">
      <w:pPr>
        <w:spacing w:line="240" w:lineRule="auto"/>
        <w:jc w:val="both"/>
        <w:rPr>
          <w:rFonts w:eastAsia="Times New Roman" w:cs="Times New Roman"/>
          <w:b/>
          <w:bCs/>
          <w:i/>
          <w:iCs/>
          <w:szCs w:val="24"/>
          <w:lang w:val="bg-BG" w:eastAsia="bg-BG"/>
        </w:rPr>
      </w:pPr>
      <w:r w:rsidRPr="006F3533">
        <w:rPr>
          <w:rFonts w:eastAsia="Times New Roman" w:cs="Times New Roman"/>
          <w:b/>
          <w:bCs/>
          <w:i/>
          <w:iCs/>
          <w:szCs w:val="24"/>
          <w:lang w:val="bg-BG" w:eastAsia="bg-BG"/>
        </w:rPr>
        <w:t>Възможности за привличане на частен капитал</w:t>
      </w:r>
    </w:p>
    <w:p w14:paraId="50321E2C"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НДФ има значителен потенциал за привличане на частен капитал чрез модели на смесено финансиране. Чрез създаване на специализирани кредитни продукти, подкрепени с гаранции от фонда, за първи път се създава реална възможност търговските банки да кредитират сдруженията на собствениците като единен правен субект. Ключов елемент при проектирането на тези продукти е определянето на праговото ниво на публичното финансиране. При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xml:space="preserve"> компонент над 50% проектите попадат в обхвата на Закона за обществените поръчки, което води до по-сложни и по-дълги процедури. Това прави подобен модел по-подходящ за големи сгради, за сгради в уязвими райони и за сдружения с ограничен финансов капацитет, при които по-високият грант компенсира административната тежест. От друга страна, при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xml:space="preserve"> компонент до 50% проектите не попадат под изискванията на ЗОП, което дава възможност на етажната собственост да избира изпълнители по пазарни правила, да съкрати значително сроковете и да структурира обновяването по-гъвкаво според </w:t>
      </w:r>
      <w:r w:rsidRPr="006F3533">
        <w:rPr>
          <w:rFonts w:eastAsia="Times New Roman" w:cs="Times New Roman"/>
          <w:szCs w:val="24"/>
          <w:lang w:val="bg-BG" w:eastAsia="bg-BG"/>
        </w:rPr>
        <w:lastRenderedPageBreak/>
        <w:t>конкретните нужди на сградата. Този сценарий е особено подходящ за малки и средни сгради и за сдружения с по-висока готовност за финансово участие чрез заем или собствен принос. Именно този тип схеми имат потенциал да осигурят най-широк обхват при по-ниска административна цена.</w:t>
      </w:r>
    </w:p>
    <w:p w14:paraId="2DBC6CF4"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Връзката на НДФ с търговските банки и инвестиционните фондове се основава на комбинация от гаранции, нисколихвени кредитни линии, включително чрез ЕИБ и ЕБВР, както и съфинансиране на риска. Това създава условия за развитие на напълно нов сегмент от финансови продукти, насочени към жилищните сгради, който до момента практически липсва на българския пазар.</w:t>
      </w:r>
    </w:p>
    <w:p w14:paraId="30ACA6DB" w14:textId="77777777" w:rsidR="00D15956" w:rsidRPr="006F3533" w:rsidRDefault="00D15956" w:rsidP="00D15956">
      <w:pPr>
        <w:spacing w:line="240" w:lineRule="auto"/>
        <w:jc w:val="both"/>
        <w:rPr>
          <w:rFonts w:eastAsia="Times New Roman" w:cs="Times New Roman"/>
          <w:b/>
          <w:bCs/>
          <w:i/>
          <w:iCs/>
          <w:szCs w:val="24"/>
          <w:lang w:val="bg-BG" w:eastAsia="bg-BG"/>
        </w:rPr>
      </w:pPr>
      <w:r w:rsidRPr="006F3533">
        <w:rPr>
          <w:rFonts w:eastAsia="Times New Roman" w:cs="Times New Roman"/>
          <w:b/>
          <w:bCs/>
          <w:i/>
          <w:iCs/>
          <w:szCs w:val="24"/>
          <w:lang w:val="bg-BG" w:eastAsia="bg-BG"/>
        </w:rPr>
        <w:t>Влияние върху устойчивостта</w:t>
      </w:r>
    </w:p>
    <w:p w14:paraId="6A89EDB5"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От гледна точка на устойчивостта, НДФ има потенциала да прекъсне зависимостта на пазара от ограничени във времето </w:t>
      </w:r>
      <w:proofErr w:type="spellStart"/>
      <w:r w:rsidRPr="006F3533">
        <w:rPr>
          <w:rFonts w:eastAsia="Times New Roman" w:cs="Times New Roman"/>
          <w:szCs w:val="24"/>
          <w:lang w:val="bg-BG" w:eastAsia="bg-BG"/>
        </w:rPr>
        <w:t>грантови</w:t>
      </w:r>
      <w:proofErr w:type="spellEnd"/>
      <w:r w:rsidRPr="006F3533">
        <w:rPr>
          <w:rFonts w:eastAsia="Times New Roman" w:cs="Times New Roman"/>
          <w:szCs w:val="24"/>
          <w:lang w:val="bg-BG" w:eastAsia="bg-BG"/>
        </w:rPr>
        <w:t xml:space="preserve"> програми и да създаде стабилен, предвидим цикъл на проекти за сградно обновяване след 2027 г., когато ресурсът по НПВУ и ПРР ще бъде изчерпан. Анализите на ЕИБ показват, че дългосрочни инструменти от този тип позволяват на строителния и проектантския сектор да планира инвестиции в персонал и техника на база устойчив поток от проекти, вместо да реагира кампанийно на отделни програми.</w:t>
      </w:r>
    </w:p>
    <w:p w14:paraId="487123E7"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този смисъл НДФ може да награди ефекта на НПВУ, който осигури краткосрочен, мащабен импулс чрез 100% </w:t>
      </w:r>
      <w:proofErr w:type="spellStart"/>
      <w:r w:rsidRPr="006F3533">
        <w:rPr>
          <w:rFonts w:eastAsia="Times New Roman" w:cs="Times New Roman"/>
          <w:szCs w:val="24"/>
          <w:lang w:val="bg-BG" w:eastAsia="bg-BG"/>
        </w:rPr>
        <w:t>грантово</w:t>
      </w:r>
      <w:proofErr w:type="spellEnd"/>
      <w:r w:rsidRPr="006F3533">
        <w:rPr>
          <w:rFonts w:eastAsia="Times New Roman" w:cs="Times New Roman"/>
          <w:szCs w:val="24"/>
          <w:lang w:val="bg-BG" w:eastAsia="bg-BG"/>
        </w:rPr>
        <w:t xml:space="preserve"> финансиране, но не създаде устойчива пазарна рамка. Фондът може да предложи трайно решение, което комбинира грантове и пазарно финансиране, позволява индивидуализиране на подкрепата според характеристиките на сградата и социално-икономическия профил на обитателите и преодолява ограниченията на единните референтни цени.</w:t>
      </w:r>
    </w:p>
    <w:p w14:paraId="377B2504"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Създаването на предсказуем финансов инструмент от този тип гарантира устойчивост не само на процеса на обновяване, но и на всички участници в него – строителни и проектантски фирми, ЦКО/OSS структури и финансови институции. Допълнително, ефективността на НДФ може да бъде значително повишена чрез синергии с други европейски и национални инструменти, като ELENA, </w:t>
      </w:r>
      <w:proofErr w:type="spellStart"/>
      <w:r w:rsidRPr="006F3533">
        <w:rPr>
          <w:rFonts w:eastAsia="Times New Roman" w:cs="Times New Roman"/>
          <w:szCs w:val="24"/>
          <w:lang w:val="bg-BG" w:eastAsia="bg-BG"/>
        </w:rPr>
        <w:t>InvestEU</w:t>
      </w:r>
      <w:proofErr w:type="spellEnd"/>
      <w:r w:rsidRPr="006F3533">
        <w:rPr>
          <w:rFonts w:eastAsia="Times New Roman" w:cs="Times New Roman"/>
          <w:szCs w:val="24"/>
          <w:lang w:val="bg-BG" w:eastAsia="bg-BG"/>
        </w:rPr>
        <w:t xml:space="preserve">, Социалния фонд за климата, структурните фондове и национални програми. Европейската инвестиционна банка изрично препоръчва подобен многослоен подход, при който различните инструменти изпълняват ясно разпределени роли – техническа помощ, гаранции, нискорискови инвестиционни прозорци и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xml:space="preserve"> компонент. Това позволява по-ниски лихви, по-голяма достъпност и по-ефективно насочване на подкрепата, особено към уязвимите домакинства.</w:t>
      </w:r>
    </w:p>
    <w:p w14:paraId="0A47EAF7"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този контекст Националният </w:t>
      </w:r>
      <w:proofErr w:type="spellStart"/>
      <w:r w:rsidRPr="006F3533">
        <w:rPr>
          <w:rFonts w:eastAsia="Times New Roman" w:cs="Times New Roman"/>
          <w:szCs w:val="24"/>
          <w:lang w:val="bg-BG" w:eastAsia="bg-BG"/>
        </w:rPr>
        <w:t>декарбонизационен</w:t>
      </w:r>
      <w:proofErr w:type="spellEnd"/>
      <w:r w:rsidRPr="006F3533">
        <w:rPr>
          <w:rFonts w:eastAsia="Times New Roman" w:cs="Times New Roman"/>
          <w:szCs w:val="24"/>
          <w:lang w:val="bg-BG" w:eastAsia="bg-BG"/>
        </w:rPr>
        <w:t xml:space="preserve"> фонд се очертава като ключов елемент за дългосрочната трансформация на пазара за енергийно обновяване на жилищните сгради в България и за преминаване от ресурсно интензивен, ограничен по обхват модел към устойчив, </w:t>
      </w:r>
      <w:proofErr w:type="spellStart"/>
      <w:r w:rsidRPr="006F3533">
        <w:rPr>
          <w:rFonts w:eastAsia="Times New Roman" w:cs="Times New Roman"/>
          <w:szCs w:val="24"/>
          <w:lang w:val="bg-BG" w:eastAsia="bg-BG"/>
        </w:rPr>
        <w:t>мащабируем</w:t>
      </w:r>
      <w:proofErr w:type="spellEnd"/>
      <w:r w:rsidRPr="006F3533">
        <w:rPr>
          <w:rFonts w:eastAsia="Times New Roman" w:cs="Times New Roman"/>
          <w:szCs w:val="24"/>
          <w:lang w:val="bg-BG" w:eastAsia="bg-BG"/>
        </w:rPr>
        <w:t xml:space="preserve"> и социално балансиран подход.</w:t>
      </w:r>
    </w:p>
    <w:p w14:paraId="040DB769" w14:textId="77777777" w:rsidR="00D15956" w:rsidRPr="006F3533" w:rsidRDefault="00D15956" w:rsidP="00D15956">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Еднофамилни жилищни сгради</w:t>
      </w:r>
    </w:p>
    <w:p w14:paraId="1D41FB08"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За разлика от многофамилните жилищни сгради, през разглеждания период в България не е прилаган устойчив и последователен национален инструмент, насочен към цялостно енергийно обновяване на еднофамилните жилищни сгради. Подкрепата за този сегмент се реализира фрагментирано – чрез секторни, тематични и териториално </w:t>
      </w:r>
      <w:r w:rsidRPr="006F3533">
        <w:rPr>
          <w:rFonts w:eastAsia="Times New Roman" w:cs="Times New Roman"/>
          <w:szCs w:val="24"/>
          <w:lang w:val="bg-BG" w:eastAsia="bg-BG"/>
        </w:rPr>
        <w:lastRenderedPageBreak/>
        <w:t>ограничени мерки, които имат индиректен или частичен ефект върху енергийната ефективност, но не формират интегрирана политика за сградно обновяване.</w:t>
      </w:r>
    </w:p>
    <w:p w14:paraId="07482B1D"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Най-съществените публични интервенции, които засягат еднофамилните жилища, са свързани с политики за подобряване на качеството на атмосферния въздух. В рамките на приоритетна ос 5 „Подобряване качеството на атмосферния въздух“ на ОПОС 2014–2020 г., както и чрез последващи инициативи като интегрираният проект „Българските общини работят заедно за подобряване на качеството на атмосферния въздух“, се финансират мерки за подмяна на отоплителни уреди на твърдо гориво с по-екологични алтернативи. Подобен характер има и процедура „За по-чист въздух!“ по Програма „Околна среда“ 2021–2027 г., насочена към 21 общини, при която реалното масово изпълнение започва основно след 2024 г.</w:t>
      </w:r>
    </w:p>
    <w:p w14:paraId="76AABCC4"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Тези интервенции имат безспорен положителен ефект по отношение на емисиите и крайното енергийно потребление на домакинствата, но не могат да се разглеждат като политики за сградно обновяване в тесния смисъл. Те не обхващат сградната обвивка, топлотехническите характеристики на ограждащите елементи, нито цялостните технически системи, които са ключови за постигане на дълбоки и устойчиви енергийни спестявания.</w:t>
      </w:r>
    </w:p>
    <w:p w14:paraId="0F18A51D"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 контекста на ОПРР 2014–2020 г. обновяването на жилищни сгради е насочено предимно към МЖС. Единствените по-съществени изключения, свързани с еднофамилните жилища, са заложени концептуално чрез финансови инструменти, които на практика не достигат до реално изпълнение.</w:t>
      </w:r>
    </w:p>
    <w:p w14:paraId="3F831164"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Повишаването на енергийната ефективност в еднофамилни жилищни сгради е предвидено да се осъществява чрез финансов механизъм в рамките на Фонд мениджър за финансови инструменти в България ЕАД и създадените Фонд за градско развитие Север и Регионален фонд за градско развитие. В тези фондове участват търговски банки като Сосиете Женерал Експресбанк АД и ОББ, които следва да изпълняват ролята на финансови посредници. Предвидената схема е насочена към физически лица – собственици на еднофамилни къщи, проектирани преди 1999 г., като „еднофамилна“ е дефинирана като сграда до три етажа с под шест самостоятелни жилищни обекта. Първоначалните параметри на продукта предвиждат постигане на минимален енергиен клас „С“, срок на кредита до 10–15 години и около 15% самоучастие от страна на крайния получател. </w:t>
      </w:r>
    </w:p>
    <w:p w14:paraId="223F0A96"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Към края на програмния период обаче този финансов механизъм остава нереализиран. Като основен фактор може да се посочи липсата на безвъзмезден компонент в схемата, съчетана с паралелното действие на програми, предоставящи 100% безвъзмездна помощ за енергийно обновяване в жилищния сектор, макар и насочени към друга целева група – многофамилните сгради. Това създава структурен дисбаланс и </w:t>
      </w:r>
      <w:proofErr w:type="spellStart"/>
      <w:r w:rsidRPr="006F3533">
        <w:rPr>
          <w:rFonts w:eastAsia="Times New Roman" w:cs="Times New Roman"/>
          <w:szCs w:val="24"/>
          <w:lang w:val="bg-BG" w:eastAsia="bg-BG"/>
        </w:rPr>
        <w:t>демотивация</w:t>
      </w:r>
      <w:proofErr w:type="spellEnd"/>
      <w:r w:rsidRPr="006F3533">
        <w:rPr>
          <w:rFonts w:eastAsia="Times New Roman" w:cs="Times New Roman"/>
          <w:szCs w:val="24"/>
          <w:lang w:val="bg-BG" w:eastAsia="bg-BG"/>
        </w:rPr>
        <w:t xml:space="preserve"> за развитие на пазарно ориентирани финансови продукти за еднофамилните жилища.</w:t>
      </w:r>
    </w:p>
    <w:p w14:paraId="6785ED7D"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рамките на НПВУ е въведена „Национална схема за подпомагане на домакинствата в областта на енергията от възобновяеми източници“, насочена към инсталиране на фотоволтаични системи и системи за БГВ за собствено потребление, включително в еднофамилни жилищни сгради. Анализът за 2024 г. показва, че прилагането на схемата е прекратено поради нисък темп на усвояване на ресурса, обусловен от комбинация от </w:t>
      </w:r>
      <w:r w:rsidRPr="006F3533">
        <w:rPr>
          <w:rFonts w:eastAsia="Times New Roman" w:cs="Times New Roman"/>
          <w:szCs w:val="24"/>
          <w:lang w:val="bg-BG" w:eastAsia="bg-BG"/>
        </w:rPr>
        <w:lastRenderedPageBreak/>
        <w:t>фактори – административна сложност на процедурите, недостатъчна информационна кампания и ограничен капацитет за консултиране на гражданите на местно ниво. Това допълнително потвърждава, че дори при наличие на финансов ресурс, липсата на адекватна подкрепяща инфраструктура и „обслужване на едно гише“ води до ограничен ефект.</w:t>
      </w:r>
    </w:p>
    <w:p w14:paraId="17F4BBD0" w14:textId="77777777" w:rsidR="00D15956" w:rsidRPr="006F3533" w:rsidRDefault="00D15956" w:rsidP="00D15956">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Въпреки липсата на цялостна национална политика, еднофамилните жилищни сгради не следва да бъдат подценявани като сегмент. По данни от анализа на жилищния фонд те представляват изключително значим дял – над 1 083 800 сгради с 1 333 594 жилища и обща РЗП от 125 833 282 кв. м. Това ги прави съпоставими по мащаб с многофамилния сектор.</w:t>
      </w:r>
    </w:p>
    <w:p w14:paraId="528514DD" w14:textId="63765D38" w:rsidR="00B572B1" w:rsidRPr="006F3533" w:rsidRDefault="00D15956"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Спецификата на еднофамилните сгради обаче предполага различен подход. Анализът до момента ясно показва, че за този сегмент по-подходящи са поетапни, гъвкави мерки – подмяна на дограма, частично или поетапно топлоизолиране, модернизация на отоплителните системи, внедряване на ВЕИ за собствено потребление – комбинирани с достъпни финансови инструменти и целенасочена техническа помощ. Опитът от предходните програми показва, че липсата на интегриран инструмент, който да съчетава кредит, ограничен </w:t>
      </w:r>
      <w:proofErr w:type="spellStart"/>
      <w:r w:rsidRPr="006F3533">
        <w:rPr>
          <w:rFonts w:eastAsia="Times New Roman" w:cs="Times New Roman"/>
          <w:szCs w:val="24"/>
          <w:lang w:val="bg-BG" w:eastAsia="bg-BG"/>
        </w:rPr>
        <w:t>грантов</w:t>
      </w:r>
      <w:proofErr w:type="spellEnd"/>
      <w:r w:rsidRPr="006F3533">
        <w:rPr>
          <w:rFonts w:eastAsia="Times New Roman" w:cs="Times New Roman"/>
          <w:szCs w:val="24"/>
          <w:lang w:val="bg-BG" w:eastAsia="bg-BG"/>
        </w:rPr>
        <w:t xml:space="preserve"> компонент и професионално консултиране, е основна бариера пред мащабното обновяване на този тип сгради. В този смисъл еднофамилните жилищни сгради представляват не „второстепенен“, а стратегически сегмент, за който бъдещите политики следва да предвидят специално адаптирани механизми, отчитащи както социално-икономическия профил на домакинствата, така и доказаната склонност към поетапни инвестиции в подобряване на жилищата.</w:t>
      </w:r>
    </w:p>
    <w:p w14:paraId="567E42F1" w14:textId="6500F4CB" w:rsidR="00B572B1" w:rsidRPr="006F3533" w:rsidRDefault="00B572B1" w:rsidP="00077D42">
      <w:pPr>
        <w:pStyle w:val="Heading2"/>
        <w:jc w:val="both"/>
        <w:rPr>
          <w:lang w:val="bg-BG" w:eastAsia="bg-BG"/>
        </w:rPr>
      </w:pPr>
      <w:bookmarkStart w:id="185" w:name="_Toc217888818"/>
      <w:r w:rsidRPr="006F3533">
        <w:rPr>
          <w:lang w:val="bg-BG" w:eastAsia="bg-BG"/>
        </w:rPr>
        <w:t>Нежилищни сгради</w:t>
      </w:r>
      <w:bookmarkEnd w:id="185"/>
    </w:p>
    <w:p w14:paraId="44DAFD87" w14:textId="5DCBB1D3"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Политиките за енергийно обновяване на нежилищния сграден фонд в България обхващат широк спектър от сгради – публични държавни и общински, образователни, здравни, социални, културни, както и сгради в сферата на услугите, производството и туризма. В сравнение с жилищния сектор, при нежилищните сгради се прилага </w:t>
      </w:r>
      <w:r w:rsidRPr="006F3533">
        <w:rPr>
          <w:rFonts w:eastAsia="Times New Roman" w:cs="Times New Roman"/>
          <w:b/>
          <w:bCs/>
          <w:szCs w:val="24"/>
          <w:lang w:val="bg-BG" w:eastAsia="bg-BG"/>
        </w:rPr>
        <w:t>по-разнообразен набор от инструменти</w:t>
      </w:r>
      <w:r w:rsidRPr="006F3533">
        <w:rPr>
          <w:rFonts w:eastAsia="Times New Roman" w:cs="Times New Roman"/>
          <w:szCs w:val="24"/>
          <w:lang w:val="bg-BG" w:eastAsia="bg-BG"/>
        </w:rPr>
        <w:t xml:space="preserve">, но и тук </w:t>
      </w:r>
      <w:r w:rsidRPr="006F3533">
        <w:rPr>
          <w:rFonts w:eastAsia="Times New Roman" w:cs="Times New Roman"/>
          <w:b/>
          <w:bCs/>
          <w:szCs w:val="24"/>
          <w:lang w:val="bg-BG" w:eastAsia="bg-BG"/>
        </w:rPr>
        <w:t>доминира използването на безвъзмездна финансова помощ</w:t>
      </w:r>
      <w:r w:rsidRPr="006F3533">
        <w:rPr>
          <w:rFonts w:eastAsia="Times New Roman" w:cs="Times New Roman"/>
          <w:szCs w:val="24"/>
          <w:lang w:val="bg-BG" w:eastAsia="bg-BG"/>
        </w:rPr>
        <w:t>, като финансовите инструменти и смесените модели имат по-ограничено приложение.</w:t>
      </w:r>
      <w:r w:rsidR="00CF3D85" w:rsidRPr="006F3533">
        <w:rPr>
          <w:rFonts w:eastAsia="Times New Roman" w:cs="Times New Roman"/>
          <w:szCs w:val="24"/>
          <w:lang w:val="bg-BG" w:eastAsia="bg-BG"/>
        </w:rPr>
        <w:t xml:space="preserve"> На практика обаче подкрепата е силно концентрирана в публичния нежилищен сграден фонд, докато частните нежилищни сгради (в секторите услуги, търговия, туризъм и производство) имат значително по-ограничен достъп до устойчиви и </w:t>
      </w:r>
      <w:proofErr w:type="spellStart"/>
      <w:r w:rsidR="00CF3D85" w:rsidRPr="006F3533">
        <w:rPr>
          <w:rFonts w:eastAsia="Times New Roman" w:cs="Times New Roman"/>
          <w:szCs w:val="24"/>
          <w:lang w:val="bg-BG" w:eastAsia="bg-BG"/>
        </w:rPr>
        <w:t>мащабируеми</w:t>
      </w:r>
      <w:proofErr w:type="spellEnd"/>
      <w:r w:rsidR="00CF3D85" w:rsidRPr="006F3533">
        <w:rPr>
          <w:rFonts w:eastAsia="Times New Roman" w:cs="Times New Roman"/>
          <w:szCs w:val="24"/>
          <w:lang w:val="bg-BG" w:eastAsia="bg-BG"/>
        </w:rPr>
        <w:t xml:space="preserve"> финансови инструменти, извън отделни </w:t>
      </w:r>
      <w:proofErr w:type="spellStart"/>
      <w:r w:rsidR="00CF3D85" w:rsidRPr="006F3533">
        <w:rPr>
          <w:rFonts w:eastAsia="Times New Roman" w:cs="Times New Roman"/>
          <w:szCs w:val="24"/>
          <w:lang w:val="bg-BG" w:eastAsia="bg-BG"/>
        </w:rPr>
        <w:t>грантови</w:t>
      </w:r>
      <w:proofErr w:type="spellEnd"/>
      <w:r w:rsidR="00CF3D85" w:rsidRPr="006F3533">
        <w:rPr>
          <w:rFonts w:eastAsia="Times New Roman" w:cs="Times New Roman"/>
          <w:szCs w:val="24"/>
          <w:lang w:val="bg-BG" w:eastAsia="bg-BG"/>
        </w:rPr>
        <w:t xml:space="preserve"> схеми с ограничен обхват.</w:t>
      </w:r>
    </w:p>
    <w:p w14:paraId="203D060D"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Основни програми и инструменти</w:t>
      </w:r>
    </w:p>
    <w:p w14:paraId="50AB5B41" w14:textId="45036A7A" w:rsidR="00432A81" w:rsidRPr="006F3533" w:rsidRDefault="00B572B1" w:rsidP="00551FED">
      <w:pPr>
        <w:pStyle w:val="ListParagraph"/>
        <w:numPr>
          <w:ilvl w:val="0"/>
          <w:numId w:val="85"/>
        </w:num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Оперативна програма „Региони в растеж“ 2014–2020 и Програма „Развитие на регионите“ 2021–2027</w:t>
      </w:r>
    </w:p>
    <w:p w14:paraId="601DEAAD" w14:textId="6E0F0122" w:rsidR="00B572B1" w:rsidRPr="006F3533" w:rsidRDefault="00B572B1" w:rsidP="00432A81">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Програмите за регионално развитие са основен източник на финансиране за енергийно обновяване на нежилищни сгради, особено в публичния сектор. Подкрепата е насочена към:</w:t>
      </w:r>
    </w:p>
    <w:p w14:paraId="76C0D366" w14:textId="77777777" w:rsidR="00B572B1" w:rsidRPr="006F3533" w:rsidRDefault="00B572B1" w:rsidP="00551FED">
      <w:pPr>
        <w:numPr>
          <w:ilvl w:val="0"/>
          <w:numId w:val="77"/>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административни сгради на държавната и общинската администрация;</w:t>
      </w:r>
    </w:p>
    <w:p w14:paraId="5E7AE71D" w14:textId="77777777" w:rsidR="00B572B1" w:rsidRPr="006F3533" w:rsidRDefault="00B572B1" w:rsidP="00551FED">
      <w:pPr>
        <w:numPr>
          <w:ilvl w:val="0"/>
          <w:numId w:val="77"/>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образователна, културна и социална инфраструктура;</w:t>
      </w:r>
    </w:p>
    <w:p w14:paraId="2C013581" w14:textId="77777777" w:rsidR="00B572B1" w:rsidRPr="006F3533" w:rsidRDefault="00B572B1" w:rsidP="00551FED">
      <w:pPr>
        <w:numPr>
          <w:ilvl w:val="0"/>
          <w:numId w:val="77"/>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студентски общежития и други обществени сгради.</w:t>
      </w:r>
    </w:p>
    <w:p w14:paraId="456E53E7"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Интервенциите са обвързани с изисквания за минимално постигнат енергиен клас или минимално ниво на енергийни спестявания при комбиниране с основно обновяване. Финансирането е предоставяно основно под формата на </w:t>
      </w:r>
      <w:r w:rsidRPr="006F3533">
        <w:rPr>
          <w:rFonts w:eastAsia="Times New Roman" w:cs="Times New Roman"/>
          <w:b/>
          <w:bCs/>
          <w:szCs w:val="24"/>
          <w:lang w:val="bg-BG" w:eastAsia="bg-BG"/>
        </w:rPr>
        <w:t>безвъзмездна помощ</w:t>
      </w:r>
      <w:r w:rsidRPr="006F3533">
        <w:rPr>
          <w:rFonts w:eastAsia="Times New Roman" w:cs="Times New Roman"/>
          <w:szCs w:val="24"/>
          <w:lang w:val="bg-BG" w:eastAsia="bg-BG"/>
        </w:rPr>
        <w:t>, като програмите играят ключова роля за обновяването на остарелия публичен сграден фонд, особено в по-малките и периферни общини.</w:t>
      </w:r>
    </w:p>
    <w:p w14:paraId="5453EBF5" w14:textId="328FEF9F" w:rsidR="00432A81" w:rsidRPr="006F3533" w:rsidRDefault="00B572B1" w:rsidP="00551FED">
      <w:pPr>
        <w:pStyle w:val="ListParagraph"/>
        <w:numPr>
          <w:ilvl w:val="0"/>
          <w:numId w:val="85"/>
        </w:num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Национален план за възстановяване и устойчивост (НПВУ)</w:t>
      </w:r>
    </w:p>
    <w:p w14:paraId="3495AE0B" w14:textId="6163FFA9" w:rsidR="00B572B1" w:rsidRPr="006F3533" w:rsidRDefault="00B572B1" w:rsidP="00432A81">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НПВУ разширява обхвата на интервенциите в нежилищния сектор чрез инвестиции в:</w:t>
      </w:r>
    </w:p>
    <w:p w14:paraId="6D42AFC3" w14:textId="77777777" w:rsidR="00B572B1" w:rsidRPr="006F3533" w:rsidRDefault="00B572B1" w:rsidP="00551FED">
      <w:pPr>
        <w:numPr>
          <w:ilvl w:val="0"/>
          <w:numId w:val="78"/>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енергийна ефективност на публични и общински сгради;</w:t>
      </w:r>
    </w:p>
    <w:p w14:paraId="325DCEE4" w14:textId="77777777" w:rsidR="00B572B1" w:rsidRPr="006F3533" w:rsidRDefault="00B572B1" w:rsidP="00551FED">
      <w:pPr>
        <w:numPr>
          <w:ilvl w:val="0"/>
          <w:numId w:val="78"/>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образователна инфраструктура;</w:t>
      </w:r>
    </w:p>
    <w:p w14:paraId="53D6CED4" w14:textId="77777777" w:rsidR="00B572B1" w:rsidRPr="006F3533" w:rsidRDefault="00B572B1" w:rsidP="00551FED">
      <w:pPr>
        <w:numPr>
          <w:ilvl w:val="0"/>
          <w:numId w:val="78"/>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системи за външно изкуствено осветление;</w:t>
      </w:r>
    </w:p>
    <w:p w14:paraId="72C97839" w14:textId="77777777" w:rsidR="00B572B1" w:rsidRPr="006F3533" w:rsidRDefault="00B572B1" w:rsidP="00551FED">
      <w:pPr>
        <w:numPr>
          <w:ilvl w:val="0"/>
          <w:numId w:val="78"/>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нежилищни сгради в секторите производство, търговия, услуги и туризъм.</w:t>
      </w:r>
    </w:p>
    <w:p w14:paraId="36162169" w14:textId="39B9532A"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Подходът в Плана съчетава реформаторски елементи с инвестиционни мерки, но по отношение на сградния фонд отново преобладава </w:t>
      </w:r>
      <w:proofErr w:type="spellStart"/>
      <w:r w:rsidRPr="006F3533">
        <w:rPr>
          <w:rFonts w:eastAsia="Times New Roman" w:cs="Times New Roman"/>
          <w:b/>
          <w:bCs/>
          <w:szCs w:val="24"/>
          <w:lang w:val="bg-BG" w:eastAsia="bg-BG"/>
        </w:rPr>
        <w:t>грантовият</w:t>
      </w:r>
      <w:proofErr w:type="spellEnd"/>
      <w:r w:rsidRPr="006F3533">
        <w:rPr>
          <w:rFonts w:eastAsia="Times New Roman" w:cs="Times New Roman"/>
          <w:b/>
          <w:bCs/>
          <w:szCs w:val="24"/>
          <w:lang w:val="bg-BG" w:eastAsia="bg-BG"/>
        </w:rPr>
        <w:t xml:space="preserve"> модел</w:t>
      </w:r>
      <w:r w:rsidRPr="006F3533">
        <w:rPr>
          <w:rFonts w:eastAsia="Times New Roman" w:cs="Times New Roman"/>
          <w:szCs w:val="24"/>
          <w:lang w:val="bg-BG" w:eastAsia="bg-BG"/>
        </w:rPr>
        <w:t>, включително при предприятията, където е предвиден ограничен интензитет на подпомагане. Интервенциите са ориентирани към постигане на измерими енергийни спестявания, но са силно обвързани с програмния цикъл и административния капацитет на бенефициентите.</w:t>
      </w:r>
      <w:r w:rsidR="00CF3D85" w:rsidRPr="006F3533">
        <w:rPr>
          <w:rFonts w:eastAsia="Times New Roman" w:cs="Times New Roman"/>
          <w:szCs w:val="24"/>
          <w:lang w:val="bg-BG" w:eastAsia="bg-BG"/>
        </w:rPr>
        <w:t xml:space="preserve"> Макар интервенциите да са насочени към постигане на измерими енергийни спестявания, анализите показват, че в повечето случаи дълбочината на обновяването остава ограничена до постигане на минимални програмни изисквания, без системно прилагане на подходи за дълбоко или поетапно обновяване, съвместими с дългосрочните цели за </w:t>
      </w:r>
      <w:proofErr w:type="spellStart"/>
      <w:r w:rsidR="00CF3D85" w:rsidRPr="006F3533">
        <w:rPr>
          <w:rFonts w:eastAsia="Times New Roman" w:cs="Times New Roman"/>
          <w:szCs w:val="24"/>
          <w:lang w:val="bg-BG" w:eastAsia="bg-BG"/>
        </w:rPr>
        <w:t>декарбонизация</w:t>
      </w:r>
      <w:proofErr w:type="spellEnd"/>
      <w:r w:rsidR="00CF3D85" w:rsidRPr="006F3533">
        <w:rPr>
          <w:rFonts w:eastAsia="Times New Roman" w:cs="Times New Roman"/>
          <w:szCs w:val="24"/>
          <w:lang w:val="bg-BG" w:eastAsia="bg-BG"/>
        </w:rPr>
        <w:t xml:space="preserve"> на сградния фонд.</w:t>
      </w:r>
    </w:p>
    <w:p w14:paraId="7C47C01F" w14:textId="67A25BCC" w:rsidR="00432A81" w:rsidRPr="006F3533" w:rsidRDefault="00B572B1" w:rsidP="00551FED">
      <w:pPr>
        <w:pStyle w:val="ListParagraph"/>
        <w:numPr>
          <w:ilvl w:val="0"/>
          <w:numId w:val="85"/>
        </w:num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Задължителни механизми по Закона за енергийната ефективност (ЗЕЕ)</w:t>
      </w:r>
    </w:p>
    <w:p w14:paraId="0A0C98FB" w14:textId="380D9632" w:rsidR="00B572B1" w:rsidRPr="006F3533" w:rsidRDefault="00B572B1" w:rsidP="00432A81">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Съществена роля в нежилищния сектор имат регулаторните механизми, въведени чрез ЗЕЕ, включително:</w:t>
      </w:r>
    </w:p>
    <w:p w14:paraId="205594E0" w14:textId="77777777" w:rsidR="00B572B1" w:rsidRPr="006F3533" w:rsidRDefault="00B572B1" w:rsidP="00551FED">
      <w:pPr>
        <w:numPr>
          <w:ilvl w:val="0"/>
          <w:numId w:val="79"/>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задължението за ежегодно обновяване на определен дял от разгънатата застроена площ на сградите – държавна собственост, използвани от централната администрация;</w:t>
      </w:r>
    </w:p>
    <w:p w14:paraId="0E3D17FD" w14:textId="77777777" w:rsidR="00B572B1" w:rsidRPr="006F3533" w:rsidRDefault="00B572B1" w:rsidP="00551FED">
      <w:pPr>
        <w:numPr>
          <w:ilvl w:val="0"/>
          <w:numId w:val="79"/>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изискването за разработване и изпълнение на програми за повишаване на енергийната ефективност от държавните и общинските органи;</w:t>
      </w:r>
    </w:p>
    <w:p w14:paraId="58CE0ABE" w14:textId="77777777" w:rsidR="00B572B1" w:rsidRPr="006F3533" w:rsidRDefault="00B572B1" w:rsidP="00551FED">
      <w:pPr>
        <w:numPr>
          <w:ilvl w:val="0"/>
          <w:numId w:val="79"/>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задължителното управление на енергийната ефективност в публичните сгради.</w:t>
      </w:r>
    </w:p>
    <w:p w14:paraId="737EFFF3" w14:textId="62FE6238"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Тези механизми осигуряват </w:t>
      </w:r>
      <w:r w:rsidRPr="006F3533">
        <w:rPr>
          <w:rFonts w:eastAsia="Times New Roman" w:cs="Times New Roman"/>
          <w:b/>
          <w:bCs/>
          <w:szCs w:val="24"/>
          <w:lang w:val="bg-BG" w:eastAsia="bg-BG"/>
        </w:rPr>
        <w:t>постоянна институционална рамка</w:t>
      </w:r>
      <w:r w:rsidRPr="006F3533">
        <w:rPr>
          <w:rFonts w:eastAsia="Times New Roman" w:cs="Times New Roman"/>
          <w:szCs w:val="24"/>
          <w:lang w:val="bg-BG" w:eastAsia="bg-BG"/>
        </w:rPr>
        <w:t xml:space="preserve"> за обновяване на публичния сграден фонд, независимо от наличието на външно финансиране, но практическата им ефективност е силно зависима от наличния инвестиционен ресурс и административния капацитет на отделните институции.</w:t>
      </w:r>
      <w:r w:rsidR="00CF3D85" w:rsidRPr="006F3533">
        <w:rPr>
          <w:rFonts w:eastAsia="Times New Roman" w:cs="Times New Roman"/>
          <w:szCs w:val="24"/>
          <w:lang w:val="bg-BG" w:eastAsia="bg-BG"/>
        </w:rPr>
        <w:t xml:space="preserve"> Въпреки нормативния си характер, тези механизми не са системно обвързани с адекватни финансови инструменти, което ограничава </w:t>
      </w:r>
      <w:proofErr w:type="spellStart"/>
      <w:r w:rsidR="00CF3D85" w:rsidRPr="006F3533">
        <w:rPr>
          <w:rFonts w:eastAsia="Times New Roman" w:cs="Times New Roman"/>
          <w:szCs w:val="24"/>
          <w:lang w:val="bg-BG" w:eastAsia="bg-BG"/>
        </w:rPr>
        <w:t>дълнбочината</w:t>
      </w:r>
      <w:proofErr w:type="spellEnd"/>
      <w:r w:rsidR="00CF3D85" w:rsidRPr="006F3533">
        <w:rPr>
          <w:rFonts w:eastAsia="Times New Roman" w:cs="Times New Roman"/>
          <w:szCs w:val="24"/>
          <w:lang w:val="bg-BG" w:eastAsia="bg-BG"/>
        </w:rPr>
        <w:t xml:space="preserve"> на обновяването, възможността за изпълнение на задълженията в сгради с по-големи инвестиционни нужди и води до забавяне или формално изпълнение на изискванията.</w:t>
      </w:r>
    </w:p>
    <w:p w14:paraId="6A2E00D1" w14:textId="4E0CF3C9" w:rsidR="00B572B1" w:rsidRPr="006F3533" w:rsidRDefault="00B572B1" w:rsidP="00551FED">
      <w:pPr>
        <w:pStyle w:val="ListParagraph"/>
        <w:numPr>
          <w:ilvl w:val="0"/>
          <w:numId w:val="85"/>
        </w:num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lastRenderedPageBreak/>
        <w:t>Национален доверителен Екофонд (НДЕФ)</w:t>
      </w:r>
    </w:p>
    <w:p w14:paraId="01E22F5E"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НДЕФ е утвърден национален инструмент за подкрепа на проекти за енергийна ефективност в публични сгради и инфраструктура. Чрез Инвестиционната програма за климата фондът прилага </w:t>
      </w:r>
      <w:r w:rsidRPr="006F3533">
        <w:rPr>
          <w:rFonts w:eastAsia="Times New Roman" w:cs="Times New Roman"/>
          <w:b/>
          <w:bCs/>
          <w:szCs w:val="24"/>
          <w:lang w:val="bg-BG" w:eastAsia="bg-BG"/>
        </w:rPr>
        <w:t>комбинирани схеми</w:t>
      </w:r>
      <w:r w:rsidRPr="006F3533">
        <w:rPr>
          <w:rFonts w:eastAsia="Times New Roman" w:cs="Times New Roman"/>
          <w:szCs w:val="24"/>
          <w:lang w:val="bg-BG" w:eastAsia="bg-BG"/>
        </w:rPr>
        <w:t xml:space="preserve"> (грант с допълващо финансиране), насочени към:</w:t>
      </w:r>
    </w:p>
    <w:p w14:paraId="5D3FC9AA" w14:textId="77777777" w:rsidR="00B572B1" w:rsidRPr="006F3533" w:rsidRDefault="00B572B1" w:rsidP="00551FED">
      <w:pPr>
        <w:numPr>
          <w:ilvl w:val="0"/>
          <w:numId w:val="80"/>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общински и държавни сгради;</w:t>
      </w:r>
    </w:p>
    <w:p w14:paraId="73287884" w14:textId="34F496F1" w:rsidR="00B572B1" w:rsidRPr="006F3533" w:rsidRDefault="00432A81" w:rsidP="00551FED">
      <w:pPr>
        <w:numPr>
          <w:ilvl w:val="0"/>
          <w:numId w:val="80"/>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учебни</w:t>
      </w:r>
      <w:r w:rsidR="00B572B1" w:rsidRPr="006F3533">
        <w:rPr>
          <w:rFonts w:eastAsia="Times New Roman" w:cs="Times New Roman"/>
          <w:szCs w:val="24"/>
          <w:lang w:val="bg-BG" w:eastAsia="bg-BG"/>
        </w:rPr>
        <w:t xml:space="preserve"> заведения;</w:t>
      </w:r>
    </w:p>
    <w:p w14:paraId="72A45729" w14:textId="77777777" w:rsidR="00B572B1" w:rsidRPr="006F3533" w:rsidRDefault="00B572B1" w:rsidP="00551FED">
      <w:pPr>
        <w:numPr>
          <w:ilvl w:val="0"/>
          <w:numId w:val="80"/>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улично и външно осветление.</w:t>
      </w:r>
    </w:p>
    <w:p w14:paraId="25B0BFCD"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Ролята на НДЕФ е особено значима за по-малки по мащаб проекти и за бенефициенти с ограничен достъп до други източници на финансиране.</w:t>
      </w:r>
    </w:p>
    <w:p w14:paraId="562FFCF6" w14:textId="0A0856CE" w:rsidR="00432A81" w:rsidRPr="006F3533" w:rsidRDefault="00B572B1" w:rsidP="00551FED">
      <w:pPr>
        <w:pStyle w:val="ListParagraph"/>
        <w:numPr>
          <w:ilvl w:val="0"/>
          <w:numId w:val="85"/>
        </w:num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Финансови механизми на ЕИП и Норвежкия финансов механизъм</w:t>
      </w:r>
      <w:r w:rsidR="00432A81" w:rsidRPr="006F3533">
        <w:rPr>
          <w:rFonts w:eastAsia="Times New Roman" w:cs="Times New Roman"/>
          <w:b/>
          <w:bCs/>
          <w:szCs w:val="24"/>
          <w:lang w:val="bg-BG" w:eastAsia="bg-BG"/>
        </w:rPr>
        <w:t xml:space="preserve"> </w:t>
      </w:r>
    </w:p>
    <w:p w14:paraId="08BAD15A" w14:textId="27BE9A3E" w:rsidR="00B572B1" w:rsidRPr="006F3533" w:rsidRDefault="00B572B1" w:rsidP="00432A81">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Програмата „Възобновяема енергия, енергийна ефективност и енергийна сигурност“ по Финансовия механизъм на Европейското икономическо пространство предоставя целева подкрепа за:</w:t>
      </w:r>
    </w:p>
    <w:p w14:paraId="01FE0DD1" w14:textId="77777777" w:rsidR="00B572B1" w:rsidRPr="006F3533" w:rsidRDefault="00B572B1" w:rsidP="00551FED">
      <w:pPr>
        <w:numPr>
          <w:ilvl w:val="0"/>
          <w:numId w:val="81"/>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енергийна ефективност в общински и публични сгради;</w:t>
      </w:r>
    </w:p>
    <w:p w14:paraId="0A64AD2C" w14:textId="77777777" w:rsidR="00B572B1" w:rsidRPr="006F3533" w:rsidRDefault="00B572B1" w:rsidP="00551FED">
      <w:pPr>
        <w:numPr>
          <w:ilvl w:val="0"/>
          <w:numId w:val="81"/>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индустриални обекти;</w:t>
      </w:r>
    </w:p>
    <w:p w14:paraId="535424D6" w14:textId="77777777" w:rsidR="00B572B1" w:rsidRPr="006F3533" w:rsidRDefault="00B572B1" w:rsidP="00551FED">
      <w:pPr>
        <w:numPr>
          <w:ilvl w:val="0"/>
          <w:numId w:val="81"/>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повишаване на експертния капацитет и управление на енергията.</w:t>
      </w:r>
    </w:p>
    <w:p w14:paraId="5E160AE2"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Тези инструменти допълват националните и структурните фондове, като позволяват по-гъвкави интервенции и пилотно прилагане на по-иновативни решения.</w:t>
      </w:r>
    </w:p>
    <w:p w14:paraId="0EAC7944" w14:textId="0B9AEC8B" w:rsidR="00B572B1" w:rsidRPr="006F3533" w:rsidRDefault="00B572B1" w:rsidP="00551FED">
      <w:pPr>
        <w:pStyle w:val="ListParagraph"/>
        <w:numPr>
          <w:ilvl w:val="0"/>
          <w:numId w:val="85"/>
        </w:num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Финансови инструменти и смесено финансиране</w:t>
      </w:r>
    </w:p>
    <w:p w14:paraId="09B4CE2B" w14:textId="77777777" w:rsidR="00B572B1" w:rsidRPr="006F3533" w:rsidRDefault="00B572B1" w:rsidP="00077D42">
      <w:pPr>
        <w:jc w:val="both"/>
        <w:rPr>
          <w:rFonts w:eastAsia="Times New Roman" w:cs="Times New Roman"/>
          <w:b/>
          <w:bCs/>
          <w:szCs w:val="24"/>
          <w:lang w:val="bg-BG" w:eastAsia="bg-BG"/>
        </w:rPr>
      </w:pPr>
      <w:r w:rsidRPr="006F3533">
        <w:rPr>
          <w:rFonts w:eastAsia="Times New Roman" w:cs="Times New Roman"/>
          <w:b/>
          <w:bCs/>
          <w:szCs w:val="24"/>
          <w:lang w:val="bg-BG" w:eastAsia="bg-BG"/>
        </w:rPr>
        <w:t xml:space="preserve">Фонд „Енергийна ефективност и възобновяеми източници“ (ФЕЕВИ) / Национален фонд за </w:t>
      </w:r>
      <w:proofErr w:type="spellStart"/>
      <w:r w:rsidRPr="006F3533">
        <w:rPr>
          <w:rFonts w:eastAsia="Times New Roman" w:cs="Times New Roman"/>
          <w:b/>
          <w:bCs/>
          <w:szCs w:val="24"/>
          <w:lang w:val="bg-BG" w:eastAsia="bg-BG"/>
        </w:rPr>
        <w:t>декарбонизация</w:t>
      </w:r>
      <w:proofErr w:type="spellEnd"/>
    </w:p>
    <w:p w14:paraId="7855FE64"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Фонд „Енергийна ефективност и възобновяеми източници“ е създаден през 2005 г. като специализирана национална финансова институция за подкрепа на инвестиции в областта на енергийната ефективност и възобновяемите енергийни източници. От създаването си фондът прилага инструменти за </w:t>
      </w:r>
      <w:proofErr w:type="spellStart"/>
      <w:r w:rsidRPr="006F3533">
        <w:rPr>
          <w:rFonts w:eastAsia="Times New Roman" w:cs="Times New Roman"/>
          <w:szCs w:val="24"/>
          <w:lang w:val="bg-BG" w:eastAsia="bg-BG"/>
        </w:rPr>
        <w:t>възвръщаемо</w:t>
      </w:r>
      <w:proofErr w:type="spellEnd"/>
      <w:r w:rsidRPr="006F3533">
        <w:rPr>
          <w:rFonts w:eastAsia="Times New Roman" w:cs="Times New Roman"/>
          <w:szCs w:val="24"/>
          <w:lang w:val="bg-BG" w:eastAsia="bg-BG"/>
        </w:rPr>
        <w:t xml:space="preserve"> финансиране, включително нисколихвени заеми, частични кредитни гаранции и </w:t>
      </w:r>
      <w:proofErr w:type="spellStart"/>
      <w:r w:rsidRPr="006F3533">
        <w:rPr>
          <w:rFonts w:eastAsia="Times New Roman" w:cs="Times New Roman"/>
          <w:szCs w:val="24"/>
          <w:lang w:val="bg-BG" w:eastAsia="bg-BG"/>
        </w:rPr>
        <w:t>портфейлни</w:t>
      </w:r>
      <w:proofErr w:type="spellEnd"/>
      <w:r w:rsidRPr="006F3533">
        <w:rPr>
          <w:rFonts w:eastAsia="Times New Roman" w:cs="Times New Roman"/>
          <w:szCs w:val="24"/>
          <w:lang w:val="bg-BG" w:eastAsia="bg-BG"/>
        </w:rPr>
        <w:t xml:space="preserve"> гаранции, както и консултантска подкрепа за подготовка на инвестиционни проекти.</w:t>
      </w:r>
    </w:p>
    <w:p w14:paraId="160D3A11"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продължение на първите години от функционирането си фондът се утвърждава като модерен за времето си инструмент, подкрепящ широк кръг бенефициенти – общини, публични институции, предприятия и частни лица – и допринася за изграждането на пазар за енергийно-ефективни инвестиции и за прилагането на модели с </w:t>
      </w:r>
      <w:proofErr w:type="spellStart"/>
      <w:r w:rsidRPr="006F3533">
        <w:rPr>
          <w:rFonts w:eastAsia="Times New Roman" w:cs="Times New Roman"/>
          <w:szCs w:val="24"/>
          <w:lang w:val="bg-BG" w:eastAsia="bg-BG"/>
        </w:rPr>
        <w:t>възвръщаем</w:t>
      </w:r>
      <w:proofErr w:type="spellEnd"/>
      <w:r w:rsidRPr="006F3533">
        <w:rPr>
          <w:rFonts w:eastAsia="Times New Roman" w:cs="Times New Roman"/>
          <w:szCs w:val="24"/>
          <w:lang w:val="bg-BG" w:eastAsia="bg-BG"/>
        </w:rPr>
        <w:t xml:space="preserve"> ресурс.</w:t>
      </w:r>
    </w:p>
    <w:p w14:paraId="14795BD8" w14:textId="6F032978"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През последните приблизително пет години ФЕЕВИ практически преустановява активното си финансиране, като дейността му е ограничена в очакване на институционална трансформация. </w:t>
      </w:r>
      <w:r w:rsidR="00CF3D85" w:rsidRPr="006F3533">
        <w:rPr>
          <w:rFonts w:eastAsia="Times New Roman" w:cs="Times New Roman"/>
          <w:szCs w:val="24"/>
          <w:lang w:val="bg-BG" w:eastAsia="bg-BG"/>
        </w:rPr>
        <w:t xml:space="preserve">Липсата на активна финансова дейност на фонда в този период допринася за допълнително затвърждаване на </w:t>
      </w:r>
      <w:proofErr w:type="spellStart"/>
      <w:r w:rsidR="00CF3D85" w:rsidRPr="006F3533">
        <w:rPr>
          <w:rFonts w:eastAsia="Times New Roman" w:cs="Times New Roman"/>
          <w:szCs w:val="24"/>
          <w:lang w:val="bg-BG" w:eastAsia="bg-BG"/>
        </w:rPr>
        <w:t>грантово</w:t>
      </w:r>
      <w:proofErr w:type="spellEnd"/>
      <w:r w:rsidR="00CF3D85" w:rsidRPr="006F3533">
        <w:rPr>
          <w:rFonts w:eastAsia="Times New Roman" w:cs="Times New Roman"/>
          <w:szCs w:val="24"/>
          <w:lang w:val="bg-BG" w:eastAsia="bg-BG"/>
        </w:rPr>
        <w:t xml:space="preserve"> ориентирания </w:t>
      </w:r>
      <w:r w:rsidR="00CF3D85" w:rsidRPr="006F3533">
        <w:rPr>
          <w:rFonts w:eastAsia="Times New Roman" w:cs="Times New Roman"/>
          <w:szCs w:val="24"/>
          <w:lang w:val="bg-BG" w:eastAsia="bg-BG"/>
        </w:rPr>
        <w:lastRenderedPageBreak/>
        <w:t xml:space="preserve">модел и за отсъствието на устойчиви </w:t>
      </w:r>
      <w:proofErr w:type="spellStart"/>
      <w:r w:rsidR="00CF3D85" w:rsidRPr="006F3533">
        <w:rPr>
          <w:rFonts w:eastAsia="Times New Roman" w:cs="Times New Roman"/>
          <w:szCs w:val="24"/>
          <w:lang w:val="bg-BG" w:eastAsia="bg-BG"/>
        </w:rPr>
        <w:t>възвръщаеми</w:t>
      </w:r>
      <w:proofErr w:type="spellEnd"/>
      <w:r w:rsidR="00CF3D85" w:rsidRPr="006F3533">
        <w:rPr>
          <w:rFonts w:eastAsia="Times New Roman" w:cs="Times New Roman"/>
          <w:szCs w:val="24"/>
          <w:lang w:val="bg-BG" w:eastAsia="bg-BG"/>
        </w:rPr>
        <w:t xml:space="preserve"> инструменти в нежилищния сектор, въпреки наличието на нормативна рамка и натрупан институционален опит. </w:t>
      </w:r>
    </w:p>
    <w:p w14:paraId="0EC533C1"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Към настоящия момент фондът е преформатиран като </w:t>
      </w:r>
      <w:r w:rsidRPr="006F3533">
        <w:rPr>
          <w:rFonts w:eastAsia="Times New Roman" w:cs="Times New Roman"/>
          <w:b/>
          <w:bCs/>
          <w:szCs w:val="24"/>
          <w:lang w:val="bg-BG" w:eastAsia="bg-BG"/>
        </w:rPr>
        <w:t xml:space="preserve">Национален фонд за </w:t>
      </w:r>
      <w:proofErr w:type="spellStart"/>
      <w:r w:rsidRPr="006F3533">
        <w:rPr>
          <w:rFonts w:eastAsia="Times New Roman" w:cs="Times New Roman"/>
          <w:b/>
          <w:bCs/>
          <w:szCs w:val="24"/>
          <w:lang w:val="bg-BG" w:eastAsia="bg-BG"/>
        </w:rPr>
        <w:t>декарбонизация</w:t>
      </w:r>
      <w:proofErr w:type="spellEnd"/>
      <w:r w:rsidRPr="006F3533">
        <w:rPr>
          <w:rFonts w:eastAsia="Times New Roman" w:cs="Times New Roman"/>
          <w:szCs w:val="24"/>
          <w:lang w:val="bg-BG" w:eastAsia="bg-BG"/>
        </w:rPr>
        <w:t xml:space="preserve">, с очаквания за разширяване на мандата и инструментариума му в подкрепа на инвестиции за енергиен преход и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Реалното възобновяване на активна финансова дейност и ролята на фонда в системата от инструменти за сградно обновяване предстоят да бъдат конкретизирани чрез оперативни правила и програми.</w:t>
      </w:r>
    </w:p>
    <w:p w14:paraId="3E5F3520"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Фондове за градско развитие</w:t>
      </w:r>
    </w:p>
    <w:p w14:paraId="6585E770"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Фондовете за градско развитие са създадени като финансови инструменти в рамките на политиката за регионално развитие и функционират в периода 2014–2020 г. като част от изпълнението на Оперативна програма „Региони в растеж“. Те предоставят </w:t>
      </w:r>
      <w:proofErr w:type="spellStart"/>
      <w:r w:rsidRPr="006F3533">
        <w:rPr>
          <w:rFonts w:eastAsia="Times New Roman" w:cs="Times New Roman"/>
          <w:b/>
          <w:bCs/>
          <w:szCs w:val="24"/>
          <w:lang w:val="bg-BG" w:eastAsia="bg-BG"/>
        </w:rPr>
        <w:t>възвръщаемо</w:t>
      </w:r>
      <w:proofErr w:type="spellEnd"/>
      <w:r w:rsidRPr="006F3533">
        <w:rPr>
          <w:rFonts w:eastAsia="Times New Roman" w:cs="Times New Roman"/>
          <w:b/>
          <w:bCs/>
          <w:szCs w:val="24"/>
          <w:lang w:val="bg-BG" w:eastAsia="bg-BG"/>
        </w:rPr>
        <w:t xml:space="preserve"> финансиране</w:t>
      </w:r>
      <w:r w:rsidRPr="006F3533">
        <w:rPr>
          <w:rFonts w:eastAsia="Times New Roman" w:cs="Times New Roman"/>
          <w:szCs w:val="24"/>
          <w:lang w:val="bg-BG" w:eastAsia="bg-BG"/>
        </w:rPr>
        <w:t xml:space="preserve"> за проекти с обществена значимост, включително за енергийно обновяване на нежилищни сгради, културна и образователна инфраструктура, както и други обекти на градската среда.</w:t>
      </w:r>
    </w:p>
    <w:p w14:paraId="5D0C9338"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Характерна особеност на фондовете за градско развитие е </w:t>
      </w:r>
      <w:r w:rsidRPr="006F3533">
        <w:rPr>
          <w:rFonts w:eastAsia="Times New Roman" w:cs="Times New Roman"/>
          <w:b/>
          <w:bCs/>
          <w:szCs w:val="24"/>
          <w:lang w:val="bg-BG" w:eastAsia="bg-BG"/>
        </w:rPr>
        <w:t>комбинираният подход</w:t>
      </w:r>
      <w:r w:rsidRPr="006F3533">
        <w:rPr>
          <w:rFonts w:eastAsia="Times New Roman" w:cs="Times New Roman"/>
          <w:szCs w:val="24"/>
          <w:lang w:val="bg-BG" w:eastAsia="bg-BG"/>
        </w:rPr>
        <w:t xml:space="preserve">, при който кредитният ресурс се съчетава с безвъзмездна финансова помощ от други източници, включително Националния доверителен Екофонд, както и с целенасочено предоставяне на </w:t>
      </w:r>
      <w:r w:rsidRPr="006F3533">
        <w:rPr>
          <w:rFonts w:eastAsia="Times New Roman" w:cs="Times New Roman"/>
          <w:b/>
          <w:bCs/>
          <w:szCs w:val="24"/>
          <w:lang w:val="bg-BG" w:eastAsia="bg-BG"/>
        </w:rPr>
        <w:t>техническа помощ</w:t>
      </w:r>
      <w:r w:rsidRPr="006F3533">
        <w:rPr>
          <w:rFonts w:eastAsia="Times New Roman" w:cs="Times New Roman"/>
          <w:szCs w:val="24"/>
          <w:lang w:val="bg-BG" w:eastAsia="bg-BG"/>
        </w:rPr>
        <w:t xml:space="preserve"> за подготовка и структуриране на проекти. Това позволява реализирането на по-сложни инвестиции, които изискват интегриране на енергийна ефективност с функционално и архитектурно обновяване.</w:t>
      </w:r>
    </w:p>
    <w:p w14:paraId="4678BBE3" w14:textId="4D985221" w:rsidR="00B572B1" w:rsidRPr="006F3533" w:rsidRDefault="00CF3D85"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 рамките на програмния период 2014–2020 г. фондовете за градско развитие функционират като действащ инструмент за финансиране на проекти, включително в сферата на нежилищните сгради, и натрупват практически опит в прилагането на смесени финансови модели. Въпреки положителния опит, този модел не е мащабиран системно, а за периода 2021–2027 г. фондовете за градско развитие към момента остават предвиден, но неоперативен инструмент, което ограничава приноса им към устойчивото финансиране на сградното обновяване.</w:t>
      </w:r>
    </w:p>
    <w:p w14:paraId="6AEA46A5" w14:textId="152203CD"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За програмния период </w:t>
      </w:r>
      <w:r w:rsidRPr="006F3533">
        <w:rPr>
          <w:rFonts w:eastAsia="Times New Roman" w:cs="Times New Roman"/>
          <w:b/>
          <w:bCs/>
          <w:szCs w:val="24"/>
          <w:lang w:val="bg-BG" w:eastAsia="bg-BG"/>
        </w:rPr>
        <w:t>2021–2027 г.</w:t>
      </w:r>
      <w:r w:rsidRPr="006F3533">
        <w:rPr>
          <w:rFonts w:eastAsia="Times New Roman" w:cs="Times New Roman"/>
          <w:szCs w:val="24"/>
          <w:lang w:val="bg-BG" w:eastAsia="bg-BG"/>
        </w:rPr>
        <w:t xml:space="preserve"> фондовете за градско развитие са предвидени като инструмент и по </w:t>
      </w:r>
      <w:r w:rsidRPr="006F3533">
        <w:rPr>
          <w:rFonts w:eastAsia="Times New Roman" w:cs="Times New Roman"/>
          <w:b/>
          <w:bCs/>
          <w:szCs w:val="24"/>
          <w:lang w:val="bg-BG" w:eastAsia="bg-BG"/>
        </w:rPr>
        <w:t>Програма „Развитие на регионите“</w:t>
      </w:r>
      <w:r w:rsidRPr="006F3533">
        <w:rPr>
          <w:rFonts w:eastAsia="Times New Roman" w:cs="Times New Roman"/>
          <w:szCs w:val="24"/>
          <w:lang w:val="bg-BG" w:eastAsia="bg-BG"/>
        </w:rPr>
        <w:t xml:space="preserve">, с очакване да продължат подкрепата за интегрирани градски проекти и енергийно обновяване на публична инфраструктура. Към момента те се разглеждат като </w:t>
      </w:r>
      <w:r w:rsidRPr="006F3533">
        <w:rPr>
          <w:rFonts w:eastAsia="Times New Roman" w:cs="Times New Roman"/>
          <w:b/>
          <w:bCs/>
          <w:szCs w:val="24"/>
          <w:lang w:val="bg-BG" w:eastAsia="bg-BG"/>
        </w:rPr>
        <w:t>очакван, но все още неоперативен инструмент</w:t>
      </w:r>
      <w:r w:rsidRPr="006F3533">
        <w:rPr>
          <w:rFonts w:eastAsia="Times New Roman" w:cs="Times New Roman"/>
          <w:szCs w:val="24"/>
          <w:lang w:val="bg-BG" w:eastAsia="bg-BG"/>
        </w:rPr>
        <w:t>, чието реално прилагане зависи от окончателното структуриране на финансовите механизми и стартирането на съответните продукти.</w:t>
      </w:r>
    </w:p>
    <w:p w14:paraId="38A51AF5"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Основни тенденции</w:t>
      </w:r>
    </w:p>
    <w:p w14:paraId="3107FBF3"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Анализът на прилаганите политики и инструменти за нежилищните сгради очертава няколко устойчиви тенденции:</w:t>
      </w:r>
    </w:p>
    <w:p w14:paraId="1A59760B" w14:textId="77777777" w:rsidR="00B572B1" w:rsidRPr="006F3533" w:rsidRDefault="00B572B1" w:rsidP="00551FED">
      <w:pPr>
        <w:numPr>
          <w:ilvl w:val="0"/>
          <w:numId w:val="82"/>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 xml:space="preserve">Преобладаване на </w:t>
      </w:r>
      <w:proofErr w:type="spellStart"/>
      <w:r w:rsidRPr="006F3533">
        <w:rPr>
          <w:rFonts w:eastAsia="Times New Roman" w:cs="Times New Roman"/>
          <w:b/>
          <w:bCs/>
          <w:szCs w:val="24"/>
          <w:lang w:val="bg-BG" w:eastAsia="bg-BG"/>
        </w:rPr>
        <w:t>грантовото</w:t>
      </w:r>
      <w:proofErr w:type="spellEnd"/>
      <w:r w:rsidRPr="006F3533">
        <w:rPr>
          <w:rFonts w:eastAsia="Times New Roman" w:cs="Times New Roman"/>
          <w:b/>
          <w:bCs/>
          <w:szCs w:val="24"/>
          <w:lang w:val="bg-BG" w:eastAsia="bg-BG"/>
        </w:rPr>
        <w:t xml:space="preserve"> финансиране</w:t>
      </w:r>
      <w:r w:rsidRPr="006F3533">
        <w:rPr>
          <w:rFonts w:eastAsia="Times New Roman" w:cs="Times New Roman"/>
          <w:szCs w:val="24"/>
          <w:lang w:val="bg-BG" w:eastAsia="bg-BG"/>
        </w:rPr>
        <w:t>, особено за публични и общински сгради, с ограничено използване на финансови инструменти;</w:t>
      </w:r>
    </w:p>
    <w:p w14:paraId="75123286" w14:textId="77777777" w:rsidR="00B572B1" w:rsidRPr="006F3533" w:rsidRDefault="00B572B1" w:rsidP="00551FED">
      <w:pPr>
        <w:numPr>
          <w:ilvl w:val="0"/>
          <w:numId w:val="82"/>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По-широк институционален и инструментариум</w:t>
      </w:r>
      <w:r w:rsidRPr="006F3533">
        <w:rPr>
          <w:rFonts w:eastAsia="Times New Roman" w:cs="Times New Roman"/>
          <w:szCs w:val="24"/>
          <w:lang w:val="bg-BG" w:eastAsia="bg-BG"/>
        </w:rPr>
        <w:t xml:space="preserve"> в сравнение с жилищния сектор, включително регулаторни задължения и целеви национални фондове;</w:t>
      </w:r>
    </w:p>
    <w:p w14:paraId="5629372A" w14:textId="77777777" w:rsidR="00B572B1" w:rsidRPr="006F3533" w:rsidRDefault="00B572B1" w:rsidP="00551FED">
      <w:pPr>
        <w:numPr>
          <w:ilvl w:val="0"/>
          <w:numId w:val="82"/>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lastRenderedPageBreak/>
        <w:t>Силна зависимост от програмни периоди и проектен подход</w:t>
      </w:r>
      <w:r w:rsidRPr="006F3533">
        <w:rPr>
          <w:rFonts w:eastAsia="Times New Roman" w:cs="Times New Roman"/>
          <w:szCs w:val="24"/>
          <w:lang w:val="bg-BG" w:eastAsia="bg-BG"/>
        </w:rPr>
        <w:t>, което води до неравномерност в темпа на обновяване;</w:t>
      </w:r>
    </w:p>
    <w:p w14:paraId="06362319" w14:textId="2FA7EB6E" w:rsidR="00B572B1" w:rsidRPr="006F3533" w:rsidRDefault="00B572B1" w:rsidP="00551FED">
      <w:pPr>
        <w:numPr>
          <w:ilvl w:val="0"/>
          <w:numId w:val="82"/>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Ограничено мащабиране на смесени финансови модели</w:t>
      </w:r>
      <w:r w:rsidRPr="006F3533">
        <w:rPr>
          <w:rFonts w:eastAsia="Times New Roman" w:cs="Times New Roman"/>
          <w:szCs w:val="24"/>
          <w:lang w:val="bg-BG" w:eastAsia="bg-BG"/>
        </w:rPr>
        <w:t>, въпреки наличния опит и институционални структури</w:t>
      </w:r>
      <w:r w:rsidR="00CF3D85" w:rsidRPr="006F3533">
        <w:rPr>
          <w:rFonts w:eastAsia="Times New Roman" w:cs="Times New Roman"/>
          <w:szCs w:val="24"/>
          <w:lang w:val="bg-BG" w:eastAsia="bg-BG"/>
        </w:rPr>
        <w:t xml:space="preserve">; </w:t>
      </w:r>
    </w:p>
    <w:p w14:paraId="076072CE" w14:textId="0957418B" w:rsidR="00CF3D85" w:rsidRPr="006F3533" w:rsidRDefault="00CF3D85" w:rsidP="00551FED">
      <w:pPr>
        <w:numPr>
          <w:ilvl w:val="0"/>
          <w:numId w:val="82"/>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Ограничена връзка между регулаторните задължения по Закона за енергийната ефективност и наличните финансови инструменти</w:t>
      </w:r>
      <w:r w:rsidRPr="006F3533">
        <w:rPr>
          <w:rFonts w:eastAsia="Times New Roman" w:cs="Times New Roman"/>
          <w:szCs w:val="24"/>
          <w:lang w:val="bg-BG" w:eastAsia="bg-BG"/>
        </w:rPr>
        <w:t xml:space="preserve">, което възпрепятства системното изпълнение на изискванията за обновяване на нежилищните сгради. </w:t>
      </w:r>
    </w:p>
    <w:p w14:paraId="7C98F758" w14:textId="1EC9F2D7" w:rsidR="00742DD8" w:rsidRPr="006F3533" w:rsidRDefault="00742DD8" w:rsidP="00742DD8">
      <w:pPr>
        <w:pStyle w:val="Heading2"/>
        <w:rPr>
          <w:noProof/>
          <w:lang w:val="bg-BG" w:eastAsia="en-GB"/>
        </w:rPr>
      </w:pPr>
      <w:bookmarkStart w:id="186" w:name="_Toc217888819"/>
      <w:r w:rsidRPr="006F3533">
        <w:rPr>
          <w:noProof/>
          <w:lang w:val="bg-BG" w:eastAsia="en-GB"/>
        </w:rPr>
        <w:t>Обобщение</w:t>
      </w:r>
      <w:bookmarkEnd w:id="186"/>
    </w:p>
    <w:p w14:paraId="7021A5C3" w14:textId="77777777" w:rsidR="00C15507" w:rsidRPr="006F3533" w:rsidRDefault="00742DD8" w:rsidP="00C15507">
      <w:pPr>
        <w:spacing w:before="100" w:beforeAutospacing="1" w:after="100" w:afterAutospacing="1" w:line="240" w:lineRule="auto"/>
        <w:jc w:val="both"/>
        <w:rPr>
          <w:rFonts w:eastAsia="Times New Roman" w:cs="Times New Roman"/>
          <w:noProof/>
          <w:szCs w:val="24"/>
          <w:lang w:val="bg-BG" w:eastAsia="en-GB"/>
        </w:rPr>
      </w:pPr>
      <w:r w:rsidRPr="006F3533">
        <w:rPr>
          <w:rFonts w:eastAsia="Times New Roman" w:cs="Times New Roman"/>
          <w:noProof/>
          <w:szCs w:val="24"/>
          <w:lang w:val="bg-BG" w:eastAsia="en-GB"/>
        </w:rPr>
        <w:t xml:space="preserve">Анализът на прилаганите до момента политики и финансови инструменти за сградно обновяване в България показва </w:t>
      </w:r>
      <w:r w:rsidRPr="006F3533">
        <w:rPr>
          <w:rFonts w:eastAsia="Times New Roman" w:cs="Times New Roman"/>
          <w:b/>
          <w:bCs/>
          <w:noProof/>
          <w:szCs w:val="24"/>
          <w:lang w:val="bg-BG" w:eastAsia="en-GB"/>
        </w:rPr>
        <w:t>силна зависимост от грантово финансиране и проектен подход, независимо от типа сгради.</w:t>
      </w:r>
      <w:r w:rsidRPr="006F3533">
        <w:rPr>
          <w:rFonts w:eastAsia="Times New Roman" w:cs="Times New Roman"/>
          <w:noProof/>
          <w:szCs w:val="24"/>
          <w:lang w:val="bg-BG" w:eastAsia="en-GB"/>
        </w:rPr>
        <w:t xml:space="preserve"> Въпреки наличието на институционален капацитет и разнообразие от финансови механизми, тяхното прилагане не е довело до устойчиво, мащабируемо и пазарно ориентирано обновяване на сградния фонд.</w:t>
      </w:r>
      <w:r w:rsidR="00C15507" w:rsidRPr="006F3533">
        <w:rPr>
          <w:rFonts w:eastAsia="Times New Roman" w:cs="Times New Roman"/>
          <w:noProof/>
          <w:szCs w:val="24"/>
          <w:lang w:val="bg-BG" w:eastAsia="en-GB"/>
        </w:rPr>
        <w:t xml:space="preserve"> Натрупаният опит показва, че </w:t>
      </w:r>
      <w:r w:rsidR="00C15507" w:rsidRPr="006F3533">
        <w:rPr>
          <w:rFonts w:eastAsia="Times New Roman" w:cs="Times New Roman"/>
          <w:b/>
          <w:bCs/>
          <w:noProof/>
          <w:szCs w:val="24"/>
          <w:lang w:val="bg-BG" w:eastAsia="en-GB"/>
        </w:rPr>
        <w:t>проблемът не е в липсата на финансови ресурси, а в начина, по който инструментите са структурирани и прилагани</w:t>
      </w:r>
      <w:r w:rsidR="00C15507" w:rsidRPr="006F3533">
        <w:rPr>
          <w:rFonts w:eastAsia="Times New Roman" w:cs="Times New Roman"/>
          <w:noProof/>
          <w:szCs w:val="24"/>
          <w:lang w:val="bg-BG" w:eastAsia="en-GB"/>
        </w:rPr>
        <w:t xml:space="preserve">. При всички типове сгради се наблюдават сходни системни ограничения: </w:t>
      </w:r>
    </w:p>
    <w:p w14:paraId="55E11FDA" w14:textId="77777777" w:rsidR="00C15507" w:rsidRPr="006F3533" w:rsidRDefault="00C15507" w:rsidP="00551FED">
      <w:pPr>
        <w:numPr>
          <w:ilvl w:val="0"/>
          <w:numId w:val="118"/>
        </w:numPr>
        <w:spacing w:before="100" w:beforeAutospacing="1" w:after="100" w:afterAutospacing="1" w:line="240" w:lineRule="auto"/>
        <w:contextualSpacing/>
        <w:jc w:val="both"/>
        <w:rPr>
          <w:rFonts w:eastAsia="Times New Roman" w:cs="Times New Roman"/>
          <w:noProof/>
          <w:szCs w:val="24"/>
          <w:lang w:val="bg-BG" w:eastAsia="en-GB"/>
        </w:rPr>
      </w:pPr>
      <w:r w:rsidRPr="006F3533">
        <w:rPr>
          <w:rFonts w:eastAsia="Times New Roman" w:cs="Times New Roman"/>
          <w:b/>
          <w:bCs/>
          <w:noProof/>
          <w:szCs w:val="24"/>
          <w:lang w:val="bg-BG" w:eastAsia="en-GB"/>
        </w:rPr>
        <w:t xml:space="preserve">доминиране на грантовия модел, </w:t>
      </w:r>
    </w:p>
    <w:p w14:paraId="388FCB55" w14:textId="77777777" w:rsidR="00C15507" w:rsidRPr="006F3533" w:rsidRDefault="00C15507" w:rsidP="00551FED">
      <w:pPr>
        <w:numPr>
          <w:ilvl w:val="0"/>
          <w:numId w:val="118"/>
        </w:numPr>
        <w:spacing w:before="100" w:beforeAutospacing="1" w:after="100" w:afterAutospacing="1" w:line="240" w:lineRule="auto"/>
        <w:contextualSpacing/>
        <w:jc w:val="both"/>
        <w:rPr>
          <w:rFonts w:eastAsia="Times New Roman" w:cs="Times New Roman"/>
          <w:noProof/>
          <w:szCs w:val="24"/>
          <w:lang w:val="bg-BG" w:eastAsia="en-GB"/>
        </w:rPr>
      </w:pPr>
      <w:r w:rsidRPr="006F3533">
        <w:rPr>
          <w:rFonts w:eastAsia="Times New Roman" w:cs="Times New Roman"/>
          <w:b/>
          <w:bCs/>
          <w:noProof/>
          <w:szCs w:val="24"/>
          <w:lang w:val="bg-BG" w:eastAsia="en-GB"/>
        </w:rPr>
        <w:t xml:space="preserve">ограничено използване на възвръщаеми инструменти, </w:t>
      </w:r>
    </w:p>
    <w:p w14:paraId="0D0BA126" w14:textId="77777777" w:rsidR="00C15507" w:rsidRPr="006F3533" w:rsidRDefault="00C15507" w:rsidP="00551FED">
      <w:pPr>
        <w:numPr>
          <w:ilvl w:val="0"/>
          <w:numId w:val="118"/>
        </w:numPr>
        <w:spacing w:before="100" w:beforeAutospacing="1" w:after="100" w:afterAutospacing="1" w:line="240" w:lineRule="auto"/>
        <w:contextualSpacing/>
        <w:jc w:val="both"/>
        <w:rPr>
          <w:rFonts w:eastAsia="Times New Roman" w:cs="Times New Roman"/>
          <w:noProof/>
          <w:szCs w:val="24"/>
          <w:lang w:val="bg-BG" w:eastAsia="en-GB"/>
        </w:rPr>
      </w:pPr>
      <w:r w:rsidRPr="006F3533">
        <w:rPr>
          <w:rFonts w:eastAsia="Times New Roman" w:cs="Times New Roman"/>
          <w:b/>
          <w:bCs/>
          <w:noProof/>
          <w:szCs w:val="24"/>
          <w:lang w:val="bg-BG" w:eastAsia="en-GB"/>
        </w:rPr>
        <w:t xml:space="preserve">силна зависимост от програмни периоди и </w:t>
      </w:r>
    </w:p>
    <w:p w14:paraId="5E75FFFC" w14:textId="5481A7B5" w:rsidR="00C15507" w:rsidRPr="006F3533" w:rsidRDefault="00C15507" w:rsidP="00551FED">
      <w:pPr>
        <w:numPr>
          <w:ilvl w:val="0"/>
          <w:numId w:val="118"/>
        </w:numPr>
        <w:spacing w:before="100" w:beforeAutospacing="1" w:after="100" w:afterAutospacing="1" w:line="240" w:lineRule="auto"/>
        <w:contextualSpacing/>
        <w:jc w:val="both"/>
        <w:rPr>
          <w:rFonts w:eastAsia="Times New Roman" w:cs="Times New Roman"/>
          <w:noProof/>
          <w:szCs w:val="24"/>
          <w:lang w:val="bg-BG" w:eastAsia="en-GB"/>
        </w:rPr>
      </w:pPr>
      <w:r w:rsidRPr="006F3533">
        <w:rPr>
          <w:rFonts w:eastAsia="Times New Roman" w:cs="Times New Roman"/>
          <w:b/>
          <w:bCs/>
          <w:noProof/>
          <w:szCs w:val="24"/>
          <w:lang w:val="bg-BG" w:eastAsia="en-GB"/>
        </w:rPr>
        <w:t>слабо рециклиране на публичния ресурс.</w:t>
      </w:r>
    </w:p>
    <w:p w14:paraId="213DF940" w14:textId="77777777" w:rsidR="00C15507" w:rsidRPr="006F3533" w:rsidRDefault="00C15507" w:rsidP="00C15507">
      <w:pPr>
        <w:spacing w:before="100" w:beforeAutospacing="1" w:after="100" w:afterAutospacing="1" w:line="240" w:lineRule="auto"/>
        <w:ind w:left="360"/>
        <w:contextualSpacing/>
        <w:jc w:val="both"/>
        <w:rPr>
          <w:rFonts w:eastAsia="Times New Roman" w:cs="Times New Roman"/>
          <w:noProof/>
          <w:szCs w:val="24"/>
          <w:lang w:val="bg-BG" w:eastAsia="en-GB"/>
        </w:rPr>
      </w:pPr>
    </w:p>
    <w:p w14:paraId="19CF6A0D" w14:textId="388885BF" w:rsidR="00742DD8" w:rsidRPr="006F3533" w:rsidRDefault="00C15507" w:rsidP="00742DD8">
      <w:pPr>
        <w:spacing w:before="100" w:beforeAutospacing="1" w:after="100" w:afterAutospacing="1" w:line="240" w:lineRule="auto"/>
        <w:jc w:val="both"/>
        <w:rPr>
          <w:rFonts w:eastAsia="Times New Roman" w:cs="Times New Roman"/>
          <w:noProof/>
          <w:szCs w:val="24"/>
          <w:lang w:val="bg-BG" w:eastAsia="en-GB"/>
        </w:rPr>
      </w:pPr>
      <w:r w:rsidRPr="006F3533">
        <w:rPr>
          <w:rFonts w:eastAsia="Times New Roman" w:cs="Times New Roman"/>
          <w:noProof/>
          <w:szCs w:val="24"/>
          <w:lang w:val="bg-BG" w:eastAsia="en-GB"/>
        </w:rPr>
        <w:t xml:space="preserve">В България съществуват няколко ключови публични и публично подкрепени институции с потенциална роля за финансиране на сградното обновяване – </w:t>
      </w:r>
      <w:r w:rsidRPr="006F3533">
        <w:rPr>
          <w:rFonts w:eastAsia="Times New Roman" w:cs="Times New Roman"/>
          <w:b/>
          <w:bCs/>
          <w:noProof/>
          <w:szCs w:val="24"/>
          <w:lang w:val="bg-BG" w:eastAsia="en-GB"/>
        </w:rPr>
        <w:t>Фонд „Енергийна ефективност и възобновяеми източници“ (в процес на трансформация в Национален фонд за декарбонизация), Фонд мениджърът на финансови инструменти, фондовете за градско развитие, Българската банка за развитие и търговските банки.</w:t>
      </w:r>
      <w:r w:rsidRPr="006F3533">
        <w:rPr>
          <w:rFonts w:eastAsia="Times New Roman" w:cs="Times New Roman"/>
          <w:noProof/>
          <w:szCs w:val="24"/>
          <w:lang w:val="bg-BG" w:eastAsia="en-GB"/>
        </w:rPr>
        <w:t xml:space="preserve"> Тези институции разполагат с инструменти за възвръщаемо и смесено финансиране – заеми, портфейлни и частични гаранции, комбиниране със средства за безвъзмездна помощ и техническа подкрепа. </w:t>
      </w:r>
      <w:r w:rsidR="00D7244F" w:rsidRPr="006F3533">
        <w:rPr>
          <w:rFonts w:eastAsia="Times New Roman" w:cs="Times New Roman"/>
          <w:noProof/>
          <w:szCs w:val="24"/>
          <w:lang w:val="bg-BG" w:eastAsia="en-GB"/>
        </w:rPr>
        <w:t>С конкретни примери от практиката, ф</w:t>
      </w:r>
      <w:r w:rsidR="00742DD8" w:rsidRPr="006F3533">
        <w:rPr>
          <w:rFonts w:eastAsia="Times New Roman" w:cs="Times New Roman"/>
          <w:noProof/>
          <w:szCs w:val="24"/>
          <w:lang w:val="bg-BG" w:eastAsia="en-GB"/>
        </w:rPr>
        <w:t>ондовете за градско развитие и ФЕЕВИ демонстрират, че комбинирането на заемно финансиране, безвъзмездна помощ и техническа подкрепа е работещо в институционален план. Въпреки това, тези модели остават ограничени по обхват и прекъснати във времето, а за периода 2021–2027 г. част от инструментите остават предвидени, но неоперативни. Прекъсването на активната дейност на ФЕЕВИ през последните години допълнително затвърждава грантово ориентирания подход и води до загуба на приемственост при възвръщаемите инструменти.</w:t>
      </w:r>
    </w:p>
    <w:p w14:paraId="45242A5F" w14:textId="77777777" w:rsidR="00742DD8" w:rsidRPr="00AB1EDD" w:rsidRDefault="00742DD8" w:rsidP="00AB1EDD">
      <w:pPr>
        <w:rPr>
          <w:b/>
          <w:bCs/>
          <w:noProof/>
          <w:lang w:val="bg-BG" w:eastAsia="en-GB"/>
        </w:rPr>
      </w:pPr>
      <w:bookmarkStart w:id="187" w:name="_Toc217837169"/>
      <w:r w:rsidRPr="00AB1EDD">
        <w:rPr>
          <w:b/>
          <w:bCs/>
          <w:noProof/>
          <w:lang w:val="bg-BG" w:eastAsia="en-GB"/>
        </w:rPr>
        <w:t>Различия в приложимостта при нежилищните и жилищните сгради</w:t>
      </w:r>
      <w:bookmarkEnd w:id="187"/>
    </w:p>
    <w:p w14:paraId="177A5A74" w14:textId="77777777" w:rsidR="00742DD8" w:rsidRPr="006F3533" w:rsidRDefault="00742DD8" w:rsidP="00742DD8">
      <w:pPr>
        <w:spacing w:before="100" w:beforeAutospacing="1" w:after="100" w:afterAutospacing="1" w:line="240" w:lineRule="auto"/>
        <w:jc w:val="both"/>
        <w:rPr>
          <w:rFonts w:eastAsia="Times New Roman" w:cs="Times New Roman"/>
          <w:noProof/>
          <w:szCs w:val="24"/>
          <w:lang w:val="bg-BG" w:eastAsia="en-GB"/>
        </w:rPr>
      </w:pPr>
      <w:r w:rsidRPr="006F3533">
        <w:rPr>
          <w:rFonts w:eastAsia="Times New Roman" w:cs="Times New Roman"/>
          <w:noProof/>
          <w:szCs w:val="24"/>
          <w:lang w:val="bg-BG" w:eastAsia="en-GB"/>
        </w:rPr>
        <w:t>Макар институциите и инструментите да са принципно едни и същи, тяхната ефективност се различава съществено при нежилищните и жилищните сгради.</w:t>
      </w:r>
    </w:p>
    <w:p w14:paraId="4BECC2BF" w14:textId="77777777" w:rsidR="00742DD8" w:rsidRPr="006F3533" w:rsidRDefault="00742DD8" w:rsidP="00742DD8">
      <w:pPr>
        <w:spacing w:before="100" w:beforeAutospacing="1" w:after="100" w:afterAutospacing="1" w:line="240" w:lineRule="auto"/>
        <w:jc w:val="both"/>
        <w:rPr>
          <w:rFonts w:eastAsia="Times New Roman" w:cs="Times New Roman"/>
          <w:noProof/>
          <w:szCs w:val="24"/>
          <w:lang w:val="bg-BG" w:eastAsia="en-GB"/>
        </w:rPr>
      </w:pPr>
      <w:r w:rsidRPr="006F3533">
        <w:rPr>
          <w:rFonts w:eastAsia="Times New Roman" w:cs="Times New Roman"/>
          <w:noProof/>
          <w:szCs w:val="24"/>
          <w:lang w:val="bg-BG" w:eastAsia="en-GB"/>
        </w:rPr>
        <w:lastRenderedPageBreak/>
        <w:t xml:space="preserve">При </w:t>
      </w:r>
      <w:r w:rsidRPr="006F3533">
        <w:rPr>
          <w:rFonts w:eastAsia="Times New Roman" w:cs="Times New Roman"/>
          <w:b/>
          <w:bCs/>
          <w:noProof/>
          <w:szCs w:val="24"/>
          <w:lang w:val="bg-BG" w:eastAsia="en-GB"/>
        </w:rPr>
        <w:t>нежилищните сгради</w:t>
      </w:r>
      <w:r w:rsidRPr="006F3533">
        <w:rPr>
          <w:rFonts w:eastAsia="Times New Roman" w:cs="Times New Roman"/>
          <w:noProof/>
          <w:szCs w:val="24"/>
          <w:lang w:val="bg-BG" w:eastAsia="en-GB"/>
        </w:rPr>
        <w:t xml:space="preserve"> съществува по-благоприятна среда за прилагане на смесени финансови модели. Наличието на регулаторни задължения, ясно дефинирани бенефициенти, по-големи инвестиционни обеми и по-ниска транзакционна сложност позволява по-ефективно използване на заеми, гаранции и комбинирани инструменти. Въпреки това, и в този сегмент обновяването остава силно зависимо от програмни цикли, а липсата на системна връзка между регулаторните изисквания и финансовите механизми ограничава темпа и дълбочината на интервенциите.</w:t>
      </w:r>
    </w:p>
    <w:p w14:paraId="54F7F27A" w14:textId="77777777" w:rsidR="00742DD8" w:rsidRPr="006F3533" w:rsidRDefault="00742DD8" w:rsidP="00742DD8">
      <w:pPr>
        <w:spacing w:before="100" w:beforeAutospacing="1" w:after="100" w:afterAutospacing="1" w:line="240" w:lineRule="auto"/>
        <w:jc w:val="both"/>
        <w:rPr>
          <w:rFonts w:eastAsia="Times New Roman" w:cs="Times New Roman"/>
          <w:noProof/>
          <w:szCs w:val="24"/>
          <w:lang w:val="bg-BG" w:eastAsia="en-GB"/>
        </w:rPr>
      </w:pPr>
      <w:r w:rsidRPr="006F3533">
        <w:rPr>
          <w:rFonts w:eastAsia="Times New Roman" w:cs="Times New Roman"/>
          <w:noProof/>
          <w:szCs w:val="24"/>
          <w:lang w:val="bg-BG" w:eastAsia="en-GB"/>
        </w:rPr>
        <w:t xml:space="preserve">При </w:t>
      </w:r>
      <w:r w:rsidRPr="006F3533">
        <w:rPr>
          <w:rFonts w:eastAsia="Times New Roman" w:cs="Times New Roman"/>
          <w:b/>
          <w:bCs/>
          <w:noProof/>
          <w:szCs w:val="24"/>
          <w:lang w:val="bg-BG" w:eastAsia="en-GB"/>
        </w:rPr>
        <w:t>жилищните сгради</w:t>
      </w:r>
      <w:r w:rsidRPr="006F3533">
        <w:rPr>
          <w:rFonts w:eastAsia="Times New Roman" w:cs="Times New Roman"/>
          <w:noProof/>
          <w:szCs w:val="24"/>
          <w:lang w:val="bg-BG" w:eastAsia="en-GB"/>
        </w:rPr>
        <w:t>, и по-специално при многофамилните, същите инструменти срещат структурни ограничения. Основните бариери са свързани с липсата на стандартно обезпечение на ниво етажна собственост, множеството собственици с различна платежоспособност и високата транзакционна сложност на подготовката и управлението на проектите. В този контекст банковият сектор показва нисък апетит за кредитиране, независимо от наличната ликвидност и опита с гаранционни схеми в други сегменти.</w:t>
      </w:r>
    </w:p>
    <w:p w14:paraId="471E0B09" w14:textId="77777777" w:rsidR="00742DD8" w:rsidRPr="006F3533" w:rsidRDefault="00742DD8" w:rsidP="00742DD8">
      <w:pPr>
        <w:spacing w:before="100" w:beforeAutospacing="1" w:after="100" w:afterAutospacing="1" w:line="240" w:lineRule="auto"/>
        <w:jc w:val="both"/>
        <w:rPr>
          <w:rFonts w:eastAsia="Times New Roman" w:cs="Times New Roman"/>
          <w:noProof/>
          <w:szCs w:val="24"/>
          <w:lang w:val="bg-BG" w:eastAsia="en-GB"/>
        </w:rPr>
      </w:pPr>
      <w:r w:rsidRPr="006F3533">
        <w:rPr>
          <w:rFonts w:eastAsia="Times New Roman" w:cs="Times New Roman"/>
          <w:noProof/>
          <w:szCs w:val="24"/>
          <w:lang w:val="bg-BG" w:eastAsia="en-GB"/>
        </w:rPr>
        <w:t xml:space="preserve">Опитът от прилагането на </w:t>
      </w:r>
      <w:r w:rsidRPr="006F3533">
        <w:rPr>
          <w:rFonts w:eastAsia="Times New Roman" w:cs="Times New Roman"/>
          <w:b/>
          <w:bCs/>
          <w:noProof/>
          <w:szCs w:val="24"/>
          <w:lang w:val="bg-BG" w:eastAsia="en-GB"/>
        </w:rPr>
        <w:t>заемно-грантови инструменти, като REECL</w:t>
      </w:r>
      <w:r w:rsidRPr="006F3533">
        <w:rPr>
          <w:rFonts w:eastAsia="Times New Roman" w:cs="Times New Roman"/>
          <w:noProof/>
          <w:szCs w:val="24"/>
          <w:lang w:val="bg-BG" w:eastAsia="en-GB"/>
        </w:rPr>
        <w:t xml:space="preserve">, показва, че този тип схеми са </w:t>
      </w:r>
      <w:r w:rsidRPr="006F3533">
        <w:rPr>
          <w:rFonts w:eastAsia="Times New Roman" w:cs="Times New Roman"/>
          <w:b/>
          <w:bCs/>
          <w:noProof/>
          <w:szCs w:val="24"/>
          <w:lang w:val="bg-BG" w:eastAsia="en-GB"/>
        </w:rPr>
        <w:t xml:space="preserve">особено подходящи както за еднофамилни жилищни сгради, така и за многофамилни сгради, включително такива с по-висок дял на необитавани жилища или с ограничен капацитет </w:t>
      </w:r>
      <w:r w:rsidRPr="006F3533">
        <w:rPr>
          <w:rFonts w:eastAsia="Times New Roman" w:cs="Times New Roman"/>
          <w:noProof/>
          <w:szCs w:val="24"/>
          <w:lang w:val="bg-BG" w:eastAsia="en-GB"/>
        </w:rPr>
        <w:t>за реализиране на дълбоко обновяване в рамките на един инвестиционен цикъл. Тези инструменти създават условия за изпълнение на единични мерки и поетапно обновяване, съобразено с логиката на паспортите за енергийно обновяване и с реалните финансови възможности на домакинствата. В този смисъл заемно-грантовите схеми имат важна роля за осигуряване на справедлив и приобщаващ процес на декарбонизация, при който нито една група сгради или домакинства не остава извън обхвата на политиките. За да се разшири тяхната приложимост и към по-мащабни колективни проекти в многофамилни сгради, е препоръчително заемно-грантовите инструменти да бъдат надградени чрез по-структурирана финансова архитектура, включваща гаранционни механизми, професионално посредничество, техническа помощ и инструменти за управление на социалния риск.</w:t>
      </w:r>
    </w:p>
    <w:p w14:paraId="65ED2B94" w14:textId="79C121D9" w:rsidR="00B572B1" w:rsidRPr="006F3533" w:rsidRDefault="00742DD8" w:rsidP="00742DD8">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noProof/>
          <w:szCs w:val="24"/>
          <w:lang w:val="bg-BG" w:eastAsia="en-GB"/>
        </w:rPr>
        <w:t xml:space="preserve">Обобщеният анализ на двата сегмента показва, че </w:t>
      </w:r>
      <w:r w:rsidRPr="006F3533">
        <w:rPr>
          <w:rFonts w:eastAsia="Times New Roman" w:cs="Times New Roman"/>
          <w:b/>
          <w:bCs/>
          <w:noProof/>
          <w:szCs w:val="24"/>
          <w:lang w:val="bg-BG" w:eastAsia="en-GB"/>
        </w:rPr>
        <w:t>в България има институционален и финансов капацитет</w:t>
      </w:r>
      <w:r w:rsidRPr="006F3533">
        <w:rPr>
          <w:rFonts w:eastAsia="Times New Roman" w:cs="Times New Roman"/>
          <w:noProof/>
          <w:szCs w:val="24"/>
          <w:lang w:val="bg-BG" w:eastAsia="en-GB"/>
        </w:rPr>
        <w:t xml:space="preserve"> за прилагане на възвръщаеми и смесени инструменти за сградно обновяване, но той </w:t>
      </w:r>
      <w:r w:rsidRPr="006F3533">
        <w:rPr>
          <w:rFonts w:eastAsia="Times New Roman" w:cs="Times New Roman"/>
          <w:b/>
          <w:bCs/>
          <w:noProof/>
          <w:szCs w:val="24"/>
          <w:lang w:val="bg-BG" w:eastAsia="en-GB"/>
        </w:rPr>
        <w:t>не е интегриран в последователна и дългосрочна рамка</w:t>
      </w:r>
      <w:r w:rsidRPr="006F3533">
        <w:rPr>
          <w:rFonts w:eastAsia="Times New Roman" w:cs="Times New Roman"/>
          <w:noProof/>
          <w:szCs w:val="24"/>
          <w:lang w:val="bg-BG" w:eastAsia="en-GB"/>
        </w:rPr>
        <w:t xml:space="preserve">. За преход от доминиращия грантов модел към устойчиво обновяване е необходимо не въвеждане на нови институции, а по-добро структуриране и адаптиране на съществуващите инструменти.Ключовите насоки включват: системно прилагане на гаранционни механизми и комбинирани операции, рециклиране на публичния ресурс, обвързване на регулаторните изисквания с достъпни финансови инструменти при нежилищните сгради и изграждане на работеща архитектура за колективно финансиране при жилищните, включително чрез техническа помощ и професионално посредничество. В този контекст </w:t>
      </w:r>
      <w:r w:rsidRPr="006F3533">
        <w:rPr>
          <w:rFonts w:eastAsia="Times New Roman" w:cs="Times New Roman"/>
          <w:b/>
          <w:bCs/>
          <w:noProof/>
          <w:szCs w:val="24"/>
          <w:lang w:val="bg-BG" w:eastAsia="en-GB"/>
        </w:rPr>
        <w:t>активирането на Националния фонд за декарбонизация и развитието на смесени финансови модели</w:t>
      </w:r>
      <w:r w:rsidRPr="006F3533">
        <w:rPr>
          <w:rFonts w:eastAsia="Times New Roman" w:cs="Times New Roman"/>
          <w:noProof/>
          <w:szCs w:val="24"/>
          <w:lang w:val="bg-BG" w:eastAsia="en-GB"/>
        </w:rPr>
        <w:t xml:space="preserve"> са ключови предпоставки за постигане на целите за обновяване на сградния фонд до 2050 г.</w:t>
      </w:r>
    </w:p>
    <w:p w14:paraId="2B7F2527" w14:textId="7BC170D8" w:rsidR="00B572B1" w:rsidRPr="006F3533" w:rsidRDefault="00B572B1" w:rsidP="00077D42">
      <w:pPr>
        <w:pStyle w:val="Heading1"/>
        <w:jc w:val="both"/>
        <w:rPr>
          <w:lang w:val="bg-BG" w:eastAsia="bg-BG"/>
        </w:rPr>
      </w:pPr>
      <w:bookmarkStart w:id="188" w:name="_Toc217888820"/>
      <w:r w:rsidRPr="006F3533">
        <w:rPr>
          <w:lang w:val="bg-BG" w:eastAsia="bg-BG"/>
        </w:rPr>
        <w:lastRenderedPageBreak/>
        <w:t>Политически мерки и инструменти в подкрепа на сградното обновяване</w:t>
      </w:r>
      <w:bookmarkEnd w:id="188"/>
    </w:p>
    <w:p w14:paraId="0C2D8036" w14:textId="7491B6E2" w:rsidR="00B572B1" w:rsidRPr="006F3533" w:rsidRDefault="00B572B1" w:rsidP="00077D42">
      <w:pPr>
        <w:pStyle w:val="Heading2"/>
        <w:jc w:val="both"/>
        <w:rPr>
          <w:i/>
          <w:iCs/>
          <w:color w:val="2E74B5" w:themeColor="accent5" w:themeShade="BF"/>
          <w:lang w:val="bg-BG"/>
        </w:rPr>
      </w:pPr>
      <w:bookmarkStart w:id="189" w:name="_Toc217888821"/>
      <w:r w:rsidRPr="006F3533">
        <w:rPr>
          <w:lang w:val="bg-BG"/>
        </w:rPr>
        <w:t xml:space="preserve">а) Определяне на </w:t>
      </w:r>
      <w:proofErr w:type="spellStart"/>
      <w:r w:rsidRPr="006F3533">
        <w:rPr>
          <w:lang w:val="bg-BG"/>
        </w:rPr>
        <w:t>разходоефективни</w:t>
      </w:r>
      <w:proofErr w:type="spellEnd"/>
      <w:r w:rsidRPr="006F3533">
        <w:rPr>
          <w:lang w:val="bg-BG"/>
        </w:rPr>
        <w:t xml:space="preserve"> подходи за саниране за различни типове сгради и климатични зони, като се отчитат евентуалните значими пазарни събития в жизнения цикъл на сградата</w:t>
      </w:r>
      <w:bookmarkEnd w:id="189"/>
    </w:p>
    <w:p w14:paraId="489C5FC6" w14:textId="77777777"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190" w:name="_Toc216816087"/>
      <w:bookmarkStart w:id="191" w:name="_Toc216857807"/>
      <w:bookmarkStart w:id="192" w:name="_Toc217888822"/>
      <w:r w:rsidRPr="006F3533">
        <w:rPr>
          <w:rFonts w:eastAsia="Times New Roman" w:cs="Times New Roman"/>
          <w:b/>
          <w:bCs/>
          <w:szCs w:val="24"/>
          <w:lang w:val="bg-BG" w:eastAsia="bg-BG"/>
        </w:rPr>
        <w:t>Методологична рамка и принципи</w:t>
      </w:r>
      <w:bookmarkEnd w:id="190"/>
      <w:bookmarkEnd w:id="191"/>
      <w:bookmarkEnd w:id="192"/>
    </w:p>
    <w:p w14:paraId="321305B3" w14:textId="3F4104FA"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Националният подход към разходната ефективност на сградното обновяване се основава на </w:t>
      </w:r>
      <w:r w:rsidRPr="006F3533">
        <w:rPr>
          <w:rFonts w:eastAsia="Times New Roman" w:cs="Times New Roman"/>
          <w:b/>
          <w:bCs/>
          <w:szCs w:val="24"/>
          <w:lang w:val="bg-BG" w:eastAsia="bg-BG"/>
        </w:rPr>
        <w:t>Наредба № РД-02-20-3 от 9 ноември 2022 г.</w:t>
      </w:r>
      <w:r w:rsidRPr="006F3533">
        <w:rPr>
          <w:rFonts w:eastAsia="Times New Roman" w:cs="Times New Roman"/>
          <w:szCs w:val="24"/>
          <w:lang w:val="bg-BG" w:eastAsia="bg-BG"/>
        </w:rPr>
        <w:t xml:space="preserve"> за изискванията към енергийните характеристики на сградите (в сила от 2023 г., с последващи изменения от 2024 г.) и на </w:t>
      </w:r>
      <w:r w:rsidR="00432A81" w:rsidRPr="006F3533">
        <w:rPr>
          <w:rFonts w:eastAsia="Times New Roman" w:cs="Times New Roman"/>
          <w:b/>
          <w:bCs/>
          <w:szCs w:val="24"/>
          <w:lang w:val="bg-BG" w:eastAsia="bg-BG"/>
        </w:rPr>
        <w:t>Националната д</w:t>
      </w:r>
      <w:r w:rsidRPr="006F3533">
        <w:rPr>
          <w:rFonts w:eastAsia="Times New Roman" w:cs="Times New Roman"/>
          <w:b/>
          <w:bCs/>
          <w:szCs w:val="24"/>
          <w:lang w:val="bg-BG" w:eastAsia="bg-BG"/>
        </w:rPr>
        <w:t>ългосрочната стратегия за обновяване на сград</w:t>
      </w:r>
      <w:r w:rsidR="00432A81" w:rsidRPr="006F3533">
        <w:rPr>
          <w:rFonts w:eastAsia="Times New Roman" w:cs="Times New Roman"/>
          <w:b/>
          <w:bCs/>
          <w:szCs w:val="24"/>
          <w:lang w:val="bg-BG" w:eastAsia="bg-BG"/>
        </w:rPr>
        <w:t>ния</w:t>
      </w:r>
      <w:r w:rsidRPr="006F3533">
        <w:rPr>
          <w:rFonts w:eastAsia="Times New Roman" w:cs="Times New Roman"/>
          <w:b/>
          <w:bCs/>
          <w:szCs w:val="24"/>
          <w:lang w:val="bg-BG" w:eastAsia="bg-BG"/>
        </w:rPr>
        <w:t xml:space="preserve"> фонд (2021)</w:t>
      </w:r>
      <w:r w:rsidR="00432A81" w:rsidRPr="006F3533">
        <w:rPr>
          <w:rStyle w:val="FootnoteReference"/>
          <w:rFonts w:eastAsia="Times New Roman" w:cs="Times New Roman"/>
          <w:b/>
          <w:bCs/>
          <w:szCs w:val="24"/>
          <w:lang w:val="bg-BG" w:eastAsia="bg-BG"/>
        </w:rPr>
        <w:footnoteReference w:id="55"/>
      </w:r>
      <w:r w:rsidRPr="006F3533">
        <w:rPr>
          <w:rFonts w:eastAsia="Times New Roman" w:cs="Times New Roman"/>
          <w:szCs w:val="24"/>
          <w:lang w:val="bg-BG" w:eastAsia="bg-BG"/>
        </w:rPr>
        <w:t>.</w:t>
      </w:r>
      <w:r w:rsidR="00BB0841" w:rsidRPr="006F3533">
        <w:rPr>
          <w:rFonts w:eastAsia="Times New Roman" w:cs="Times New Roman"/>
          <w:szCs w:val="24"/>
          <w:lang w:val="bg-BG" w:eastAsia="bg-BG"/>
        </w:rPr>
        <w:t xml:space="preserve"> </w:t>
      </w:r>
      <w:proofErr w:type="spellStart"/>
      <w:r w:rsidR="00BB0841" w:rsidRPr="006F3533">
        <w:rPr>
          <w:rFonts w:eastAsia="Times New Roman" w:cs="Times New Roman"/>
          <w:szCs w:val="24"/>
          <w:lang w:val="bg-BG" w:eastAsia="bg-BG"/>
        </w:rPr>
        <w:t>T</w:t>
      </w:r>
      <w:r w:rsidRPr="006F3533">
        <w:rPr>
          <w:rFonts w:eastAsia="Times New Roman" w:cs="Times New Roman"/>
          <w:szCs w:val="24"/>
          <w:lang w:val="bg-BG" w:eastAsia="bg-BG"/>
        </w:rPr>
        <w:t>ези</w:t>
      </w:r>
      <w:proofErr w:type="spellEnd"/>
      <w:r w:rsidRPr="006F3533">
        <w:rPr>
          <w:rFonts w:eastAsia="Times New Roman" w:cs="Times New Roman"/>
          <w:szCs w:val="24"/>
          <w:lang w:val="bg-BG" w:eastAsia="bg-BG"/>
        </w:rPr>
        <w:t xml:space="preserve"> документи въвеждат европейския принцип на </w:t>
      </w:r>
      <w:r w:rsidRPr="006F3533">
        <w:rPr>
          <w:rFonts w:eastAsia="Times New Roman" w:cs="Times New Roman"/>
          <w:b/>
          <w:bCs/>
          <w:szCs w:val="24"/>
          <w:lang w:val="bg-BG" w:eastAsia="bg-BG"/>
        </w:rPr>
        <w:t>разходн</w:t>
      </w:r>
      <w:r w:rsidR="00432A81" w:rsidRPr="006F3533">
        <w:rPr>
          <w:rFonts w:eastAsia="Times New Roman" w:cs="Times New Roman"/>
          <w:b/>
          <w:bCs/>
          <w:szCs w:val="24"/>
          <w:lang w:val="bg-BG" w:eastAsia="bg-BG"/>
        </w:rPr>
        <w:t xml:space="preserve">а </w:t>
      </w:r>
      <w:r w:rsidRPr="006F3533">
        <w:rPr>
          <w:rFonts w:eastAsia="Times New Roman" w:cs="Times New Roman"/>
          <w:b/>
          <w:bCs/>
          <w:szCs w:val="24"/>
          <w:lang w:val="bg-BG" w:eastAsia="bg-BG"/>
        </w:rPr>
        <w:t>оптималност (</w:t>
      </w:r>
      <w:proofErr w:type="spellStart"/>
      <w:r w:rsidRPr="006F3533">
        <w:rPr>
          <w:rFonts w:eastAsia="Times New Roman" w:cs="Times New Roman"/>
          <w:b/>
          <w:bCs/>
          <w:szCs w:val="24"/>
          <w:lang w:val="bg-BG" w:eastAsia="bg-BG"/>
        </w:rPr>
        <w:t>cost-optimality</w:t>
      </w:r>
      <w:proofErr w:type="spellEnd"/>
      <w:r w:rsidRPr="006F3533">
        <w:rPr>
          <w:rFonts w:eastAsia="Times New Roman" w:cs="Times New Roman"/>
          <w:b/>
          <w:bCs/>
          <w:szCs w:val="24"/>
          <w:lang w:val="bg-BG" w:eastAsia="bg-BG"/>
        </w:rPr>
        <w:t>)</w:t>
      </w:r>
      <w:r w:rsidRPr="006F3533">
        <w:rPr>
          <w:rFonts w:eastAsia="Times New Roman" w:cs="Times New Roman"/>
          <w:szCs w:val="24"/>
          <w:lang w:val="bg-BG" w:eastAsia="bg-BG"/>
        </w:rPr>
        <w:t xml:space="preserve">, определен в </w:t>
      </w:r>
      <w:r w:rsidRPr="006F3533">
        <w:rPr>
          <w:rFonts w:eastAsia="Times New Roman" w:cs="Times New Roman"/>
          <w:b/>
          <w:bCs/>
          <w:szCs w:val="24"/>
          <w:lang w:val="bg-BG" w:eastAsia="bg-BG"/>
        </w:rPr>
        <w:t>Делегиран регламент (ЕС) 244/2012</w:t>
      </w:r>
      <w:r w:rsidRPr="006F3533">
        <w:rPr>
          <w:rFonts w:eastAsia="Times New Roman" w:cs="Times New Roman"/>
          <w:szCs w:val="24"/>
          <w:lang w:val="bg-BG" w:eastAsia="bg-BG"/>
        </w:rPr>
        <w:t>, чрез който се изчислява енергийното представяне на сградите при минимални разходи през целия жизнен цикъл.</w:t>
      </w:r>
    </w:p>
    <w:p w14:paraId="1ECE648B"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Съгласно Наредбата, оптималното по разходи ниво се определя чрез изчисляване на „глобалните разходи“ (</w:t>
      </w:r>
      <w:proofErr w:type="spellStart"/>
      <w:r w:rsidRPr="006F3533">
        <w:rPr>
          <w:rFonts w:eastAsia="Times New Roman" w:cs="Times New Roman"/>
          <w:szCs w:val="24"/>
          <w:lang w:val="bg-BG" w:eastAsia="bg-BG"/>
        </w:rPr>
        <w:t>global</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cost</w:t>
      </w:r>
      <w:proofErr w:type="spellEnd"/>
      <w:r w:rsidRPr="006F3533">
        <w:rPr>
          <w:rFonts w:eastAsia="Times New Roman" w:cs="Times New Roman"/>
          <w:szCs w:val="24"/>
          <w:lang w:val="bg-BG" w:eastAsia="bg-BG"/>
        </w:rPr>
        <w:t>) за период от 30 години, включващ инвестиционните, експлоатационните, енергийните и поддържащите разходи, както и остатъчната стойност на елементите. Тази методология гарантира, че целевите изисквания за енергийни характеристики отразяват икономически най-изгодния баланс между инвестиция и спестяване на енергия.</w:t>
      </w:r>
    </w:p>
    <w:p w14:paraId="6EF3EB08" w14:textId="7F4C1A03"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резултат, при всеки основен ремонт, реконструкция, преустройство, надстрояване или пристрояване на съществуваща сграда се извършва оценка на рентабилността на мерките по приетата методика. Когато мерките водят до положителен нетен резултат за срока на експлоатация, те стават задължителни за прилагане като част от проекта. По този начин България прилага принципа на </w:t>
      </w:r>
      <w:r w:rsidR="00432A81" w:rsidRPr="006F3533">
        <w:rPr>
          <w:rFonts w:eastAsia="Times New Roman" w:cs="Times New Roman"/>
          <w:szCs w:val="24"/>
          <w:lang w:val="bg-BG" w:eastAsia="bg-BG"/>
        </w:rPr>
        <w:t>„задвижващи фактори“ (</w:t>
      </w:r>
      <w:r w:rsidRPr="006F3533">
        <w:rPr>
          <w:rFonts w:eastAsia="Times New Roman" w:cs="Times New Roman"/>
          <w:szCs w:val="24"/>
          <w:lang w:val="bg-BG" w:eastAsia="bg-BG"/>
        </w:rPr>
        <w:t>„</w:t>
      </w:r>
      <w:proofErr w:type="spellStart"/>
      <w:r w:rsidRPr="006F3533">
        <w:rPr>
          <w:rFonts w:eastAsia="Times New Roman" w:cs="Times New Roman"/>
          <w:szCs w:val="24"/>
          <w:lang w:val="bg-BG" w:eastAsia="bg-BG"/>
        </w:rPr>
        <w:t>trigger</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points</w:t>
      </w:r>
      <w:proofErr w:type="spellEnd"/>
      <w:r w:rsidRPr="006F3533">
        <w:rPr>
          <w:rFonts w:eastAsia="Times New Roman" w:cs="Times New Roman"/>
          <w:szCs w:val="24"/>
          <w:lang w:val="bg-BG" w:eastAsia="bg-BG"/>
        </w:rPr>
        <w:t>“</w:t>
      </w:r>
      <w:r w:rsidR="00432A81" w:rsidRPr="006F3533">
        <w:rPr>
          <w:rFonts w:eastAsia="Times New Roman" w:cs="Times New Roman"/>
          <w:szCs w:val="24"/>
          <w:lang w:val="bg-BG" w:eastAsia="bg-BG"/>
        </w:rPr>
        <w:t>)</w:t>
      </w:r>
      <w:r w:rsidRPr="006F3533">
        <w:rPr>
          <w:rFonts w:eastAsia="Times New Roman" w:cs="Times New Roman"/>
          <w:szCs w:val="24"/>
          <w:lang w:val="bg-BG" w:eastAsia="bg-BG"/>
        </w:rPr>
        <w:t xml:space="preserve"> – естествени моменти в жизнения цикъл на сградата, при които енергийното обновяване е технически и финансово най-целесъобразно.</w:t>
      </w:r>
    </w:p>
    <w:p w14:paraId="1E8C7723"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Определените 9 климатични зони (съгласно БДС EN ISO 52010-1 и националните климатични референтни файлове) позволяват адаптиране на разходно-оптималните решения спрямо регионалните условия. Например, дебелината и видът на изолацията и конфигурацията на отоплителните и охлаждащите системи се определят различно за умереноконтиненталните райони в Северна България и морския климат в Югоизточна България.</w:t>
      </w:r>
    </w:p>
    <w:p w14:paraId="0DC33C7B" w14:textId="77777777"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193" w:name="_Toc216816088"/>
      <w:bookmarkStart w:id="194" w:name="_Toc216857808"/>
      <w:bookmarkStart w:id="195" w:name="_Toc217888823"/>
      <w:r w:rsidRPr="006F3533">
        <w:rPr>
          <w:rFonts w:eastAsia="Times New Roman" w:cs="Times New Roman"/>
          <w:b/>
          <w:bCs/>
          <w:szCs w:val="24"/>
          <w:lang w:val="bg-BG" w:eastAsia="bg-BG"/>
        </w:rPr>
        <w:t>Разходно-ефективни подходи по основни типове сгради</w:t>
      </w:r>
      <w:bookmarkEnd w:id="193"/>
      <w:bookmarkEnd w:id="194"/>
      <w:bookmarkEnd w:id="195"/>
    </w:p>
    <w:p w14:paraId="15F3E818" w14:textId="0FABCF01" w:rsidR="00B572B1" w:rsidRPr="006F3533" w:rsidRDefault="00432A81" w:rsidP="00077D42">
      <w:pPr>
        <w:spacing w:before="100" w:beforeAutospacing="1" w:after="100" w:afterAutospacing="1" w:line="240" w:lineRule="auto"/>
        <w:jc w:val="both"/>
        <w:outlineLvl w:val="3"/>
        <w:rPr>
          <w:rFonts w:eastAsia="Times New Roman" w:cs="Times New Roman"/>
          <w:b/>
          <w:bCs/>
          <w:szCs w:val="24"/>
          <w:lang w:val="bg-BG" w:eastAsia="bg-BG"/>
        </w:rPr>
      </w:pPr>
      <w:r w:rsidRPr="006F3533">
        <w:rPr>
          <w:rFonts w:eastAsia="Times New Roman" w:cs="Times New Roman"/>
          <w:b/>
          <w:bCs/>
          <w:szCs w:val="24"/>
          <w:lang w:val="bg-BG" w:eastAsia="bg-BG"/>
        </w:rPr>
        <w:t xml:space="preserve">1. </w:t>
      </w:r>
      <w:r w:rsidR="00B572B1" w:rsidRPr="006F3533">
        <w:rPr>
          <w:rFonts w:eastAsia="Times New Roman" w:cs="Times New Roman"/>
          <w:b/>
          <w:bCs/>
          <w:szCs w:val="24"/>
          <w:lang w:val="bg-BG" w:eastAsia="bg-BG"/>
        </w:rPr>
        <w:t>Еднофамилни жилищни сгради</w:t>
      </w:r>
    </w:p>
    <w:p w14:paraId="491B970B" w14:textId="3483B865"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 xml:space="preserve">За еднофамилните домове характерните моменти на намеса включват </w:t>
      </w:r>
      <w:r w:rsidRPr="006F3533">
        <w:rPr>
          <w:rFonts w:eastAsia="Times New Roman" w:cs="Times New Roman"/>
          <w:b/>
          <w:bCs/>
          <w:szCs w:val="24"/>
          <w:lang w:val="bg-BG" w:eastAsia="bg-BG"/>
        </w:rPr>
        <w:t>подмяна на покрив, фасада, дограма, отоплителна или вентилационна система</w:t>
      </w:r>
      <w:r w:rsidRPr="006F3533">
        <w:rPr>
          <w:rFonts w:eastAsia="Times New Roman" w:cs="Times New Roman"/>
          <w:szCs w:val="24"/>
          <w:lang w:val="bg-BG" w:eastAsia="bg-BG"/>
        </w:rPr>
        <w:t>, както и реконструкции и пристроявания.</w:t>
      </w:r>
      <w:r w:rsidR="00BB0841" w:rsidRPr="006F3533">
        <w:rPr>
          <w:rFonts w:eastAsia="Times New Roman" w:cs="Times New Roman"/>
          <w:szCs w:val="24"/>
          <w:lang w:val="bg-BG" w:eastAsia="bg-BG"/>
        </w:rPr>
        <w:t xml:space="preserve"> </w:t>
      </w:r>
      <w:r w:rsidRPr="006F3533">
        <w:rPr>
          <w:rFonts w:eastAsia="Times New Roman" w:cs="Times New Roman"/>
          <w:szCs w:val="24"/>
          <w:lang w:val="bg-BG" w:eastAsia="bg-BG"/>
        </w:rPr>
        <w:t xml:space="preserve">Типовите пакети от мерки, идентифицирани в </w:t>
      </w:r>
      <w:r w:rsidR="00BB0841" w:rsidRPr="006F3533">
        <w:rPr>
          <w:rFonts w:eastAsia="Times New Roman" w:cs="Times New Roman"/>
          <w:szCs w:val="24"/>
          <w:lang w:val="bg-BG" w:eastAsia="bg-BG"/>
        </w:rPr>
        <w:t>Дългосрочната национална стратегия за обновяване</w:t>
      </w:r>
      <w:r w:rsidRPr="006F3533">
        <w:rPr>
          <w:rFonts w:eastAsia="Times New Roman" w:cs="Times New Roman"/>
          <w:szCs w:val="24"/>
          <w:lang w:val="bg-BG" w:eastAsia="bg-BG"/>
        </w:rPr>
        <w:t>, обхващат:</w:t>
      </w:r>
    </w:p>
    <w:p w14:paraId="427E4EEC" w14:textId="0F01E05D" w:rsidR="00B572B1" w:rsidRPr="006F3533" w:rsidRDefault="00B572B1">
      <w:pPr>
        <w:numPr>
          <w:ilvl w:val="0"/>
          <w:numId w:val="22"/>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Обвивка:</w:t>
      </w:r>
      <w:r w:rsidRPr="006F3533">
        <w:rPr>
          <w:rFonts w:eastAsia="Times New Roman" w:cs="Times New Roman"/>
          <w:szCs w:val="24"/>
          <w:lang w:val="bg-BG" w:eastAsia="bg-BG"/>
        </w:rPr>
        <w:t xml:space="preserve"> </w:t>
      </w:r>
      <w:r w:rsidR="00BB0841" w:rsidRPr="006F3533">
        <w:rPr>
          <w:rFonts w:eastAsia="Times New Roman" w:cs="Times New Roman"/>
          <w:szCs w:val="24"/>
          <w:lang w:val="bg-BG" w:eastAsia="bg-BG"/>
        </w:rPr>
        <w:t>топлоизолация на покрив и външни стени (при топлоизолации с коефициент на топлопроводност λ ≤ 0,035 W/</w:t>
      </w:r>
      <w:proofErr w:type="spellStart"/>
      <w:r w:rsidR="00BB0841" w:rsidRPr="006F3533">
        <w:rPr>
          <w:rFonts w:eastAsia="Times New Roman" w:cs="Times New Roman"/>
          <w:szCs w:val="24"/>
          <w:lang w:val="bg-BG" w:eastAsia="bg-BG"/>
        </w:rPr>
        <w:t>mK</w:t>
      </w:r>
      <w:proofErr w:type="spellEnd"/>
      <w:r w:rsidR="00BB0841" w:rsidRPr="006F3533">
        <w:rPr>
          <w:rFonts w:eastAsia="Times New Roman" w:cs="Times New Roman"/>
          <w:szCs w:val="24"/>
          <w:lang w:val="bg-BG" w:eastAsia="bg-BG"/>
        </w:rPr>
        <w:t xml:space="preserve">, дебелина 12–16 cm), нова дограма с коефициент на топлопреминаване </w:t>
      </w:r>
      <w:proofErr w:type="spellStart"/>
      <w:r w:rsidR="00BB0841" w:rsidRPr="006F3533">
        <w:rPr>
          <w:rFonts w:eastAsia="Times New Roman" w:cs="Times New Roman"/>
          <w:szCs w:val="24"/>
          <w:lang w:val="bg-BG" w:eastAsia="bg-BG"/>
        </w:rPr>
        <w:t>Uw</w:t>
      </w:r>
      <w:proofErr w:type="spellEnd"/>
      <w:r w:rsidR="00BB0841" w:rsidRPr="006F3533">
        <w:rPr>
          <w:rFonts w:eastAsia="Times New Roman" w:cs="Times New Roman"/>
          <w:szCs w:val="24"/>
          <w:lang w:val="bg-BG" w:eastAsia="bg-BG"/>
        </w:rPr>
        <w:t xml:space="preserve"> ≤ 1,2 W/m²K, мерки за въздушна плътност и ограничаване на топлинни мостове</w:t>
      </w:r>
      <w:r w:rsidRPr="006F3533">
        <w:rPr>
          <w:rFonts w:eastAsia="Times New Roman" w:cs="Times New Roman"/>
          <w:szCs w:val="24"/>
          <w:lang w:val="bg-BG" w:eastAsia="bg-BG"/>
        </w:rPr>
        <w:t>;</w:t>
      </w:r>
    </w:p>
    <w:p w14:paraId="02A689FB" w14:textId="77777777" w:rsidR="00B572B1" w:rsidRPr="006F3533" w:rsidRDefault="00B572B1">
      <w:pPr>
        <w:numPr>
          <w:ilvl w:val="0"/>
          <w:numId w:val="22"/>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Инсталации:</w:t>
      </w:r>
      <w:r w:rsidRPr="006F3533">
        <w:rPr>
          <w:rFonts w:eastAsia="Times New Roman" w:cs="Times New Roman"/>
          <w:szCs w:val="24"/>
          <w:lang w:val="bg-BG" w:eastAsia="bg-BG"/>
        </w:rPr>
        <w:t xml:space="preserve"> подмяна на котли с </w:t>
      </w:r>
      <w:r w:rsidRPr="006F3533">
        <w:rPr>
          <w:rFonts w:eastAsia="Times New Roman" w:cs="Times New Roman"/>
          <w:b/>
          <w:bCs/>
          <w:szCs w:val="24"/>
          <w:lang w:val="bg-BG" w:eastAsia="bg-BG"/>
        </w:rPr>
        <w:t>термопомпи въздух-вода или земя-вода</w:t>
      </w:r>
      <w:r w:rsidRPr="006F3533">
        <w:rPr>
          <w:rFonts w:eastAsia="Times New Roman" w:cs="Times New Roman"/>
          <w:szCs w:val="24"/>
          <w:lang w:val="bg-BG" w:eastAsia="bg-BG"/>
        </w:rPr>
        <w:t xml:space="preserve">, въвеждане на интелигентно управление и балансирана вентилация с </w:t>
      </w:r>
      <w:proofErr w:type="spellStart"/>
      <w:r w:rsidRPr="006F3533">
        <w:rPr>
          <w:rFonts w:eastAsia="Times New Roman" w:cs="Times New Roman"/>
          <w:szCs w:val="24"/>
          <w:lang w:val="bg-BG" w:eastAsia="bg-BG"/>
        </w:rPr>
        <w:t>рекуперация</w:t>
      </w:r>
      <w:proofErr w:type="spellEnd"/>
      <w:r w:rsidRPr="006F3533">
        <w:rPr>
          <w:rFonts w:eastAsia="Times New Roman" w:cs="Times New Roman"/>
          <w:szCs w:val="24"/>
          <w:lang w:val="bg-BG" w:eastAsia="bg-BG"/>
        </w:rPr>
        <w:t xml:space="preserve"> (η ≥ 80%);</w:t>
      </w:r>
    </w:p>
    <w:p w14:paraId="4A081848" w14:textId="77777777" w:rsidR="00B572B1" w:rsidRPr="006F3533" w:rsidRDefault="00B572B1">
      <w:pPr>
        <w:numPr>
          <w:ilvl w:val="0"/>
          <w:numId w:val="22"/>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ВЕИ:</w:t>
      </w:r>
      <w:r w:rsidRPr="006F3533">
        <w:rPr>
          <w:rFonts w:eastAsia="Times New Roman" w:cs="Times New Roman"/>
          <w:szCs w:val="24"/>
          <w:lang w:val="bg-BG" w:eastAsia="bg-BG"/>
        </w:rPr>
        <w:t xml:space="preserve"> </w:t>
      </w:r>
      <w:r w:rsidRPr="006F3533">
        <w:rPr>
          <w:rFonts w:eastAsia="Times New Roman" w:cs="Times New Roman"/>
          <w:b/>
          <w:bCs/>
          <w:szCs w:val="24"/>
          <w:lang w:val="bg-BG" w:eastAsia="bg-BG"/>
        </w:rPr>
        <w:t>фотоволтаични панели</w:t>
      </w:r>
      <w:r w:rsidRPr="006F3533">
        <w:rPr>
          <w:rFonts w:eastAsia="Times New Roman" w:cs="Times New Roman"/>
          <w:szCs w:val="24"/>
          <w:lang w:val="bg-BG" w:eastAsia="bg-BG"/>
        </w:rPr>
        <w:t xml:space="preserve"> до 5 </w:t>
      </w:r>
      <w:proofErr w:type="spellStart"/>
      <w:r w:rsidRPr="006F3533">
        <w:rPr>
          <w:rFonts w:eastAsia="Times New Roman" w:cs="Times New Roman"/>
          <w:szCs w:val="24"/>
          <w:lang w:val="bg-BG" w:eastAsia="bg-BG"/>
        </w:rPr>
        <w:t>kWp</w:t>
      </w:r>
      <w:proofErr w:type="spellEnd"/>
      <w:r w:rsidRPr="006F3533">
        <w:rPr>
          <w:rFonts w:eastAsia="Times New Roman" w:cs="Times New Roman"/>
          <w:szCs w:val="24"/>
          <w:lang w:val="bg-BG" w:eastAsia="bg-BG"/>
        </w:rPr>
        <w:t xml:space="preserve"> или </w:t>
      </w:r>
      <w:r w:rsidRPr="006F3533">
        <w:rPr>
          <w:rFonts w:eastAsia="Times New Roman" w:cs="Times New Roman"/>
          <w:b/>
          <w:bCs/>
          <w:szCs w:val="24"/>
          <w:lang w:val="bg-BG" w:eastAsia="bg-BG"/>
        </w:rPr>
        <w:t>слънчеви термални колектори</w:t>
      </w:r>
      <w:r w:rsidRPr="006F3533">
        <w:rPr>
          <w:rFonts w:eastAsia="Times New Roman" w:cs="Times New Roman"/>
          <w:szCs w:val="24"/>
          <w:lang w:val="bg-BG" w:eastAsia="bg-BG"/>
        </w:rPr>
        <w:t xml:space="preserve"> за битова гореща вода.</w:t>
      </w:r>
    </w:p>
    <w:p w14:paraId="3398618B" w14:textId="0B4FA5AE" w:rsidR="00B572B1" w:rsidRPr="006F3533" w:rsidRDefault="00BB084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Тези комбинации водят до намаляване на потреблението на първична енергия с над 60%, като инвестицията се изплаща в рамките на 8–12 години според климатичната зона и състоянието на сградата.</w:t>
      </w:r>
    </w:p>
    <w:p w14:paraId="77E2E4BD" w14:textId="063C253C" w:rsidR="00B572B1" w:rsidRPr="006F3533" w:rsidRDefault="00432A81" w:rsidP="00077D42">
      <w:pPr>
        <w:spacing w:before="100" w:beforeAutospacing="1" w:after="100" w:afterAutospacing="1" w:line="240" w:lineRule="auto"/>
        <w:jc w:val="both"/>
        <w:outlineLvl w:val="3"/>
        <w:rPr>
          <w:rFonts w:eastAsia="Times New Roman" w:cs="Times New Roman"/>
          <w:b/>
          <w:bCs/>
          <w:szCs w:val="24"/>
          <w:lang w:val="bg-BG" w:eastAsia="bg-BG"/>
        </w:rPr>
      </w:pPr>
      <w:r w:rsidRPr="006F3533">
        <w:rPr>
          <w:rFonts w:eastAsia="Times New Roman" w:cs="Times New Roman"/>
          <w:b/>
          <w:bCs/>
          <w:szCs w:val="24"/>
          <w:lang w:val="bg-BG" w:eastAsia="bg-BG"/>
        </w:rPr>
        <w:t xml:space="preserve">2. </w:t>
      </w:r>
      <w:r w:rsidR="00B572B1" w:rsidRPr="006F3533">
        <w:rPr>
          <w:rFonts w:eastAsia="Times New Roman" w:cs="Times New Roman"/>
          <w:b/>
          <w:bCs/>
          <w:szCs w:val="24"/>
          <w:lang w:val="bg-BG" w:eastAsia="bg-BG"/>
        </w:rPr>
        <w:t>Многофамилни жилищни сгради</w:t>
      </w:r>
    </w:p>
    <w:p w14:paraId="7075FEEF" w14:textId="77777777" w:rsidR="00BB0841" w:rsidRPr="006F3533" w:rsidRDefault="00BB0841" w:rsidP="00BB0841">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 панелни и масивни блокове разходно-ефективните намеси са най-резултатни при </w:t>
      </w:r>
      <w:r w:rsidRPr="006F3533">
        <w:rPr>
          <w:rFonts w:eastAsia="Times New Roman" w:cs="Times New Roman"/>
          <w:b/>
          <w:bCs/>
          <w:szCs w:val="24"/>
          <w:lang w:val="bg-BG" w:eastAsia="bg-BG"/>
        </w:rPr>
        <w:t>капитални ремонти на обвивката и инсталациите</w:t>
      </w:r>
      <w:r w:rsidRPr="006F3533">
        <w:rPr>
          <w:rFonts w:eastAsia="Times New Roman" w:cs="Times New Roman"/>
          <w:szCs w:val="24"/>
          <w:lang w:val="bg-BG" w:eastAsia="bg-BG"/>
        </w:rPr>
        <w:t>. Типични решения включват:</w:t>
      </w:r>
    </w:p>
    <w:p w14:paraId="79C21899" w14:textId="77777777" w:rsidR="00BB0841" w:rsidRPr="006F3533" w:rsidRDefault="00BB0841">
      <w:pPr>
        <w:numPr>
          <w:ilvl w:val="0"/>
          <w:numId w:val="23"/>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Фасадна топлоизолация</w:t>
      </w:r>
      <w:r w:rsidRPr="006F3533">
        <w:rPr>
          <w:rFonts w:eastAsia="Times New Roman" w:cs="Times New Roman"/>
          <w:szCs w:val="24"/>
          <w:lang w:val="bg-BG" w:eastAsia="bg-BG"/>
        </w:rPr>
        <w:t xml:space="preserve"> (при топлоизолации с коефициент на топлопроводност λ ≤ 0,035 W/</w:t>
      </w:r>
      <w:proofErr w:type="spellStart"/>
      <w:r w:rsidRPr="006F3533">
        <w:rPr>
          <w:rFonts w:eastAsia="Times New Roman" w:cs="Times New Roman"/>
          <w:szCs w:val="24"/>
          <w:lang w:val="bg-BG" w:eastAsia="bg-BG"/>
        </w:rPr>
        <w:t>mK</w:t>
      </w:r>
      <w:proofErr w:type="spellEnd"/>
      <w:r w:rsidRPr="006F3533">
        <w:rPr>
          <w:rFonts w:eastAsia="Times New Roman" w:cs="Times New Roman"/>
          <w:szCs w:val="24"/>
          <w:lang w:val="bg-BG" w:eastAsia="bg-BG"/>
        </w:rPr>
        <w:t xml:space="preserve">, дебелина ≥ 10 cm), </w:t>
      </w:r>
      <w:r w:rsidRPr="006F3533">
        <w:rPr>
          <w:rFonts w:eastAsia="Times New Roman" w:cs="Times New Roman"/>
          <w:b/>
          <w:bCs/>
          <w:szCs w:val="24"/>
          <w:lang w:val="bg-BG" w:eastAsia="bg-BG"/>
        </w:rPr>
        <w:t>топлоизолиран покрив и сутерен</w:t>
      </w:r>
      <w:r w:rsidRPr="006F3533">
        <w:rPr>
          <w:rFonts w:eastAsia="Times New Roman" w:cs="Times New Roman"/>
          <w:szCs w:val="24"/>
          <w:lang w:val="bg-BG" w:eastAsia="bg-BG"/>
        </w:rPr>
        <w:t xml:space="preserve">, дограма с </w:t>
      </w:r>
      <w:proofErr w:type="spellStart"/>
      <w:r w:rsidRPr="006F3533">
        <w:rPr>
          <w:rFonts w:eastAsia="Times New Roman" w:cs="Times New Roman"/>
          <w:szCs w:val="24"/>
          <w:lang w:val="bg-BG" w:eastAsia="bg-BG"/>
        </w:rPr>
        <w:t>Uw</w:t>
      </w:r>
      <w:proofErr w:type="spellEnd"/>
      <w:r w:rsidRPr="006F3533">
        <w:rPr>
          <w:rFonts w:eastAsia="Times New Roman" w:cs="Times New Roman"/>
          <w:szCs w:val="24"/>
          <w:lang w:val="bg-BG" w:eastAsia="bg-BG"/>
        </w:rPr>
        <w:t xml:space="preserve"> ≤ 1,3 W/m²K;</w:t>
      </w:r>
    </w:p>
    <w:p w14:paraId="26369680" w14:textId="77777777" w:rsidR="00BB0841" w:rsidRPr="006F3533" w:rsidRDefault="00BB0841">
      <w:pPr>
        <w:numPr>
          <w:ilvl w:val="0"/>
          <w:numId w:val="23"/>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Инсталационни мерки:</w:t>
      </w:r>
      <w:r w:rsidRPr="006F3533">
        <w:rPr>
          <w:rFonts w:eastAsia="Times New Roman" w:cs="Times New Roman"/>
          <w:szCs w:val="24"/>
          <w:lang w:val="bg-BG" w:eastAsia="bg-BG"/>
        </w:rPr>
        <w:t xml:space="preserve"> хидравлично балансиране, монтаж на терморегулатори, топлоизолация на тръбни </w:t>
      </w:r>
      <w:proofErr w:type="spellStart"/>
      <w:r w:rsidRPr="006F3533">
        <w:rPr>
          <w:rFonts w:eastAsia="Times New Roman" w:cs="Times New Roman"/>
          <w:szCs w:val="24"/>
          <w:lang w:val="bg-BG" w:eastAsia="bg-BG"/>
        </w:rPr>
        <w:t>разводки</w:t>
      </w:r>
      <w:proofErr w:type="spellEnd"/>
      <w:r w:rsidRPr="006F3533">
        <w:rPr>
          <w:rFonts w:eastAsia="Times New Roman" w:cs="Times New Roman"/>
          <w:szCs w:val="24"/>
          <w:lang w:val="bg-BG" w:eastAsia="bg-BG"/>
        </w:rPr>
        <w:t xml:space="preserve"> от отоплителна инсталация в неотопляеми помещения, нови абонатни станции с автоматично регулиране;</w:t>
      </w:r>
    </w:p>
    <w:p w14:paraId="17387C27" w14:textId="77777777" w:rsidR="00BB0841" w:rsidRPr="006F3533" w:rsidRDefault="00BB0841">
      <w:pPr>
        <w:numPr>
          <w:ilvl w:val="0"/>
          <w:numId w:val="23"/>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ВЕИ:</w:t>
      </w:r>
      <w:r w:rsidRPr="006F3533">
        <w:rPr>
          <w:rFonts w:eastAsia="Times New Roman" w:cs="Times New Roman"/>
          <w:szCs w:val="24"/>
          <w:lang w:val="bg-BG" w:eastAsia="bg-BG"/>
        </w:rPr>
        <w:t xml:space="preserve"> </w:t>
      </w:r>
      <w:r w:rsidRPr="006F3533">
        <w:rPr>
          <w:rFonts w:eastAsia="Times New Roman" w:cs="Times New Roman"/>
          <w:b/>
          <w:bCs/>
          <w:szCs w:val="24"/>
          <w:lang w:val="bg-BG" w:eastAsia="bg-BG"/>
        </w:rPr>
        <w:t>общи PV системи</w:t>
      </w:r>
      <w:r w:rsidRPr="006F3533">
        <w:rPr>
          <w:rFonts w:eastAsia="Times New Roman" w:cs="Times New Roman"/>
          <w:szCs w:val="24"/>
          <w:lang w:val="bg-BG" w:eastAsia="bg-BG"/>
        </w:rPr>
        <w:t xml:space="preserve">, или </w:t>
      </w:r>
      <w:r w:rsidRPr="006F3533">
        <w:rPr>
          <w:rFonts w:eastAsia="Times New Roman" w:cs="Times New Roman"/>
          <w:b/>
          <w:bCs/>
          <w:szCs w:val="24"/>
          <w:lang w:val="bg-BG" w:eastAsia="bg-BG"/>
        </w:rPr>
        <w:t>соларно ГВС</w:t>
      </w:r>
      <w:r w:rsidRPr="006F3533">
        <w:rPr>
          <w:rFonts w:eastAsia="Times New Roman" w:cs="Times New Roman"/>
          <w:szCs w:val="24"/>
          <w:lang w:val="bg-BG" w:eastAsia="bg-BG"/>
        </w:rPr>
        <w:t xml:space="preserve"> и общи отоплителни системи, където е икономически оправдано.</w:t>
      </w:r>
    </w:p>
    <w:p w14:paraId="6D289C42" w14:textId="6CFF9ADD" w:rsidR="00B572B1" w:rsidRPr="006F3533" w:rsidRDefault="00BB0841" w:rsidP="00BB0841">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Комбинацията от мерки по топлоизолация на ограждащите елементи и инсталациите, особено след включване на ВЕИ водят до постигане на класове на потребление B или по-висок.</w:t>
      </w:r>
    </w:p>
    <w:p w14:paraId="49FF84CA" w14:textId="1751317B" w:rsidR="00B572B1" w:rsidRPr="006F3533" w:rsidRDefault="00432A81" w:rsidP="00077D42">
      <w:pPr>
        <w:spacing w:before="100" w:beforeAutospacing="1" w:after="100" w:afterAutospacing="1" w:line="240" w:lineRule="auto"/>
        <w:jc w:val="both"/>
        <w:outlineLvl w:val="3"/>
        <w:rPr>
          <w:rFonts w:eastAsia="Times New Roman" w:cs="Times New Roman"/>
          <w:b/>
          <w:bCs/>
          <w:szCs w:val="24"/>
          <w:lang w:val="bg-BG" w:eastAsia="bg-BG"/>
        </w:rPr>
      </w:pPr>
      <w:r w:rsidRPr="006F3533">
        <w:rPr>
          <w:rFonts w:eastAsia="Times New Roman" w:cs="Times New Roman"/>
          <w:b/>
          <w:bCs/>
          <w:szCs w:val="24"/>
          <w:lang w:val="bg-BG" w:eastAsia="bg-BG"/>
        </w:rPr>
        <w:t>3. Сгради с обществено предназначение</w:t>
      </w:r>
    </w:p>
    <w:p w14:paraId="40447CC4" w14:textId="37361407" w:rsidR="00BB0841" w:rsidRPr="006F3533" w:rsidRDefault="00BB0841" w:rsidP="00BB0841">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За училища, детски градини, административни и здравни сгради задвижващите фактори за енергийно ефективно обновяване са свързани с </w:t>
      </w:r>
      <w:r w:rsidRPr="006F3533">
        <w:rPr>
          <w:rFonts w:eastAsia="Times New Roman" w:cs="Times New Roman"/>
          <w:b/>
          <w:bCs/>
          <w:szCs w:val="24"/>
          <w:lang w:val="bg-BG" w:eastAsia="bg-BG"/>
        </w:rPr>
        <w:t>основни ремонти, реконструкции или промяна на предназначението</w:t>
      </w:r>
      <w:r w:rsidRPr="006F3533">
        <w:rPr>
          <w:rFonts w:eastAsia="Times New Roman" w:cs="Times New Roman"/>
          <w:szCs w:val="24"/>
          <w:lang w:val="bg-BG" w:eastAsia="bg-BG"/>
        </w:rPr>
        <w:t>. Наредбата задължава постигане на енергийни показатели, съответстващи на клас B или по-висок, при всеки такъв проект. Икономически ефективните решения включват:</w:t>
      </w:r>
    </w:p>
    <w:p w14:paraId="1E734100" w14:textId="77777777" w:rsidR="00BB0841" w:rsidRPr="006F3533" w:rsidRDefault="00BB0841">
      <w:pPr>
        <w:numPr>
          <w:ilvl w:val="0"/>
          <w:numId w:val="24"/>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 xml:space="preserve">Комплексна топлоизолация </w:t>
      </w:r>
      <w:r w:rsidRPr="006F3533">
        <w:rPr>
          <w:rFonts w:eastAsia="Times New Roman" w:cs="Times New Roman"/>
          <w:szCs w:val="24"/>
          <w:lang w:val="bg-BG" w:eastAsia="bg-BG"/>
        </w:rPr>
        <w:t>(фасади, покриви, подове) и подмяна на прозорци,</w:t>
      </w:r>
    </w:p>
    <w:p w14:paraId="46914FA7" w14:textId="18B2DBFF" w:rsidR="00BB0841" w:rsidRPr="006F3533" w:rsidRDefault="00BB0841">
      <w:pPr>
        <w:numPr>
          <w:ilvl w:val="0"/>
          <w:numId w:val="24"/>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Мерки по осигуряване на </w:t>
      </w:r>
      <w:r w:rsidRPr="006F3533">
        <w:rPr>
          <w:rFonts w:eastAsia="Times New Roman" w:cs="Times New Roman"/>
          <w:b/>
          <w:bCs/>
          <w:szCs w:val="24"/>
          <w:lang w:val="bg-BG" w:eastAsia="bg-BG"/>
        </w:rPr>
        <w:t xml:space="preserve">сезонно засенчване </w:t>
      </w:r>
      <w:r w:rsidRPr="006F3533">
        <w:rPr>
          <w:rFonts w:eastAsia="Times New Roman" w:cs="Times New Roman"/>
          <w:szCs w:val="24"/>
          <w:lang w:val="bg-BG" w:eastAsia="bg-BG"/>
        </w:rPr>
        <w:t xml:space="preserve">и отблъскващи лъчистата енергия покривни </w:t>
      </w:r>
      <w:proofErr w:type="spellStart"/>
      <w:r w:rsidRPr="006F3533">
        <w:rPr>
          <w:rFonts w:eastAsia="Times New Roman" w:cs="Times New Roman"/>
          <w:szCs w:val="24"/>
          <w:lang w:val="bg-BG" w:eastAsia="bg-BG"/>
        </w:rPr>
        <w:t>финишни</w:t>
      </w:r>
      <w:proofErr w:type="spellEnd"/>
      <w:r w:rsidRPr="006F3533">
        <w:rPr>
          <w:rFonts w:eastAsia="Times New Roman" w:cs="Times New Roman"/>
          <w:szCs w:val="24"/>
          <w:lang w:val="bg-BG" w:eastAsia="bg-BG"/>
        </w:rPr>
        <w:t xml:space="preserve"> покрития, при сградите функциониращи през лятото,</w:t>
      </w:r>
    </w:p>
    <w:p w14:paraId="4FA98B6A" w14:textId="77777777" w:rsidR="00BB0841" w:rsidRPr="006F3533" w:rsidRDefault="00BB0841">
      <w:pPr>
        <w:numPr>
          <w:ilvl w:val="0"/>
          <w:numId w:val="24"/>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lastRenderedPageBreak/>
        <w:t>Високоефективни отоплителни и вентилационни системи</w:t>
      </w:r>
      <w:r w:rsidRPr="006F3533">
        <w:rPr>
          <w:rFonts w:eastAsia="Times New Roman" w:cs="Times New Roman"/>
          <w:szCs w:val="24"/>
          <w:lang w:val="bg-BG" w:eastAsia="bg-BG"/>
        </w:rPr>
        <w:t xml:space="preserve"> с автоматизация (BMS/SCADA),</w:t>
      </w:r>
    </w:p>
    <w:p w14:paraId="365641DE" w14:textId="77777777" w:rsidR="00BB0841" w:rsidRPr="006F3533" w:rsidRDefault="00BB0841">
      <w:pPr>
        <w:numPr>
          <w:ilvl w:val="0"/>
          <w:numId w:val="24"/>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Интелигентно осветление</w:t>
      </w:r>
      <w:r w:rsidRPr="006F3533">
        <w:rPr>
          <w:rFonts w:eastAsia="Times New Roman" w:cs="Times New Roman"/>
          <w:szCs w:val="24"/>
          <w:lang w:val="bg-BG" w:eastAsia="bg-BG"/>
        </w:rPr>
        <w:t>, контролирано по присъствие и дневна светлина,</w:t>
      </w:r>
    </w:p>
    <w:p w14:paraId="5394B759" w14:textId="77777777" w:rsidR="00BB0841" w:rsidRPr="006F3533" w:rsidRDefault="00BB0841">
      <w:pPr>
        <w:numPr>
          <w:ilvl w:val="0"/>
          <w:numId w:val="24"/>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 xml:space="preserve">PV системи </w:t>
      </w:r>
      <w:r w:rsidRPr="006F3533">
        <w:rPr>
          <w:rFonts w:eastAsia="Times New Roman" w:cs="Times New Roman"/>
          <w:szCs w:val="24"/>
          <w:lang w:val="bg-BG" w:eastAsia="bg-BG"/>
        </w:rPr>
        <w:t xml:space="preserve">за собствено потребление. </w:t>
      </w:r>
    </w:p>
    <w:p w14:paraId="4403552E" w14:textId="5130AE1F" w:rsidR="00B572B1" w:rsidRPr="006F3533" w:rsidRDefault="00BB0841" w:rsidP="00BB0841">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Комбинирането на тези мерки в рамките на задължителни инвестиционни ремонти осигурява икономии на първична енергия от 55–70% и съкращаване на експлоатационните разходи с до 40%.</w:t>
      </w:r>
    </w:p>
    <w:p w14:paraId="4EE7A82B" w14:textId="77777777" w:rsidR="00B572B1" w:rsidRPr="006F3533" w:rsidRDefault="00B572B1" w:rsidP="00077D42">
      <w:pPr>
        <w:spacing w:before="100" w:beforeAutospacing="1" w:after="100" w:afterAutospacing="1" w:line="240" w:lineRule="auto"/>
        <w:jc w:val="both"/>
        <w:outlineLvl w:val="3"/>
        <w:rPr>
          <w:rFonts w:eastAsia="Times New Roman" w:cs="Times New Roman"/>
          <w:b/>
          <w:bCs/>
          <w:szCs w:val="24"/>
          <w:lang w:val="bg-BG" w:eastAsia="bg-BG"/>
        </w:rPr>
      </w:pPr>
      <w:r w:rsidRPr="006F3533">
        <w:rPr>
          <w:rFonts w:eastAsia="Times New Roman" w:cs="Times New Roman"/>
          <w:b/>
          <w:bCs/>
          <w:szCs w:val="24"/>
          <w:lang w:val="bg-BG" w:eastAsia="bg-BG"/>
        </w:rPr>
        <w:t>Частни нежилищни сгради</w:t>
      </w:r>
    </w:p>
    <w:p w14:paraId="3A33CCEA" w14:textId="4BC04FF2" w:rsidR="00BB0841" w:rsidRPr="006F3533" w:rsidRDefault="00BB0841" w:rsidP="00BB0841">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Най-често при търговските и офисните сгради обновяването е обвързано с други събития или </w:t>
      </w:r>
      <w:r w:rsidR="00432A81" w:rsidRPr="006F3533">
        <w:rPr>
          <w:rFonts w:eastAsia="Times New Roman" w:cs="Times New Roman"/>
          <w:szCs w:val="24"/>
          <w:lang w:val="bg-BG" w:eastAsia="bg-BG"/>
        </w:rPr>
        <w:t>з</w:t>
      </w:r>
      <w:r w:rsidRPr="006F3533">
        <w:rPr>
          <w:rFonts w:eastAsia="Times New Roman" w:cs="Times New Roman"/>
          <w:szCs w:val="24"/>
          <w:lang w:val="bg-BG" w:eastAsia="bg-BG"/>
        </w:rPr>
        <w:t xml:space="preserve">адвижващи фактори, като </w:t>
      </w:r>
      <w:r w:rsidRPr="006F3533">
        <w:rPr>
          <w:rFonts w:eastAsia="Times New Roman" w:cs="Times New Roman"/>
          <w:b/>
          <w:bCs/>
          <w:szCs w:val="24"/>
          <w:lang w:val="bg-BG" w:eastAsia="bg-BG"/>
        </w:rPr>
        <w:t xml:space="preserve">капитални ремонти, </w:t>
      </w:r>
      <w:proofErr w:type="spellStart"/>
      <w:r w:rsidRPr="006F3533">
        <w:rPr>
          <w:rFonts w:eastAsia="Times New Roman" w:cs="Times New Roman"/>
          <w:b/>
          <w:bCs/>
          <w:szCs w:val="24"/>
          <w:lang w:val="bg-BG" w:eastAsia="bg-BG"/>
        </w:rPr>
        <w:t>реконфигурации</w:t>
      </w:r>
      <w:proofErr w:type="spellEnd"/>
      <w:r w:rsidRPr="006F3533">
        <w:rPr>
          <w:rFonts w:eastAsia="Times New Roman" w:cs="Times New Roman"/>
          <w:b/>
          <w:bCs/>
          <w:szCs w:val="24"/>
          <w:lang w:val="bg-BG" w:eastAsia="bg-BG"/>
        </w:rPr>
        <w:t xml:space="preserve"> на помещения, смяна на предназначение или собственост</w:t>
      </w:r>
      <w:r w:rsidRPr="006F3533">
        <w:rPr>
          <w:rFonts w:eastAsia="Times New Roman" w:cs="Times New Roman"/>
          <w:szCs w:val="24"/>
          <w:lang w:val="bg-BG" w:eastAsia="bg-BG"/>
        </w:rPr>
        <w:t>. Разходно-ефективните мерки включват:</w:t>
      </w:r>
    </w:p>
    <w:p w14:paraId="7048F9A8" w14:textId="77777777" w:rsidR="00BB0841" w:rsidRPr="006F3533" w:rsidRDefault="00BB0841">
      <w:pPr>
        <w:numPr>
          <w:ilvl w:val="0"/>
          <w:numId w:val="2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Подмяна на остъклявания и фасадни системи</w:t>
      </w:r>
      <w:r w:rsidRPr="006F3533">
        <w:rPr>
          <w:rFonts w:eastAsia="Times New Roman" w:cs="Times New Roman"/>
          <w:szCs w:val="24"/>
          <w:lang w:val="bg-BG" w:eastAsia="bg-BG"/>
        </w:rPr>
        <w:t xml:space="preserve"> с високоенергийно изпълнение,</w:t>
      </w:r>
    </w:p>
    <w:p w14:paraId="1F2FF1C8" w14:textId="77777777" w:rsidR="00BB0841" w:rsidRPr="006F3533" w:rsidRDefault="00BB0841">
      <w:pPr>
        <w:numPr>
          <w:ilvl w:val="0"/>
          <w:numId w:val="2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Комплексна топлоизолация</w:t>
      </w:r>
      <w:r w:rsidRPr="006F3533">
        <w:rPr>
          <w:rFonts w:eastAsia="Times New Roman" w:cs="Times New Roman"/>
          <w:szCs w:val="24"/>
          <w:lang w:val="bg-BG" w:eastAsia="bg-BG"/>
        </w:rPr>
        <w:t xml:space="preserve">(фасади, покриви, подове). </w:t>
      </w:r>
    </w:p>
    <w:p w14:paraId="3A9E9B44" w14:textId="1AEA078A" w:rsidR="00BB0841" w:rsidRPr="006F3533" w:rsidRDefault="00BB0841">
      <w:pPr>
        <w:numPr>
          <w:ilvl w:val="0"/>
          <w:numId w:val="2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Мерки по осигуряване на </w:t>
      </w:r>
      <w:r w:rsidRPr="006F3533">
        <w:rPr>
          <w:rFonts w:eastAsia="Times New Roman" w:cs="Times New Roman"/>
          <w:b/>
          <w:bCs/>
          <w:szCs w:val="24"/>
          <w:lang w:val="bg-BG" w:eastAsia="bg-BG"/>
        </w:rPr>
        <w:t xml:space="preserve">сезонно засенчване </w:t>
      </w:r>
      <w:r w:rsidRPr="006F3533">
        <w:rPr>
          <w:rFonts w:eastAsia="Times New Roman" w:cs="Times New Roman"/>
          <w:szCs w:val="24"/>
          <w:lang w:val="bg-BG" w:eastAsia="bg-BG"/>
        </w:rPr>
        <w:t xml:space="preserve">и отблъскващи лъчистата енергия покривни </w:t>
      </w:r>
      <w:proofErr w:type="spellStart"/>
      <w:r w:rsidRPr="006F3533">
        <w:rPr>
          <w:rFonts w:eastAsia="Times New Roman" w:cs="Times New Roman"/>
          <w:szCs w:val="24"/>
          <w:lang w:val="bg-BG" w:eastAsia="bg-BG"/>
        </w:rPr>
        <w:t>финишни</w:t>
      </w:r>
      <w:proofErr w:type="spellEnd"/>
      <w:r w:rsidRPr="006F3533">
        <w:rPr>
          <w:rFonts w:eastAsia="Times New Roman" w:cs="Times New Roman"/>
          <w:szCs w:val="24"/>
          <w:lang w:val="bg-BG" w:eastAsia="bg-BG"/>
        </w:rPr>
        <w:t xml:space="preserve"> покрития, при сградите функциониращи през лятото,</w:t>
      </w:r>
    </w:p>
    <w:p w14:paraId="71B755A5" w14:textId="77777777" w:rsidR="00BB0841" w:rsidRPr="006F3533" w:rsidRDefault="00BB0841">
      <w:pPr>
        <w:numPr>
          <w:ilvl w:val="0"/>
          <w:numId w:val="2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Модернизация на ОВК и осветление</w:t>
      </w:r>
      <w:r w:rsidRPr="006F3533">
        <w:rPr>
          <w:rFonts w:eastAsia="Times New Roman" w:cs="Times New Roman"/>
          <w:szCs w:val="24"/>
          <w:lang w:val="bg-BG" w:eastAsia="bg-BG"/>
        </w:rPr>
        <w:t xml:space="preserve"> с внедряване на автоматизация и енергиен мониторинг,</w:t>
      </w:r>
    </w:p>
    <w:p w14:paraId="1B1C58A4" w14:textId="77777777" w:rsidR="00BB0841" w:rsidRPr="006F3533" w:rsidRDefault="00BB0841">
      <w:pPr>
        <w:numPr>
          <w:ilvl w:val="0"/>
          <w:numId w:val="2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Интеграция на фотоволтаични системи или термопомпи</w:t>
      </w:r>
      <w:r w:rsidRPr="006F3533">
        <w:rPr>
          <w:rFonts w:eastAsia="Times New Roman" w:cs="Times New Roman"/>
          <w:szCs w:val="24"/>
          <w:lang w:val="bg-BG" w:eastAsia="bg-BG"/>
        </w:rPr>
        <w:t xml:space="preserve"> при положителен резултат от икономическата оценка.</w:t>
      </w:r>
    </w:p>
    <w:p w14:paraId="27000B3F" w14:textId="0D8A6B80" w:rsidR="00B572B1" w:rsidRPr="006F3533" w:rsidRDefault="00BB0841" w:rsidP="00BB0841">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Прилагането на изискванията за енергийните характеристики на компонентите при такива ремонти гарантира постигане на оптимално равнище на енергийна ефективност, без да се натоварват излишно инвестиционните бюджети.</w:t>
      </w:r>
    </w:p>
    <w:p w14:paraId="47BC44EE" w14:textId="2D75F465"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196" w:name="_Toc216816089"/>
      <w:bookmarkStart w:id="197" w:name="_Toc216857809"/>
      <w:bookmarkStart w:id="198" w:name="_Toc217888824"/>
      <w:r w:rsidRPr="006F3533">
        <w:rPr>
          <w:rFonts w:eastAsia="Times New Roman" w:cs="Times New Roman"/>
          <w:b/>
          <w:bCs/>
          <w:szCs w:val="24"/>
          <w:lang w:val="bg-BG" w:eastAsia="bg-BG"/>
        </w:rPr>
        <w:t>Роля на „</w:t>
      </w:r>
      <w:r w:rsidR="00BB0841" w:rsidRPr="006F3533">
        <w:rPr>
          <w:rFonts w:eastAsia="Times New Roman" w:cs="Times New Roman"/>
          <w:b/>
          <w:bCs/>
          <w:szCs w:val="24"/>
          <w:lang w:val="bg-BG" w:eastAsia="bg-BG"/>
        </w:rPr>
        <w:t>задвижващите фактори</w:t>
      </w:r>
      <w:r w:rsidRPr="006F3533">
        <w:rPr>
          <w:rFonts w:eastAsia="Times New Roman" w:cs="Times New Roman"/>
          <w:b/>
          <w:bCs/>
          <w:szCs w:val="24"/>
          <w:lang w:val="bg-BG" w:eastAsia="bg-BG"/>
        </w:rPr>
        <w:t>“ и интеграция в политиките</w:t>
      </w:r>
      <w:bookmarkEnd w:id="196"/>
      <w:bookmarkEnd w:id="197"/>
      <w:bookmarkEnd w:id="198"/>
    </w:p>
    <w:p w14:paraId="1CAD3E86" w14:textId="107DF161" w:rsidR="00B572B1" w:rsidRPr="006F3533" w:rsidRDefault="00B572B1" w:rsidP="00077D42">
      <w:pPr>
        <w:jc w:val="both"/>
        <w:rPr>
          <w:lang w:val="bg-BG" w:eastAsia="bg-BG"/>
        </w:rPr>
      </w:pPr>
      <w:r w:rsidRPr="006F3533">
        <w:rPr>
          <w:lang w:val="bg-BG" w:eastAsia="bg-BG"/>
        </w:rPr>
        <w:t xml:space="preserve">Подходът, основан на </w:t>
      </w:r>
      <w:r w:rsidR="00BB0841" w:rsidRPr="006F3533">
        <w:rPr>
          <w:lang w:val="bg-BG" w:eastAsia="bg-BG"/>
        </w:rPr>
        <w:t>„задвижващи фактори“ (</w:t>
      </w:r>
      <w:r w:rsidRPr="006F3533">
        <w:rPr>
          <w:lang w:val="bg-BG" w:eastAsia="bg-BG"/>
        </w:rPr>
        <w:t>„</w:t>
      </w:r>
      <w:proofErr w:type="spellStart"/>
      <w:r w:rsidRPr="006F3533">
        <w:rPr>
          <w:lang w:val="bg-BG" w:eastAsia="bg-BG"/>
        </w:rPr>
        <w:t>trigger</w:t>
      </w:r>
      <w:proofErr w:type="spellEnd"/>
      <w:r w:rsidRPr="006F3533">
        <w:rPr>
          <w:lang w:val="bg-BG" w:eastAsia="bg-BG"/>
        </w:rPr>
        <w:t xml:space="preserve"> </w:t>
      </w:r>
      <w:proofErr w:type="spellStart"/>
      <w:r w:rsidRPr="006F3533">
        <w:rPr>
          <w:lang w:val="bg-BG" w:eastAsia="bg-BG"/>
        </w:rPr>
        <w:t>points</w:t>
      </w:r>
      <w:proofErr w:type="spellEnd"/>
      <w:r w:rsidRPr="006F3533">
        <w:rPr>
          <w:lang w:val="bg-BG" w:eastAsia="bg-BG"/>
        </w:rPr>
        <w:t>“</w:t>
      </w:r>
      <w:r w:rsidR="00BB0841" w:rsidRPr="006F3533">
        <w:rPr>
          <w:lang w:val="bg-BG" w:eastAsia="bg-BG"/>
        </w:rPr>
        <w:t>)</w:t>
      </w:r>
      <w:r w:rsidRPr="006F3533">
        <w:rPr>
          <w:lang w:val="bg-BG" w:eastAsia="bg-BG"/>
        </w:rPr>
        <w:t xml:space="preserve">, позволява постигането на дългосрочните цели за </w:t>
      </w:r>
      <w:proofErr w:type="spellStart"/>
      <w:r w:rsidRPr="006F3533">
        <w:rPr>
          <w:lang w:val="bg-BG" w:eastAsia="bg-BG"/>
        </w:rPr>
        <w:t>декарбонизация</w:t>
      </w:r>
      <w:proofErr w:type="spellEnd"/>
      <w:r w:rsidRPr="006F3533">
        <w:rPr>
          <w:lang w:val="bg-BG" w:eastAsia="bg-BG"/>
        </w:rPr>
        <w:t xml:space="preserve"> при </w:t>
      </w:r>
      <w:r w:rsidRPr="006F3533">
        <w:rPr>
          <w:b/>
          <w:bCs/>
          <w:lang w:val="bg-BG" w:eastAsia="bg-BG"/>
        </w:rPr>
        <w:t>минимален общ разход за собствениците и обществото</w:t>
      </w:r>
      <w:r w:rsidRPr="006F3533">
        <w:rPr>
          <w:lang w:val="bg-BG" w:eastAsia="bg-BG"/>
        </w:rPr>
        <w:t>.</w:t>
      </w:r>
      <w:r w:rsidR="00BB0841" w:rsidRPr="006F3533">
        <w:rPr>
          <w:lang w:val="bg-BG" w:eastAsia="bg-BG"/>
        </w:rPr>
        <w:t xml:space="preserve"> </w:t>
      </w:r>
      <w:r w:rsidRPr="006F3533">
        <w:rPr>
          <w:lang w:val="bg-BG" w:eastAsia="bg-BG"/>
        </w:rPr>
        <w:t xml:space="preserve">В българския контекст тези точки съвпадат с етапи на </w:t>
      </w:r>
      <w:r w:rsidRPr="006F3533">
        <w:rPr>
          <w:b/>
          <w:bCs/>
          <w:lang w:val="bg-BG" w:eastAsia="bg-BG"/>
        </w:rPr>
        <w:t>естествено обновяване на строителните елементи</w:t>
      </w:r>
      <w:r w:rsidRPr="006F3533">
        <w:rPr>
          <w:lang w:val="bg-BG" w:eastAsia="bg-BG"/>
        </w:rPr>
        <w:t xml:space="preserve">, смяна на предназначение или собственост, подмяна на енергийни системи, както и с възможността за </w:t>
      </w:r>
      <w:r w:rsidRPr="006F3533">
        <w:rPr>
          <w:b/>
          <w:bCs/>
          <w:lang w:val="bg-BG" w:eastAsia="bg-BG"/>
        </w:rPr>
        <w:t>участие в публични програми и финансови инструменти</w:t>
      </w:r>
      <w:r w:rsidRPr="006F3533">
        <w:rPr>
          <w:lang w:val="bg-BG" w:eastAsia="bg-BG"/>
        </w:rPr>
        <w:t xml:space="preserve">. В тази връзка, методиката насърчава собствениците и проектантите да </w:t>
      </w:r>
      <w:r w:rsidRPr="006F3533">
        <w:rPr>
          <w:b/>
          <w:bCs/>
          <w:lang w:val="bg-BG" w:eastAsia="bg-BG"/>
        </w:rPr>
        <w:t>комбинират енергийното обновяване с други необходими ремонти</w:t>
      </w:r>
      <w:r w:rsidRPr="006F3533">
        <w:rPr>
          <w:lang w:val="bg-BG" w:eastAsia="bg-BG"/>
        </w:rPr>
        <w:t>. Така разходите за скеле, логистика и проектиране се споделят, което прави обновяването икономически изгодно. Тази логика се прилага както за пълно обновяване, така и при частични намеси – например подмяна на покривна хидроизолация, фасадно саниране или смяна на отоплителен генератор.</w:t>
      </w:r>
      <w:r w:rsidR="00BB0841" w:rsidRPr="006F3533">
        <w:rPr>
          <w:lang w:val="bg-BG" w:eastAsia="bg-BG"/>
        </w:rPr>
        <w:t xml:space="preserve"> </w:t>
      </w:r>
      <w:r w:rsidRPr="006F3533">
        <w:rPr>
          <w:lang w:val="bg-BG" w:eastAsia="bg-BG"/>
        </w:rPr>
        <w:t xml:space="preserve">По този начин се избягват пропуснатите възможности за подобрение, без да се създава допълнителна финансова тежест за собствениците. Така изграденият модел осигурява </w:t>
      </w:r>
      <w:proofErr w:type="spellStart"/>
      <w:r w:rsidRPr="006F3533">
        <w:rPr>
          <w:lang w:val="bg-BG" w:eastAsia="bg-BG"/>
        </w:rPr>
        <w:t>консистентност</w:t>
      </w:r>
      <w:proofErr w:type="spellEnd"/>
      <w:r w:rsidRPr="006F3533">
        <w:rPr>
          <w:lang w:val="bg-BG" w:eastAsia="bg-BG"/>
        </w:rPr>
        <w:t xml:space="preserve"> с принципа за „разходно-оптимално обновяване“, заложен в европейското законодателство, и създава основата за </w:t>
      </w:r>
      <w:r w:rsidRPr="006F3533">
        <w:rPr>
          <w:b/>
          <w:bCs/>
          <w:lang w:val="bg-BG" w:eastAsia="bg-BG"/>
        </w:rPr>
        <w:t>устойчив темп на реновация</w:t>
      </w:r>
      <w:r w:rsidRPr="006F3533">
        <w:rPr>
          <w:lang w:val="bg-BG" w:eastAsia="bg-BG"/>
        </w:rPr>
        <w:t xml:space="preserve"> – базиран на </w:t>
      </w:r>
      <w:r w:rsidRPr="006F3533">
        <w:rPr>
          <w:lang w:val="bg-BG" w:eastAsia="bg-BG"/>
        </w:rPr>
        <w:lastRenderedPageBreak/>
        <w:t xml:space="preserve">икономическа целесъобразност, техническа </w:t>
      </w:r>
      <w:r w:rsidR="00BB0841" w:rsidRPr="006F3533">
        <w:rPr>
          <w:lang w:val="bg-BG" w:eastAsia="bg-BG"/>
        </w:rPr>
        <w:t>изпълнимост</w:t>
      </w:r>
      <w:r w:rsidRPr="006F3533">
        <w:rPr>
          <w:lang w:val="bg-BG" w:eastAsia="bg-BG"/>
        </w:rPr>
        <w:t xml:space="preserve"> и дългосрочна обществена полза.</w:t>
      </w:r>
    </w:p>
    <w:p w14:paraId="3D4448E9" w14:textId="77777777"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199" w:name="_Toc216816090"/>
      <w:bookmarkStart w:id="200" w:name="_Toc216857810"/>
      <w:bookmarkStart w:id="201" w:name="_Toc217888825"/>
      <w:r w:rsidRPr="006F3533">
        <w:rPr>
          <w:rFonts w:eastAsia="Times New Roman" w:cs="Times New Roman"/>
          <w:b/>
          <w:bCs/>
          <w:szCs w:val="24"/>
          <w:lang w:val="bg-BG" w:eastAsia="bg-BG"/>
        </w:rPr>
        <w:t>Практическо прилагане и препоръчани мерки за подобряване на ефективността</w:t>
      </w:r>
      <w:bookmarkEnd w:id="199"/>
      <w:bookmarkEnd w:id="200"/>
      <w:bookmarkEnd w:id="201"/>
    </w:p>
    <w:p w14:paraId="2E7B512F" w14:textId="77777777" w:rsidR="00494258" w:rsidRPr="006F3533" w:rsidRDefault="00494258" w:rsidP="00494258">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Въпреки наличието на утвърдена нормативна и методологична рамка, практическото прилагане на принципа за разходно-оптимално обновяване в България все още е </w:t>
      </w:r>
      <w:r w:rsidRPr="006F3533">
        <w:rPr>
          <w:rFonts w:eastAsia="Times New Roman" w:cs="Times New Roman"/>
          <w:b/>
          <w:bCs/>
          <w:szCs w:val="24"/>
          <w:lang w:val="bg-BG" w:eastAsia="bg-BG"/>
        </w:rPr>
        <w:t>ограничено и непоследователно</w:t>
      </w:r>
      <w:r w:rsidRPr="006F3533">
        <w:rPr>
          <w:rFonts w:eastAsia="Times New Roman" w:cs="Times New Roman"/>
          <w:szCs w:val="24"/>
          <w:lang w:val="bg-BG" w:eastAsia="bg-BG"/>
        </w:rPr>
        <w:t xml:space="preserve">. Обновяването на сградите често се осъществява </w:t>
      </w:r>
      <w:r w:rsidRPr="006F3533">
        <w:rPr>
          <w:rFonts w:eastAsia="Times New Roman" w:cs="Times New Roman"/>
          <w:b/>
          <w:bCs/>
          <w:szCs w:val="24"/>
          <w:lang w:val="bg-BG" w:eastAsia="bg-BG"/>
        </w:rPr>
        <w:t>частично и несъгласувано</w:t>
      </w:r>
      <w:r w:rsidRPr="006F3533">
        <w:rPr>
          <w:rFonts w:eastAsia="Times New Roman" w:cs="Times New Roman"/>
          <w:szCs w:val="24"/>
          <w:lang w:val="bg-BG" w:eastAsia="bg-BG"/>
        </w:rPr>
        <w:t>, без цялостна техническа концепция или координация между отделните мерки и участници в процеса.</w:t>
      </w:r>
    </w:p>
    <w:p w14:paraId="4BE65296" w14:textId="77777777" w:rsidR="00494258" w:rsidRPr="006F3533" w:rsidRDefault="00494258" w:rsidP="00494258">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 многофамилните жилищни сгради това води до </w:t>
      </w:r>
      <w:r w:rsidRPr="006F3533">
        <w:rPr>
          <w:rFonts w:eastAsia="Times New Roman" w:cs="Times New Roman"/>
          <w:b/>
          <w:bCs/>
          <w:szCs w:val="24"/>
          <w:lang w:val="bg-BG" w:eastAsia="bg-BG"/>
        </w:rPr>
        <w:t>фрагментирани интервенции</w:t>
      </w:r>
      <w:r w:rsidRPr="006F3533">
        <w:rPr>
          <w:rFonts w:eastAsia="Times New Roman" w:cs="Times New Roman"/>
          <w:szCs w:val="24"/>
          <w:lang w:val="bg-BG" w:eastAsia="bg-BG"/>
        </w:rPr>
        <w:t xml:space="preserve">, при които различни собственици предприемат подобрения с различни материали и технологии, без общ енергиен проект и без съгласуване с конструктивните и инсталационните особености на сградата. В резултат се наблюдава </w:t>
      </w:r>
      <w:r w:rsidRPr="006F3533">
        <w:rPr>
          <w:rFonts w:eastAsia="Times New Roman" w:cs="Times New Roman"/>
          <w:b/>
          <w:bCs/>
          <w:szCs w:val="24"/>
          <w:lang w:val="bg-BG" w:eastAsia="bg-BG"/>
        </w:rPr>
        <w:t>нееднородност на изпълнението</w:t>
      </w:r>
      <w:r w:rsidRPr="006F3533">
        <w:rPr>
          <w:rFonts w:eastAsia="Times New Roman" w:cs="Times New Roman"/>
          <w:szCs w:val="24"/>
          <w:lang w:val="bg-BG" w:eastAsia="bg-BG"/>
        </w:rPr>
        <w:t>, понижаване на реалния енергиен ефект и увеличаване на бъдещите разходи при последващо цялостно обновяване.</w:t>
      </w:r>
    </w:p>
    <w:p w14:paraId="5DFB2E84" w14:textId="77777777" w:rsidR="00494258" w:rsidRPr="006F3533" w:rsidRDefault="00494258" w:rsidP="00494258">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 xml:space="preserve">Съществен допълнителен проблем е натрупаната необходимост от скъпоструващи ремонтни дейности по общите части на многофамилните сгради, които сами по себе си нямат пряк енергоспестяващ ефект, но са ключови за нормалната експлоатация и последващо енергийно обновяване. Такива са например основните ремонти на дървени </w:t>
      </w:r>
      <w:proofErr w:type="spellStart"/>
      <w:r w:rsidRPr="006F3533">
        <w:rPr>
          <w:rFonts w:eastAsia="Times New Roman" w:cs="Times New Roman"/>
          <w:szCs w:val="24"/>
          <w:lang w:val="bg-BG" w:eastAsia="en-GB"/>
        </w:rPr>
        <w:t>скатни</w:t>
      </w:r>
      <w:proofErr w:type="spellEnd"/>
      <w:r w:rsidRPr="006F3533">
        <w:rPr>
          <w:rFonts w:eastAsia="Times New Roman" w:cs="Times New Roman"/>
          <w:szCs w:val="24"/>
          <w:lang w:val="bg-BG" w:eastAsia="en-GB"/>
        </w:rPr>
        <w:t xml:space="preserve"> покриви, възстановяването на амортизирани балкони, подмяната на остарели инсталации или асансьори и други.</w:t>
      </w:r>
    </w:p>
    <w:p w14:paraId="0834589F" w14:textId="77777777" w:rsidR="00494258" w:rsidRPr="006F3533" w:rsidRDefault="00494258" w:rsidP="00494258">
      <w:pPr>
        <w:spacing w:before="100" w:beforeAutospacing="1" w:after="100" w:afterAutospacing="1" w:line="240" w:lineRule="auto"/>
        <w:jc w:val="both"/>
        <w:rPr>
          <w:rFonts w:eastAsia="Times New Roman" w:cs="Times New Roman"/>
          <w:szCs w:val="24"/>
          <w:lang w:val="bg-BG" w:eastAsia="en-GB"/>
        </w:rPr>
      </w:pPr>
      <w:r w:rsidRPr="006F3533">
        <w:rPr>
          <w:rFonts w:eastAsia="Times New Roman" w:cs="Times New Roman"/>
          <w:szCs w:val="24"/>
          <w:lang w:val="bg-BG" w:eastAsia="en-GB"/>
        </w:rPr>
        <w:t>Досегашната практика на програми с фокус върху 100% безвъзмездно финансиране на енергоспестяващи мерки не създава условия тези необходими, но неенергийни ремонти да бъдат адресирани адекватно. Това често води до компромисни решения, при които съпътстващи ремонтни дейности се изпълняват ограничено, за да отговарят на изискванията на конкретна програма, вместо да се планират целенасочено според реалните нужди на сградата.</w:t>
      </w:r>
    </w:p>
    <w:p w14:paraId="5B3876FE" w14:textId="77777777" w:rsidR="00494258" w:rsidRPr="006F3533" w:rsidRDefault="00494258" w:rsidP="00494258">
      <w:pPr>
        <w:pStyle w:val="NormalWeb"/>
        <w:jc w:val="both"/>
        <w:rPr>
          <w:rFonts w:ascii="Aptos" w:hAnsi="Aptos"/>
          <w:noProof/>
          <w:lang w:val="bg-BG"/>
        </w:rPr>
      </w:pPr>
      <w:r w:rsidRPr="006F3533">
        <w:rPr>
          <w:rFonts w:ascii="Aptos" w:hAnsi="Aptos"/>
          <w:noProof/>
          <w:lang w:val="bg-BG"/>
        </w:rPr>
        <w:t xml:space="preserve">В този контекст бъдещите публични интервенции следва да се основават на по-гъвкав и интегриран подход, който допуска отделно планиране и финансиране на неенергийни, но необходими ремонтни дейности, паралелно или последователно с мерките за енергийна ефективност, в рамките на </w:t>
      </w:r>
      <w:r w:rsidRPr="006F3533">
        <w:rPr>
          <w:rFonts w:ascii="Aptos" w:hAnsi="Aptos"/>
          <w:b/>
          <w:bCs/>
          <w:noProof/>
          <w:lang w:val="bg-BG"/>
        </w:rPr>
        <w:t>самостоятелни, паралелно действащи програми</w:t>
      </w:r>
      <w:r w:rsidRPr="006F3533">
        <w:rPr>
          <w:rFonts w:ascii="Aptos" w:hAnsi="Aptos"/>
          <w:noProof/>
          <w:lang w:val="bg-BG"/>
        </w:rPr>
        <w:t>. Това е особено важно и в контекста на внедряването на възобновяеми енергийни източници, тъй като покривите на многофамилните сгради имат значителен потенциал за ВЕИ, а реализацията на такива мерки изисква добро техническо състояние на конструкцията, включително надеждни и ремонтирани покриви.</w:t>
      </w:r>
    </w:p>
    <w:p w14:paraId="2039E70F" w14:textId="77777777" w:rsidR="00494258" w:rsidRPr="006F3533" w:rsidRDefault="00494258" w:rsidP="00494258">
      <w:pPr>
        <w:pStyle w:val="NormalWeb"/>
        <w:jc w:val="both"/>
        <w:rPr>
          <w:rFonts w:ascii="Aptos" w:hAnsi="Aptos"/>
          <w:noProof/>
          <w:lang w:val="bg-BG"/>
        </w:rPr>
      </w:pPr>
      <w:r w:rsidRPr="006F3533">
        <w:rPr>
          <w:rFonts w:ascii="Aptos" w:hAnsi="Aptos"/>
          <w:noProof/>
          <w:lang w:val="bg-BG"/>
        </w:rPr>
        <w:t xml:space="preserve">В този смисъл са необходими целенасочени програми, които чрез </w:t>
      </w:r>
      <w:r w:rsidRPr="006F3533">
        <w:rPr>
          <w:rFonts w:ascii="Aptos" w:hAnsi="Aptos"/>
          <w:b/>
          <w:bCs/>
          <w:noProof/>
          <w:lang w:val="bg-BG"/>
        </w:rPr>
        <w:t>подходящи финансови механизми и улеснен достъп до кредитиране да подпомагат изпълнението на ремонти, свързани с енергийната трансформация на сградите,</w:t>
      </w:r>
      <w:r w:rsidRPr="006F3533">
        <w:rPr>
          <w:rFonts w:ascii="Aptos" w:hAnsi="Aptos"/>
          <w:noProof/>
          <w:lang w:val="bg-BG"/>
        </w:rPr>
        <w:t xml:space="preserve"> но без съществен пряк енергоспестяващ ефект – като основни ремонти на покриви, подмяна на асансьори и други общи части. Това би позволило по-цялостно и технологично последователно обновяване, вместо прилагането на универсален модел тип „one program fits all“.</w:t>
      </w:r>
    </w:p>
    <w:p w14:paraId="6861FCCB" w14:textId="77777777" w:rsidR="00494258" w:rsidRPr="006F3533" w:rsidRDefault="00494258" w:rsidP="00494258">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 xml:space="preserve">При еднофамилните жилища обновяването обикновено се свежда до </w:t>
      </w:r>
      <w:r w:rsidRPr="006F3533">
        <w:rPr>
          <w:rFonts w:eastAsia="Times New Roman" w:cs="Times New Roman"/>
          <w:b/>
          <w:bCs/>
          <w:szCs w:val="24"/>
          <w:lang w:val="bg-BG" w:eastAsia="bg-BG"/>
        </w:rPr>
        <w:t>изолирани ремонти</w:t>
      </w:r>
      <w:r w:rsidRPr="006F3533">
        <w:rPr>
          <w:rFonts w:eastAsia="Times New Roman" w:cs="Times New Roman"/>
          <w:szCs w:val="24"/>
          <w:lang w:val="bg-BG" w:eastAsia="bg-BG"/>
        </w:rPr>
        <w:t xml:space="preserve"> – например подмяна на дограма, фасадно саниране или реконструкция на покрив – без изготвяне на енергиен проект и без оценка на общия ефект върху енергийните характеристики. Подобни дейности се изпълняват без задължителна техническа документация и без интегрирано планиране, което ограничава възможността за постигане на дългосрочна енергийна ефективност.</w:t>
      </w:r>
    </w:p>
    <w:p w14:paraId="122BE97E" w14:textId="57894614" w:rsidR="00494258" w:rsidRPr="006F3533" w:rsidRDefault="00494258" w:rsidP="00494258">
      <w:pPr>
        <w:spacing w:before="100" w:beforeAutospacing="1" w:after="100" w:afterAutospacing="1" w:line="240" w:lineRule="auto"/>
        <w:jc w:val="both"/>
        <w:rPr>
          <w:rFonts w:eastAsia="Times New Roman" w:cs="Times New Roman"/>
          <w:noProof/>
          <w:szCs w:val="24"/>
          <w:lang w:val="bg-BG" w:eastAsia="bg-BG"/>
        </w:rPr>
      </w:pPr>
      <w:r w:rsidRPr="006F3533">
        <w:rPr>
          <w:rFonts w:eastAsia="Times New Roman" w:cs="Times New Roman"/>
          <w:noProof/>
          <w:szCs w:val="24"/>
          <w:lang w:val="bg-BG" w:eastAsia="bg-BG"/>
        </w:rPr>
        <w:t>Разходно-ефективният подход при обновяването на еднофамилните сгради следва да отчита и специфичния социално-демографски контекст в страната – застаряващо население с ограничена финансова способност, преобладаващо едночленни и двучленни домакинства и ниска степен на обитаемост на сградите като цяло. В много случаи се използва само част от разгънатата застроена площ, при относително висока цена на обновяване на квадратен метър, което поставя под въпрос икономическата целесъобразност на дълбокото енергийно обновяване в неговия класически вид.</w:t>
      </w:r>
    </w:p>
    <w:p w14:paraId="39A92FE9" w14:textId="77777777" w:rsidR="00494258" w:rsidRPr="006F3533" w:rsidRDefault="00494258" w:rsidP="00494258">
      <w:pPr>
        <w:spacing w:before="100" w:beforeAutospacing="1" w:after="100" w:afterAutospacing="1" w:line="240" w:lineRule="auto"/>
        <w:jc w:val="both"/>
        <w:rPr>
          <w:rFonts w:eastAsia="Times New Roman" w:cs="Times New Roman"/>
          <w:noProof/>
          <w:szCs w:val="24"/>
          <w:lang w:val="bg-BG" w:eastAsia="bg-BG"/>
        </w:rPr>
      </w:pPr>
      <w:r w:rsidRPr="006F3533">
        <w:rPr>
          <w:rFonts w:eastAsia="Times New Roman" w:cs="Times New Roman"/>
          <w:noProof/>
          <w:szCs w:val="24"/>
          <w:lang w:val="bg-BG" w:eastAsia="bg-BG"/>
        </w:rPr>
        <w:t>Всички тези фактори налагат внимателна предварителна оценка на разходната ефективност и очакваните ползи от предлаганите мерки, преди предприемането на цялостно обновяване. В този контекст за еднофамилните сгради е особено подходящ подходът на поетапно, технологично последователно обновяване, базирано на дългосрочен план, отразен в  паспорт за сградно обновяване.</w:t>
      </w:r>
    </w:p>
    <w:p w14:paraId="2A9FCCC5" w14:textId="77777777" w:rsidR="00494258" w:rsidRPr="006F3533" w:rsidRDefault="00494258" w:rsidP="00494258">
      <w:pPr>
        <w:spacing w:before="100" w:beforeAutospacing="1" w:after="100" w:afterAutospacing="1" w:line="240" w:lineRule="auto"/>
        <w:jc w:val="both"/>
        <w:rPr>
          <w:rFonts w:eastAsia="Times New Roman" w:cs="Times New Roman"/>
          <w:noProof/>
          <w:szCs w:val="24"/>
          <w:lang w:val="bg-BG" w:eastAsia="bg-BG"/>
        </w:rPr>
      </w:pPr>
      <w:r w:rsidRPr="006F3533">
        <w:rPr>
          <w:rFonts w:eastAsia="Times New Roman" w:cs="Times New Roman"/>
          <w:noProof/>
          <w:szCs w:val="24"/>
          <w:lang w:val="bg-BG" w:eastAsia="bg-BG"/>
        </w:rPr>
        <w:t>Публичните програми следва да предвиждат финансова подкрепа за единични мерки, които могат да се реализират самостоятелно във времето, съобразно финансовите възможности на домакинствата, като същевременно са част от предварително планирана последователност. Това би позволило постигане на по-добра разходна ефективност и по-реалистично адаптиране на обновяването към реалните нужди и капацитет на собствениците на еднофамилни жилища.</w:t>
      </w:r>
    </w:p>
    <w:p w14:paraId="69923165" w14:textId="4F7F7436" w:rsidR="00B572B1" w:rsidRPr="006F3533" w:rsidRDefault="00494258" w:rsidP="00494258">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Към момента </w:t>
      </w:r>
      <w:r w:rsidRPr="006F3533">
        <w:rPr>
          <w:rFonts w:eastAsia="Times New Roman" w:cs="Times New Roman"/>
          <w:b/>
          <w:bCs/>
          <w:szCs w:val="24"/>
          <w:lang w:val="bg-BG" w:eastAsia="bg-BG"/>
        </w:rPr>
        <w:t>енергийни обследвания и технически паспорти</w:t>
      </w:r>
      <w:r w:rsidRPr="006F3533">
        <w:rPr>
          <w:rFonts w:eastAsia="Times New Roman" w:cs="Times New Roman"/>
          <w:szCs w:val="24"/>
          <w:lang w:val="bg-BG" w:eastAsia="bg-BG"/>
        </w:rPr>
        <w:t xml:space="preserve"> притежават само сградите, финансирани по национални или европейски програми, които представляват </w:t>
      </w:r>
      <w:r w:rsidRPr="006F3533">
        <w:rPr>
          <w:rFonts w:eastAsia="Times New Roman" w:cs="Times New Roman"/>
          <w:b/>
          <w:bCs/>
          <w:szCs w:val="24"/>
          <w:lang w:val="bg-BG" w:eastAsia="bg-BG"/>
        </w:rPr>
        <w:t>минимален дял от общия сграден фонд</w:t>
      </w:r>
      <w:r w:rsidRPr="006F3533">
        <w:rPr>
          <w:rFonts w:eastAsia="Times New Roman" w:cs="Times New Roman"/>
          <w:szCs w:val="24"/>
          <w:lang w:val="bg-BG" w:eastAsia="bg-BG"/>
        </w:rPr>
        <w:t>. За останалата част от сградния сектор липсва системна информация за конструктивното състояние, енергийните параметри и извършените ремонти, което възпрепятства планирането и прилагането на стандартизирани мерки за обновяване.</w:t>
      </w:r>
    </w:p>
    <w:p w14:paraId="287DCE7A" w14:textId="77777777" w:rsidR="00B572B1" w:rsidRPr="006F3533" w:rsidRDefault="00B572B1" w:rsidP="00077D42">
      <w:pPr>
        <w:spacing w:before="100" w:beforeAutospacing="1" w:after="100" w:afterAutospacing="1" w:line="240" w:lineRule="auto"/>
        <w:jc w:val="both"/>
        <w:outlineLvl w:val="3"/>
        <w:rPr>
          <w:rFonts w:eastAsia="Times New Roman" w:cs="Times New Roman"/>
          <w:b/>
          <w:bCs/>
          <w:szCs w:val="24"/>
          <w:lang w:val="bg-BG" w:eastAsia="bg-BG"/>
        </w:rPr>
      </w:pPr>
      <w:r w:rsidRPr="006F3533">
        <w:rPr>
          <w:rFonts w:eastAsia="Times New Roman" w:cs="Times New Roman"/>
          <w:b/>
          <w:bCs/>
          <w:szCs w:val="24"/>
          <w:lang w:val="bg-BG" w:eastAsia="bg-BG"/>
        </w:rPr>
        <w:t>Препоръчани мерки за преодоляване на ограниченията</w:t>
      </w:r>
    </w:p>
    <w:p w14:paraId="7D66EF8A"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За да се осигури реално прилагане на принципа за разходна ефективност, е необходимо предприемането на съгласуван пакет от организационни, нормативни и информационни мерки:</w:t>
      </w:r>
    </w:p>
    <w:p w14:paraId="71007D70" w14:textId="77777777" w:rsidR="00B572B1" w:rsidRPr="006F3533" w:rsidRDefault="00B572B1">
      <w:pPr>
        <w:numPr>
          <w:ilvl w:val="0"/>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Опростяване и дигитализация на процеса по енергийна сертификация.</w:t>
      </w:r>
    </w:p>
    <w:p w14:paraId="3AD918B7"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Въвеждане на </w:t>
      </w:r>
      <w:r w:rsidRPr="006F3533">
        <w:rPr>
          <w:rFonts w:eastAsia="Times New Roman" w:cs="Times New Roman"/>
          <w:b/>
          <w:bCs/>
          <w:szCs w:val="24"/>
          <w:lang w:val="bg-BG" w:eastAsia="bg-BG"/>
        </w:rPr>
        <w:t>достъпна и стандартизирана система за енергийно етикетиране</w:t>
      </w:r>
      <w:r w:rsidRPr="006F3533">
        <w:rPr>
          <w:rFonts w:eastAsia="Times New Roman" w:cs="Times New Roman"/>
          <w:szCs w:val="24"/>
          <w:lang w:val="bg-BG" w:eastAsia="bg-BG"/>
        </w:rPr>
        <w:t>, която да позволява определяне на енергийните характеристики на базата на предварително зададени типови параметри на сградните компоненти и системи, без необходимост от пълно енергийно обследване.</w:t>
      </w:r>
    </w:p>
    <w:p w14:paraId="3595F508"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 xml:space="preserve">Разработване на </w:t>
      </w:r>
      <w:r w:rsidRPr="006F3533">
        <w:rPr>
          <w:rFonts w:eastAsia="Times New Roman" w:cs="Times New Roman"/>
          <w:b/>
          <w:bCs/>
          <w:szCs w:val="24"/>
          <w:lang w:val="bg-BG" w:eastAsia="bg-BG"/>
        </w:rPr>
        <w:t>национална онлайн платформа</w:t>
      </w:r>
      <w:r w:rsidRPr="006F3533">
        <w:rPr>
          <w:rFonts w:eastAsia="Times New Roman" w:cs="Times New Roman"/>
          <w:szCs w:val="24"/>
          <w:lang w:val="bg-BG" w:eastAsia="bg-BG"/>
        </w:rPr>
        <w:t>, интегрирана с регистъра на енергийните сертификати, която да предлага предварителна оценка на енергийния клас въз основа на въведени данни от собствениците.</w:t>
      </w:r>
    </w:p>
    <w:p w14:paraId="54E5F17F" w14:textId="77777777" w:rsidR="00B572B1" w:rsidRPr="006F3533" w:rsidRDefault="00B572B1">
      <w:pPr>
        <w:numPr>
          <w:ilvl w:val="0"/>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Осигуряване на консултантска и техническа подкрепа чрез Центровете за комплексно обслужване (ЦКО/OSS).</w:t>
      </w:r>
    </w:p>
    <w:p w14:paraId="146E7AD1"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Разширяване на обхвата и мрежата на ЦКО, така че да покриват цялата територия на страната и всички основни групи потребители;</w:t>
      </w:r>
    </w:p>
    <w:p w14:paraId="6D6A6A0E"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Развитие на професията „специализиран посредник“ чрез национални програми за обучение и сертифициране;</w:t>
      </w:r>
    </w:p>
    <w:p w14:paraId="26739BE4"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Интегриране на ЦКО с дигитални инструменти за оценка на разходно-ефективни мерки и избор на подходящи финансови инструменти.</w:t>
      </w:r>
    </w:p>
    <w:p w14:paraId="3C303698" w14:textId="77777777" w:rsidR="00B572B1" w:rsidRPr="006F3533" w:rsidRDefault="00B572B1">
      <w:pPr>
        <w:numPr>
          <w:ilvl w:val="0"/>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Насърчаване на цялостно, интегрирано обновяване вместо частични намеси.</w:t>
      </w:r>
    </w:p>
    <w:p w14:paraId="20AB4AF9"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 бъдещи програми за подкрепа да се </w:t>
      </w:r>
      <w:proofErr w:type="spellStart"/>
      <w:r w:rsidRPr="006F3533">
        <w:rPr>
          <w:rFonts w:eastAsia="Times New Roman" w:cs="Times New Roman"/>
          <w:szCs w:val="24"/>
          <w:lang w:val="bg-BG" w:eastAsia="bg-BG"/>
        </w:rPr>
        <w:t>приоритизират</w:t>
      </w:r>
      <w:proofErr w:type="spellEnd"/>
      <w:r w:rsidRPr="006F3533">
        <w:rPr>
          <w:rFonts w:eastAsia="Times New Roman" w:cs="Times New Roman"/>
          <w:szCs w:val="24"/>
          <w:lang w:val="bg-BG" w:eastAsia="bg-BG"/>
        </w:rPr>
        <w:t xml:space="preserve"> проекти, които постигат значително подобрение на енергийните характеристики (най-малко 60% спестяване на първична енергия) и включват всички ключови елементи на сградата – обвивка, инсталации и ВЕИ – едновременно или според пътна карта за сградно обновяване </w:t>
      </w:r>
    </w:p>
    <w:p w14:paraId="6667FF8E"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Диференциране на процента на безвъзмездно финансиране – по-висок при комплексно обновяване и по-нисък при частични мерки.</w:t>
      </w:r>
    </w:p>
    <w:p w14:paraId="5135F4C5" w14:textId="1BDD44D6" w:rsidR="00494258" w:rsidRPr="006F3533" w:rsidRDefault="00494258" w:rsidP="00494258">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Създаване на ветрило от програми, които  подпомагат и единични мерки като част от дълбоко обновяване „стъпка по-стъпка“ на базата на паспорт за сградно обновяване и съобразени с нуждите на сградите и финансовия капацитет на собствениците. </w:t>
      </w:r>
    </w:p>
    <w:p w14:paraId="3EC3E744" w14:textId="77777777" w:rsidR="00B572B1" w:rsidRPr="006F3533" w:rsidRDefault="00B572B1">
      <w:pPr>
        <w:numPr>
          <w:ilvl w:val="0"/>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Постепенно въвеждане на задължение за актуален технически паспорт и централизирана база данни.</w:t>
      </w:r>
    </w:p>
    <w:p w14:paraId="18921877" w14:textId="0E6A643E" w:rsidR="00175CFE" w:rsidRPr="006F3533" w:rsidRDefault="00175CFE">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Въвеждане на дигитален технически паспорт</w:t>
      </w:r>
    </w:p>
    <w:p w14:paraId="7C8BFF21" w14:textId="3049C062"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Изискване всяка сграда, подлежаща на основен ремонт, продажба или промяна на предназначение, да има </w:t>
      </w:r>
      <w:r w:rsidRPr="006F3533">
        <w:rPr>
          <w:rFonts w:eastAsia="Times New Roman" w:cs="Times New Roman"/>
          <w:b/>
          <w:bCs/>
          <w:szCs w:val="24"/>
          <w:lang w:val="bg-BG" w:eastAsia="bg-BG"/>
        </w:rPr>
        <w:t xml:space="preserve">актуализиран </w:t>
      </w:r>
      <w:r w:rsidR="00175CFE" w:rsidRPr="006F3533">
        <w:rPr>
          <w:rFonts w:eastAsia="Times New Roman" w:cs="Times New Roman"/>
          <w:b/>
          <w:bCs/>
          <w:szCs w:val="24"/>
          <w:lang w:val="bg-BG" w:eastAsia="bg-BG"/>
        </w:rPr>
        <w:t xml:space="preserve">(дигитален) </w:t>
      </w:r>
      <w:r w:rsidRPr="006F3533">
        <w:rPr>
          <w:rFonts w:eastAsia="Times New Roman" w:cs="Times New Roman"/>
          <w:b/>
          <w:bCs/>
          <w:szCs w:val="24"/>
          <w:lang w:val="bg-BG" w:eastAsia="bg-BG"/>
        </w:rPr>
        <w:t>технически паспорт и енергиен клас</w:t>
      </w:r>
      <w:r w:rsidRPr="006F3533">
        <w:rPr>
          <w:rFonts w:eastAsia="Times New Roman" w:cs="Times New Roman"/>
          <w:szCs w:val="24"/>
          <w:lang w:val="bg-BG" w:eastAsia="bg-BG"/>
        </w:rPr>
        <w:t>;</w:t>
      </w:r>
    </w:p>
    <w:p w14:paraId="21C7969E"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Изграждане на национален </w:t>
      </w:r>
      <w:r w:rsidRPr="006F3533">
        <w:rPr>
          <w:rFonts w:eastAsia="Times New Roman" w:cs="Times New Roman"/>
          <w:b/>
          <w:bCs/>
          <w:szCs w:val="24"/>
          <w:lang w:val="bg-BG" w:eastAsia="bg-BG"/>
        </w:rPr>
        <w:t>интегриран регистър на сградния фонд</w:t>
      </w:r>
      <w:r w:rsidRPr="006F3533">
        <w:rPr>
          <w:rFonts w:eastAsia="Times New Roman" w:cs="Times New Roman"/>
          <w:szCs w:val="24"/>
          <w:lang w:val="bg-BG" w:eastAsia="bg-BG"/>
        </w:rPr>
        <w:t>, обвързан с кадастралната карта и общинските системи за управление на собствеността.</w:t>
      </w:r>
    </w:p>
    <w:p w14:paraId="00E9E82B" w14:textId="77777777" w:rsidR="00B572B1" w:rsidRPr="006F3533" w:rsidRDefault="00B572B1">
      <w:pPr>
        <w:numPr>
          <w:ilvl w:val="0"/>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Повишаване на информираността и ангажираността на гражданите.</w:t>
      </w:r>
    </w:p>
    <w:p w14:paraId="287C7903"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Организиране на </w:t>
      </w:r>
      <w:r w:rsidRPr="006F3533">
        <w:rPr>
          <w:rFonts w:eastAsia="Times New Roman" w:cs="Times New Roman"/>
          <w:b/>
          <w:bCs/>
          <w:szCs w:val="24"/>
          <w:lang w:val="bg-BG" w:eastAsia="bg-BG"/>
        </w:rPr>
        <w:t>национални и местни информационни кампании</w:t>
      </w:r>
      <w:r w:rsidRPr="006F3533">
        <w:rPr>
          <w:rFonts w:eastAsia="Times New Roman" w:cs="Times New Roman"/>
          <w:szCs w:val="24"/>
          <w:lang w:val="bg-BG" w:eastAsia="bg-BG"/>
        </w:rPr>
        <w:t xml:space="preserve"> за ползите от цялостното обновяване;</w:t>
      </w:r>
    </w:p>
    <w:p w14:paraId="4A3B3531" w14:textId="77777777" w:rsidR="00B572B1" w:rsidRPr="006F3533" w:rsidRDefault="00B572B1">
      <w:pPr>
        <w:numPr>
          <w:ilvl w:val="1"/>
          <w:numId w:val="2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Създаване на </w:t>
      </w:r>
      <w:r w:rsidRPr="006F3533">
        <w:rPr>
          <w:rFonts w:eastAsia="Times New Roman" w:cs="Times New Roman"/>
          <w:b/>
          <w:bCs/>
          <w:szCs w:val="24"/>
          <w:lang w:val="bg-BG" w:eastAsia="bg-BG"/>
        </w:rPr>
        <w:t>публична карта на обновените сгради</w:t>
      </w:r>
      <w:r w:rsidRPr="006F3533">
        <w:rPr>
          <w:rFonts w:eastAsia="Times New Roman" w:cs="Times New Roman"/>
          <w:szCs w:val="24"/>
          <w:lang w:val="bg-BG" w:eastAsia="bg-BG"/>
        </w:rPr>
        <w:t xml:space="preserve"> с данни за реалните енергийни и финансови резултати, които да служат като примери за подражание.</w:t>
      </w:r>
    </w:p>
    <w:p w14:paraId="5C747A9E"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Прилагането на тези мерки ще позволи методологичната рамка за разходно-оптимално обновяване да се превърне в </w:t>
      </w:r>
      <w:r w:rsidRPr="006F3533">
        <w:rPr>
          <w:rFonts w:eastAsia="Times New Roman" w:cs="Times New Roman"/>
          <w:b/>
          <w:bCs/>
          <w:szCs w:val="24"/>
          <w:lang w:val="bg-BG" w:eastAsia="bg-BG"/>
        </w:rPr>
        <w:t>ефективен управленски инструмент</w:t>
      </w:r>
      <w:r w:rsidRPr="006F3533">
        <w:rPr>
          <w:rFonts w:eastAsia="Times New Roman" w:cs="Times New Roman"/>
          <w:szCs w:val="24"/>
          <w:lang w:val="bg-BG" w:eastAsia="bg-BG"/>
        </w:rPr>
        <w:t xml:space="preserve">, осигуряващ проследимост, съгласуваност и предвидимост на процесите. Така ще се постигне плавен преход от нормативно съответствие към </w:t>
      </w:r>
      <w:r w:rsidRPr="006F3533">
        <w:rPr>
          <w:rFonts w:eastAsia="Times New Roman" w:cs="Times New Roman"/>
          <w:b/>
          <w:bCs/>
          <w:szCs w:val="24"/>
          <w:lang w:val="bg-BG" w:eastAsia="bg-BG"/>
        </w:rPr>
        <w:t>устойчив модел на сградно обновяване</w:t>
      </w:r>
      <w:r w:rsidRPr="006F3533">
        <w:rPr>
          <w:rFonts w:eastAsia="Times New Roman" w:cs="Times New Roman"/>
          <w:szCs w:val="24"/>
          <w:lang w:val="bg-BG" w:eastAsia="bg-BG"/>
        </w:rPr>
        <w:t>, основан на реални данни, достъпни услуги и последователна ангажираност на всички участници.</w:t>
      </w:r>
    </w:p>
    <w:p w14:paraId="7B90F170" w14:textId="33C3BC9A" w:rsidR="00B572B1" w:rsidRPr="006F3533" w:rsidRDefault="00B572B1" w:rsidP="00077D42">
      <w:pPr>
        <w:pStyle w:val="Heading2"/>
        <w:jc w:val="both"/>
        <w:rPr>
          <w:lang w:val="bg-BG"/>
        </w:rPr>
      </w:pPr>
      <w:bookmarkStart w:id="202" w:name="_Toc217888826"/>
      <w:r w:rsidRPr="006F3533">
        <w:rPr>
          <w:lang w:val="bg-BG"/>
        </w:rPr>
        <w:lastRenderedPageBreak/>
        <w:t>b) национални минимални стандарти за енергийни характеристики съгласно член 9 и други политики и действия, насочени към сегментите от националния сграден фонд с най-лоши характеристики, включително гаранциите, посочени в член 17, параграф 19;</w:t>
      </w:r>
      <w:bookmarkEnd w:id="202"/>
    </w:p>
    <w:p w14:paraId="16FE920C"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съответствие с член 9, параграф 1 от изменената Директива за енергийните характеристики на сградите (ДЕХС), България въвежда </w:t>
      </w:r>
      <w:r w:rsidRPr="006F3533">
        <w:rPr>
          <w:rFonts w:eastAsia="Times New Roman" w:cs="Times New Roman"/>
          <w:b/>
          <w:bCs/>
          <w:szCs w:val="24"/>
          <w:lang w:val="bg-BG" w:eastAsia="bg-BG"/>
        </w:rPr>
        <w:t>национални минимални стандарти за енергийните характеристики (МСЕХ)</w:t>
      </w:r>
      <w:r w:rsidRPr="006F3533">
        <w:rPr>
          <w:rFonts w:eastAsia="Times New Roman" w:cs="Times New Roman"/>
          <w:szCs w:val="24"/>
          <w:lang w:val="bg-BG" w:eastAsia="bg-BG"/>
        </w:rPr>
        <w:t>, насочени към постепенното подобряване на най-слабо представящия се сегмент от нежилищния сграден фонд. МСЕХ имат за цел да осигурят предвидимост и прозрачност на процеса на обновяване, като въведат ясни гранични стойности на енергийното потребление, срокове за изпълнение и подкрепящи механизми за прилагане.</w:t>
      </w:r>
    </w:p>
    <w:p w14:paraId="3F3588DD" w14:textId="77777777"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203" w:name="_Toc216816092"/>
      <w:bookmarkStart w:id="204" w:name="_Toc216857812"/>
      <w:bookmarkStart w:id="205" w:name="_Toc217888827"/>
      <w:r w:rsidRPr="006F3533">
        <w:rPr>
          <w:rFonts w:eastAsia="Times New Roman" w:cs="Times New Roman"/>
          <w:b/>
          <w:bCs/>
          <w:szCs w:val="24"/>
          <w:lang w:val="bg-BG" w:eastAsia="bg-BG"/>
        </w:rPr>
        <w:t>Правна и институционална рамка</w:t>
      </w:r>
      <w:bookmarkEnd w:id="203"/>
      <w:bookmarkEnd w:id="204"/>
      <w:bookmarkEnd w:id="205"/>
    </w:p>
    <w:p w14:paraId="03D04A19"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Компетентният орган за прилагане, мониторинг и контрол на МСЕХ е </w:t>
      </w:r>
      <w:r w:rsidRPr="006F3533">
        <w:rPr>
          <w:rFonts w:eastAsia="Times New Roman" w:cs="Times New Roman"/>
          <w:b/>
          <w:bCs/>
          <w:szCs w:val="24"/>
          <w:lang w:val="bg-BG" w:eastAsia="bg-BG"/>
        </w:rPr>
        <w:t>Агенцията за устойчиво енергийно развитие (АУЕР)</w:t>
      </w:r>
      <w:r w:rsidRPr="006F3533">
        <w:rPr>
          <w:rFonts w:eastAsia="Times New Roman" w:cs="Times New Roman"/>
          <w:szCs w:val="24"/>
          <w:lang w:val="bg-BG" w:eastAsia="bg-BG"/>
        </w:rPr>
        <w:t xml:space="preserve">, която поддържа </w:t>
      </w:r>
      <w:r w:rsidRPr="006F3533">
        <w:rPr>
          <w:rFonts w:eastAsia="Times New Roman" w:cs="Times New Roman"/>
          <w:b/>
          <w:bCs/>
          <w:szCs w:val="24"/>
          <w:lang w:val="bg-BG" w:eastAsia="bg-BG"/>
        </w:rPr>
        <w:t>националния регистър на обследваните и сертифицирани сгради</w:t>
      </w:r>
      <w:r w:rsidRPr="006F3533">
        <w:rPr>
          <w:rFonts w:eastAsia="Times New Roman" w:cs="Times New Roman"/>
          <w:szCs w:val="24"/>
          <w:lang w:val="bg-BG" w:eastAsia="bg-BG"/>
        </w:rPr>
        <w:t>. АУЕР отговаря за определянето на граничните стойности, методиката за оценка и системата за наблюдение, както и за санкционния механизъм при несъответствие.</w:t>
      </w:r>
    </w:p>
    <w:p w14:paraId="68B76351"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Министерството на енергетиката (МЕ)</w:t>
      </w:r>
      <w:r w:rsidRPr="006F3533">
        <w:rPr>
          <w:rFonts w:eastAsia="Times New Roman" w:cs="Times New Roman"/>
          <w:szCs w:val="24"/>
          <w:lang w:val="bg-BG" w:eastAsia="bg-BG"/>
        </w:rPr>
        <w:t xml:space="preserve"> и </w:t>
      </w:r>
      <w:r w:rsidRPr="006F3533">
        <w:rPr>
          <w:rFonts w:eastAsia="Times New Roman" w:cs="Times New Roman"/>
          <w:b/>
          <w:bCs/>
          <w:szCs w:val="24"/>
          <w:lang w:val="bg-BG" w:eastAsia="bg-BG"/>
        </w:rPr>
        <w:t>Министерството на регионалното развитие и благоустройството (МРРБ)</w:t>
      </w:r>
      <w:r w:rsidRPr="006F3533">
        <w:rPr>
          <w:rFonts w:eastAsia="Times New Roman" w:cs="Times New Roman"/>
          <w:szCs w:val="24"/>
          <w:lang w:val="bg-BG" w:eastAsia="bg-BG"/>
        </w:rPr>
        <w:t xml:space="preserve"> координират политическата и нормативната рамка – МЕ в съответствие с националната политика за енергийна ефективност и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а МРРБ – по отношение на строителните изисквания, лицензирането и контрола върху проектантската и строителната дейност.</w:t>
      </w:r>
    </w:p>
    <w:p w14:paraId="5E6A0A24" w14:textId="77777777"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206" w:name="_Toc216816093"/>
      <w:bookmarkStart w:id="207" w:name="_Toc216857813"/>
      <w:bookmarkStart w:id="208" w:name="_Toc217888828"/>
      <w:r w:rsidRPr="006F3533">
        <w:rPr>
          <w:rFonts w:eastAsia="Times New Roman" w:cs="Times New Roman"/>
          <w:b/>
          <w:bCs/>
          <w:szCs w:val="24"/>
          <w:lang w:val="bg-BG" w:eastAsia="bg-BG"/>
        </w:rPr>
        <w:t>Методология и индикатори</w:t>
      </w:r>
      <w:bookmarkEnd w:id="206"/>
      <w:bookmarkEnd w:id="207"/>
      <w:bookmarkEnd w:id="208"/>
    </w:p>
    <w:p w14:paraId="2514009D"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Според </w:t>
      </w:r>
      <w:r w:rsidRPr="006F3533">
        <w:rPr>
          <w:rFonts w:eastAsia="Times New Roman" w:cs="Times New Roman"/>
          <w:b/>
          <w:bCs/>
          <w:szCs w:val="24"/>
          <w:lang w:val="bg-BG" w:eastAsia="bg-BG"/>
        </w:rPr>
        <w:t>анализа на Агенцията за устойчиво енергийно развитие (АУЕР)</w:t>
      </w:r>
      <w:r w:rsidRPr="006F3533">
        <w:rPr>
          <w:rFonts w:eastAsia="Times New Roman" w:cs="Times New Roman"/>
          <w:szCs w:val="24"/>
          <w:lang w:val="bg-BG" w:eastAsia="bg-BG"/>
        </w:rPr>
        <w:t xml:space="preserve">, изготвен на база националната база данни за сертифицирани сгради и допълнителни моделирани стойности за най-разпространените типологии, </w:t>
      </w:r>
      <w:r w:rsidRPr="006F3533">
        <w:rPr>
          <w:rFonts w:eastAsia="Times New Roman" w:cs="Times New Roman"/>
          <w:b/>
          <w:bCs/>
          <w:szCs w:val="24"/>
          <w:lang w:val="bg-BG" w:eastAsia="bg-BG"/>
        </w:rPr>
        <w:t>нежилищният сграден фонд в България показва значителни различия в енергийната ефективност между отделните категории и климатични зони</w:t>
      </w:r>
      <w:r w:rsidRPr="006F3533">
        <w:rPr>
          <w:rFonts w:eastAsia="Times New Roman" w:cs="Times New Roman"/>
          <w:szCs w:val="24"/>
          <w:lang w:val="bg-BG" w:eastAsia="bg-BG"/>
        </w:rPr>
        <w:t xml:space="preserve">. Оценени са над </w:t>
      </w:r>
      <w:r w:rsidRPr="006F3533">
        <w:rPr>
          <w:rFonts w:eastAsia="Times New Roman" w:cs="Times New Roman"/>
          <w:b/>
          <w:bCs/>
          <w:szCs w:val="24"/>
          <w:lang w:val="bg-BG" w:eastAsia="bg-BG"/>
        </w:rPr>
        <w:t xml:space="preserve">6 500 сгради с обща </w:t>
      </w:r>
      <w:proofErr w:type="spellStart"/>
      <w:r w:rsidRPr="006F3533">
        <w:rPr>
          <w:rFonts w:eastAsia="Times New Roman" w:cs="Times New Roman"/>
          <w:b/>
          <w:bCs/>
          <w:szCs w:val="24"/>
          <w:lang w:val="bg-BG" w:eastAsia="bg-BG"/>
        </w:rPr>
        <w:t>кондиционирана</w:t>
      </w:r>
      <w:proofErr w:type="spellEnd"/>
      <w:r w:rsidRPr="006F3533">
        <w:rPr>
          <w:rFonts w:eastAsia="Times New Roman" w:cs="Times New Roman"/>
          <w:b/>
          <w:bCs/>
          <w:szCs w:val="24"/>
          <w:lang w:val="bg-BG" w:eastAsia="bg-BG"/>
        </w:rPr>
        <w:t xml:space="preserve"> площ от 16,9 млн. m²</w:t>
      </w:r>
      <w:r w:rsidRPr="006F3533">
        <w:rPr>
          <w:rFonts w:eastAsia="Times New Roman" w:cs="Times New Roman"/>
          <w:szCs w:val="24"/>
          <w:lang w:val="bg-BG" w:eastAsia="bg-BG"/>
        </w:rPr>
        <w:t>, обхващащи основните функционални групи: административни и офисни сгради, образователна инфраструктура, здравни и социални заведения, хотели, търговски обекти, спортни и културни съоръжения, като за съжаление сертификатите са неравномерно разпределени между различните типове сгради и в категориите „нови сгради“ и „сгради в експлоатация“, което прави извадките за някои от категориите непредставителна.</w:t>
      </w:r>
    </w:p>
    <w:p w14:paraId="0B685257" w14:textId="67C5E9BD"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Въпреки това, анализът показва, че </w:t>
      </w:r>
      <w:r w:rsidRPr="006F3533">
        <w:rPr>
          <w:rFonts w:eastAsia="Times New Roman" w:cs="Times New Roman"/>
          <w:b/>
          <w:bCs/>
          <w:szCs w:val="24"/>
          <w:lang w:val="bg-BG" w:eastAsia="bg-BG"/>
        </w:rPr>
        <w:t>16% от най-слабо представящите се нежилищни сгради</w:t>
      </w:r>
      <w:r w:rsidRPr="006F3533">
        <w:rPr>
          <w:rFonts w:eastAsia="Times New Roman" w:cs="Times New Roman"/>
          <w:szCs w:val="24"/>
          <w:lang w:val="bg-BG" w:eastAsia="bg-BG"/>
        </w:rPr>
        <w:t xml:space="preserve"> се намират в </w:t>
      </w:r>
      <w:r w:rsidRPr="006F3533">
        <w:rPr>
          <w:rFonts w:eastAsia="Times New Roman" w:cs="Times New Roman"/>
          <w:b/>
          <w:bCs/>
          <w:szCs w:val="24"/>
          <w:lang w:val="bg-BG" w:eastAsia="bg-BG"/>
        </w:rPr>
        <w:t>енергийните класове F и G</w:t>
      </w:r>
      <w:r w:rsidRPr="006F3533">
        <w:rPr>
          <w:rFonts w:eastAsia="Times New Roman" w:cs="Times New Roman"/>
          <w:szCs w:val="24"/>
          <w:lang w:val="bg-BG" w:eastAsia="bg-BG"/>
        </w:rPr>
        <w:t xml:space="preserve"> - те обхващат най-неефективната част от фонда и следва да бъдат повишени </w:t>
      </w:r>
      <w:r w:rsidRPr="006F3533">
        <w:rPr>
          <w:rFonts w:eastAsia="Times New Roman" w:cs="Times New Roman"/>
          <w:b/>
          <w:bCs/>
          <w:szCs w:val="24"/>
          <w:lang w:val="bg-BG" w:eastAsia="bg-BG"/>
        </w:rPr>
        <w:t>най-малко до клас Е до 2030 г.</w:t>
      </w:r>
      <w:r w:rsidRPr="006F3533">
        <w:rPr>
          <w:rFonts w:eastAsia="Times New Roman" w:cs="Times New Roman"/>
          <w:szCs w:val="24"/>
          <w:lang w:val="bg-BG" w:eastAsia="bg-BG"/>
        </w:rPr>
        <w:t xml:space="preserve"> Същевременно </w:t>
      </w:r>
      <w:r w:rsidRPr="006F3533">
        <w:rPr>
          <w:rFonts w:eastAsia="Times New Roman" w:cs="Times New Roman"/>
          <w:b/>
          <w:bCs/>
          <w:szCs w:val="24"/>
          <w:lang w:val="bg-BG" w:eastAsia="bg-BG"/>
        </w:rPr>
        <w:t>около 26% от сградите</w:t>
      </w:r>
      <w:r w:rsidRPr="006F3533">
        <w:rPr>
          <w:rFonts w:eastAsia="Times New Roman" w:cs="Times New Roman"/>
          <w:szCs w:val="24"/>
          <w:lang w:val="bg-BG" w:eastAsia="bg-BG"/>
        </w:rPr>
        <w:t xml:space="preserve"> — обединяващи класовете </w:t>
      </w:r>
      <w:r w:rsidRPr="006F3533">
        <w:rPr>
          <w:rFonts w:eastAsia="Times New Roman" w:cs="Times New Roman"/>
          <w:b/>
          <w:bCs/>
          <w:szCs w:val="24"/>
          <w:lang w:val="bg-BG" w:eastAsia="bg-BG"/>
        </w:rPr>
        <w:t>E, F и G</w:t>
      </w:r>
      <w:r w:rsidRPr="006F3533">
        <w:rPr>
          <w:rFonts w:eastAsia="Times New Roman" w:cs="Times New Roman"/>
          <w:szCs w:val="24"/>
          <w:lang w:val="bg-BG" w:eastAsia="bg-BG"/>
        </w:rPr>
        <w:t xml:space="preserve"> — формират разширената група на </w:t>
      </w:r>
      <w:r w:rsidRPr="006F3533">
        <w:rPr>
          <w:rFonts w:eastAsia="Times New Roman" w:cs="Times New Roman"/>
          <w:b/>
          <w:bCs/>
          <w:szCs w:val="24"/>
          <w:lang w:val="bg-BG" w:eastAsia="bg-BG"/>
        </w:rPr>
        <w:t>най-лошо представящия се сегмент</w:t>
      </w:r>
      <w:r w:rsidRPr="006F3533">
        <w:rPr>
          <w:rFonts w:eastAsia="Times New Roman" w:cs="Times New Roman"/>
          <w:szCs w:val="24"/>
          <w:lang w:val="bg-BG" w:eastAsia="bg-BG"/>
        </w:rPr>
        <w:t xml:space="preserve">, за който се предвижда достигане </w:t>
      </w:r>
      <w:r w:rsidRPr="006F3533">
        <w:rPr>
          <w:rFonts w:eastAsia="Times New Roman" w:cs="Times New Roman"/>
          <w:b/>
          <w:bCs/>
          <w:szCs w:val="24"/>
          <w:lang w:val="bg-BG" w:eastAsia="bg-BG"/>
        </w:rPr>
        <w:t>най-малко на клас D до 2033 г</w:t>
      </w:r>
      <w:r w:rsidRPr="006F3533">
        <w:rPr>
          <w:rFonts w:eastAsia="Times New Roman" w:cs="Times New Roman"/>
          <w:szCs w:val="24"/>
          <w:lang w:val="bg-BG" w:eastAsia="bg-BG"/>
        </w:rPr>
        <w:t xml:space="preserve">. И в двата случая изпълнението на тези изисквания </w:t>
      </w:r>
      <w:r w:rsidR="00D51D61" w:rsidRPr="006F3533">
        <w:rPr>
          <w:rFonts w:eastAsia="Times New Roman" w:cs="Times New Roman"/>
          <w:szCs w:val="24"/>
          <w:lang w:val="bg-BG" w:eastAsia="bg-BG"/>
        </w:rPr>
        <w:t xml:space="preserve">не </w:t>
      </w:r>
      <w:r w:rsidRPr="006F3533">
        <w:rPr>
          <w:rFonts w:eastAsia="Times New Roman" w:cs="Times New Roman"/>
          <w:szCs w:val="24"/>
          <w:lang w:val="bg-BG" w:eastAsia="bg-BG"/>
        </w:rPr>
        <w:t xml:space="preserve">е свързано с </w:t>
      </w:r>
      <w:r w:rsidRPr="006F3533">
        <w:rPr>
          <w:rFonts w:eastAsia="Times New Roman" w:cs="Times New Roman"/>
          <w:szCs w:val="24"/>
          <w:lang w:val="bg-BG" w:eastAsia="bg-BG"/>
        </w:rPr>
        <w:lastRenderedPageBreak/>
        <w:t>постигането на посочените минимални класове с компромисни мерки, а с изпълнението на минималните изисквания за енергийните характеристики на сградите в случай на основен ремонт (</w:t>
      </w:r>
      <w:r w:rsidR="00D51D61" w:rsidRPr="006F3533">
        <w:rPr>
          <w:rFonts w:eastAsia="Times New Roman" w:cs="Times New Roman"/>
          <w:szCs w:val="24"/>
          <w:lang w:val="bg-BG" w:eastAsia="bg-BG"/>
        </w:rPr>
        <w:t xml:space="preserve">към момента, </w:t>
      </w:r>
      <w:r w:rsidRPr="006F3533">
        <w:rPr>
          <w:rFonts w:eastAsia="Times New Roman" w:cs="Times New Roman"/>
          <w:szCs w:val="24"/>
          <w:lang w:val="bg-BG" w:eastAsia="bg-BG"/>
        </w:rPr>
        <w:t>най-малко енергиен клас B) – в рамките на еднократно цялостно обновяване или според пътна карта за поетапно сградно обновяване. Този подход осигурява постепенно подобрение на енергийните характеристики на най-енергоемките сгради, като съчетава изискуемите по директива срокове с изпълними технически и финансови изисквания.</w:t>
      </w:r>
    </w:p>
    <w:p w14:paraId="3C2B9C23" w14:textId="60884250"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Тези гранични стойности са определени в съответствие с методологията за </w:t>
      </w:r>
      <w:r w:rsidRPr="006F3533">
        <w:rPr>
          <w:rFonts w:eastAsia="Times New Roman" w:cs="Times New Roman"/>
          <w:b/>
          <w:bCs/>
          <w:szCs w:val="24"/>
          <w:lang w:val="bg-BG" w:eastAsia="bg-BG"/>
        </w:rPr>
        <w:t>оптимални по разходи нива на енергийна ефективност</w:t>
      </w:r>
      <w:r w:rsidRPr="006F3533">
        <w:rPr>
          <w:rFonts w:eastAsia="Times New Roman" w:cs="Times New Roman"/>
          <w:szCs w:val="24"/>
          <w:lang w:val="bg-BG" w:eastAsia="bg-BG"/>
        </w:rPr>
        <w:t xml:space="preserve">, заложена в Наредба № РД-02-20-3/2022 г. и европейската референтна рамка, като отразяват реалистичен, но амбициозен темп на повишаване на енергийната ефективност в нежилищния сектор. </w:t>
      </w:r>
    </w:p>
    <w:p w14:paraId="7011BDF5" w14:textId="77777777"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209" w:name="_Toc216816094"/>
      <w:bookmarkStart w:id="210" w:name="_Toc216857814"/>
      <w:bookmarkStart w:id="211" w:name="_Toc217888829"/>
      <w:r w:rsidRPr="006F3533">
        <w:rPr>
          <w:rFonts w:eastAsia="Times New Roman" w:cs="Times New Roman"/>
          <w:b/>
          <w:bCs/>
          <w:szCs w:val="24"/>
          <w:lang w:val="bg-BG" w:eastAsia="bg-BG"/>
        </w:rPr>
        <w:t>Механизъм за идентификация и съответствие</w:t>
      </w:r>
      <w:bookmarkEnd w:id="209"/>
      <w:bookmarkEnd w:id="210"/>
      <w:bookmarkEnd w:id="211"/>
    </w:p>
    <w:p w14:paraId="73B158A3"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Съществено предизвикателство пред прилагането на МСЕХ е фактът, че </w:t>
      </w:r>
      <w:r w:rsidRPr="006F3533">
        <w:rPr>
          <w:rFonts w:eastAsia="Times New Roman" w:cs="Times New Roman"/>
          <w:b/>
          <w:bCs/>
          <w:szCs w:val="24"/>
          <w:lang w:val="bg-BG" w:eastAsia="bg-BG"/>
        </w:rPr>
        <w:t>значителна част от съществуващите нежилищни сгради нямат валидни сертификати за енергийните характеристики</w:t>
      </w:r>
      <w:r w:rsidRPr="006F3533">
        <w:rPr>
          <w:rFonts w:eastAsia="Times New Roman" w:cs="Times New Roman"/>
          <w:szCs w:val="24"/>
          <w:lang w:val="bg-BG" w:eastAsia="bg-BG"/>
        </w:rPr>
        <w:t xml:space="preserve">, въпреки нормативното изискване. Основната причина е </w:t>
      </w:r>
      <w:r w:rsidRPr="006F3533">
        <w:rPr>
          <w:rFonts w:eastAsia="Times New Roman" w:cs="Times New Roman"/>
          <w:b/>
          <w:bCs/>
          <w:szCs w:val="24"/>
          <w:lang w:val="bg-BG" w:eastAsia="bg-BG"/>
        </w:rPr>
        <w:t>високата цена на пълното енергийно обследване</w:t>
      </w:r>
      <w:r w:rsidRPr="006F3533">
        <w:rPr>
          <w:rFonts w:eastAsia="Times New Roman" w:cs="Times New Roman"/>
          <w:szCs w:val="24"/>
          <w:lang w:val="bg-BG" w:eastAsia="bg-BG"/>
        </w:rPr>
        <w:t>, необходимо за издаването на сертификат, което възпрепятства масовото му прилагане.</w:t>
      </w:r>
    </w:p>
    <w:p w14:paraId="75A25022" w14:textId="0851731F"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За преодоляване на този проблем България ще въведе </w:t>
      </w:r>
      <w:r w:rsidRPr="006F3533">
        <w:rPr>
          <w:rFonts w:eastAsia="Times New Roman" w:cs="Times New Roman"/>
          <w:b/>
          <w:bCs/>
          <w:szCs w:val="24"/>
          <w:lang w:val="bg-BG" w:eastAsia="bg-BG"/>
        </w:rPr>
        <w:t>национална система за опростено етикетиране</w:t>
      </w:r>
      <w:r w:rsidRPr="006F3533">
        <w:rPr>
          <w:rFonts w:eastAsia="Times New Roman" w:cs="Times New Roman"/>
          <w:szCs w:val="24"/>
          <w:lang w:val="bg-BG" w:eastAsia="bg-BG"/>
        </w:rPr>
        <w:t xml:space="preserve">, която ще позволи достъпно и бързо определяне на енергийния клас на всяка сграда въз основа на ограничен набор от входни данни – </w:t>
      </w:r>
      <w:r w:rsidR="00175CFE" w:rsidRPr="006F3533">
        <w:rPr>
          <w:rFonts w:eastAsia="Times New Roman" w:cs="Times New Roman"/>
          <w:szCs w:val="24"/>
          <w:lang w:val="bg-BG" w:eastAsia="bg-BG"/>
        </w:rPr>
        <w:t xml:space="preserve">ориентация и размер на сградата, дял на остъкляване, </w:t>
      </w:r>
      <w:r w:rsidRPr="006F3533">
        <w:rPr>
          <w:rFonts w:eastAsia="Times New Roman" w:cs="Times New Roman"/>
          <w:szCs w:val="24"/>
          <w:lang w:val="bg-BG" w:eastAsia="bg-BG"/>
        </w:rPr>
        <w:t>тип строителна конструкция, площ, година на въвеждане в експлоатация, отоплителна система и основни характеристики на ограждащите елементи.</w:t>
      </w:r>
    </w:p>
    <w:p w14:paraId="6EE93058" w14:textId="61F5DD08"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Системата за етикетиране ще се основава на </w:t>
      </w:r>
      <w:r w:rsidRPr="006F3533">
        <w:rPr>
          <w:rFonts w:eastAsia="Times New Roman" w:cs="Times New Roman"/>
          <w:b/>
          <w:bCs/>
          <w:szCs w:val="24"/>
          <w:lang w:val="bg-BG" w:eastAsia="bg-BG"/>
        </w:rPr>
        <w:t>дигитален инструмент</w:t>
      </w:r>
      <w:r w:rsidRPr="006F3533">
        <w:rPr>
          <w:rFonts w:eastAsia="Times New Roman" w:cs="Times New Roman"/>
          <w:szCs w:val="24"/>
          <w:lang w:val="bg-BG" w:eastAsia="bg-BG"/>
        </w:rPr>
        <w:t>, разработен от АУЕР</w:t>
      </w:r>
      <w:r w:rsidR="00D51D61" w:rsidRPr="006F3533">
        <w:rPr>
          <w:rFonts w:eastAsia="Times New Roman" w:cs="Times New Roman"/>
          <w:szCs w:val="24"/>
          <w:lang w:val="bg-BG" w:eastAsia="bg-BG"/>
        </w:rPr>
        <w:t xml:space="preserve"> в рамките на проект за модернизиране на националния софтуер за енергийни обследвания</w:t>
      </w:r>
      <w:r w:rsidRPr="006F3533">
        <w:rPr>
          <w:rFonts w:eastAsia="Times New Roman" w:cs="Times New Roman"/>
          <w:szCs w:val="24"/>
          <w:lang w:val="bg-BG" w:eastAsia="bg-BG"/>
        </w:rPr>
        <w:t>, и ще позволява автоматично генериране на предварителен енергиен етикет</w:t>
      </w:r>
      <w:r w:rsidR="00D51D61" w:rsidRPr="006F3533">
        <w:rPr>
          <w:rFonts w:eastAsia="Times New Roman" w:cs="Times New Roman"/>
          <w:szCs w:val="24"/>
          <w:lang w:val="bg-BG" w:eastAsia="bg-BG"/>
        </w:rPr>
        <w:t xml:space="preserve">, упоменаващ </w:t>
      </w:r>
      <w:r w:rsidRPr="006F3533">
        <w:rPr>
          <w:rFonts w:eastAsia="Times New Roman" w:cs="Times New Roman"/>
          <w:szCs w:val="24"/>
          <w:lang w:val="bg-BG" w:eastAsia="bg-BG"/>
        </w:rPr>
        <w:t>енерги</w:t>
      </w:r>
      <w:r w:rsidR="00D51D61" w:rsidRPr="006F3533">
        <w:rPr>
          <w:rFonts w:eastAsia="Times New Roman" w:cs="Times New Roman"/>
          <w:szCs w:val="24"/>
          <w:lang w:val="bg-BG" w:eastAsia="bg-BG"/>
        </w:rPr>
        <w:t>йния</w:t>
      </w:r>
      <w:r w:rsidRPr="006F3533">
        <w:rPr>
          <w:rFonts w:eastAsia="Times New Roman" w:cs="Times New Roman"/>
          <w:szCs w:val="24"/>
          <w:lang w:val="bg-BG" w:eastAsia="bg-BG"/>
        </w:rPr>
        <w:t xml:space="preserve"> клас</w:t>
      </w:r>
      <w:r w:rsidR="00D51D61" w:rsidRPr="006F3533">
        <w:rPr>
          <w:rFonts w:eastAsia="Times New Roman" w:cs="Times New Roman"/>
          <w:szCs w:val="24"/>
          <w:lang w:val="bg-BG" w:eastAsia="bg-BG"/>
        </w:rPr>
        <w:t xml:space="preserve"> на сградата,</w:t>
      </w:r>
      <w:r w:rsidRPr="006F3533">
        <w:rPr>
          <w:rFonts w:eastAsia="Times New Roman" w:cs="Times New Roman"/>
          <w:szCs w:val="24"/>
          <w:lang w:val="bg-BG" w:eastAsia="bg-BG"/>
        </w:rPr>
        <w:t xml:space="preserve"> чрез онлайн въвеждане на данни от </w:t>
      </w:r>
      <w:r w:rsidR="00D51D61" w:rsidRPr="006F3533">
        <w:rPr>
          <w:rFonts w:eastAsia="Times New Roman" w:cs="Times New Roman"/>
          <w:szCs w:val="24"/>
          <w:lang w:val="bg-BG" w:eastAsia="bg-BG"/>
        </w:rPr>
        <w:t>сертифициран енергиен консултант</w:t>
      </w:r>
      <w:r w:rsidRPr="006F3533">
        <w:rPr>
          <w:rFonts w:eastAsia="Times New Roman" w:cs="Times New Roman"/>
          <w:szCs w:val="24"/>
          <w:lang w:val="bg-BG" w:eastAsia="bg-BG"/>
        </w:rPr>
        <w:t>.</w:t>
      </w:r>
    </w:p>
    <w:p w14:paraId="02F093E3" w14:textId="686F8B0C" w:rsidR="00B572B1" w:rsidRPr="006F3533" w:rsidRDefault="00B572B1">
      <w:pPr>
        <w:numPr>
          <w:ilvl w:val="0"/>
          <w:numId w:val="27"/>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Енергийният сертификат</w:t>
      </w:r>
      <w:r w:rsidRPr="006F3533">
        <w:rPr>
          <w:rFonts w:eastAsia="Times New Roman" w:cs="Times New Roman"/>
          <w:szCs w:val="24"/>
          <w:lang w:val="bg-BG" w:eastAsia="bg-BG"/>
        </w:rPr>
        <w:t xml:space="preserve"> ще продължи да бъде пълната форма на доказателство за съответствие при основен ремонт и при кандидатстване за финансиране;</w:t>
      </w:r>
    </w:p>
    <w:p w14:paraId="62661EF0" w14:textId="1483D4DB" w:rsidR="00B572B1" w:rsidRPr="006F3533" w:rsidRDefault="00B572B1">
      <w:pPr>
        <w:numPr>
          <w:ilvl w:val="0"/>
          <w:numId w:val="27"/>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Енергийният етикет</w:t>
      </w:r>
      <w:r w:rsidRPr="006F3533">
        <w:rPr>
          <w:rFonts w:eastAsia="Times New Roman" w:cs="Times New Roman"/>
          <w:szCs w:val="24"/>
          <w:lang w:val="bg-BG" w:eastAsia="bg-BG"/>
        </w:rPr>
        <w:t xml:space="preserve"> ще бъде валиден като базова форма на идентификация за всички останали сгради и ще се използва за установяване на това дали дадена сграда попада под минималния праг и подлежи на задължително обновяване</w:t>
      </w:r>
      <w:r w:rsidR="00D51D61" w:rsidRPr="006F3533">
        <w:rPr>
          <w:rFonts w:eastAsia="Times New Roman" w:cs="Times New Roman"/>
          <w:szCs w:val="24"/>
          <w:lang w:val="bg-BG" w:eastAsia="bg-BG"/>
        </w:rPr>
        <w:t xml:space="preserve"> в установените срокове. Същевременно, той ще се използва и за други цели, като идентифициране на бенефициенти по програми за подпомагане на енергийно бедни домакинства, предоставяне на информация за енергийните характеристики на сградата при покупка или отдаване под наем на имот и др.</w:t>
      </w:r>
    </w:p>
    <w:p w14:paraId="02BDD53B"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Така се създава </w:t>
      </w:r>
      <w:r w:rsidRPr="006F3533">
        <w:rPr>
          <w:rFonts w:eastAsia="Times New Roman" w:cs="Times New Roman"/>
          <w:b/>
          <w:bCs/>
          <w:szCs w:val="24"/>
          <w:lang w:val="bg-BG" w:eastAsia="bg-BG"/>
        </w:rPr>
        <w:t>достъпна и универсална система за класификация</w:t>
      </w:r>
      <w:r w:rsidRPr="006F3533">
        <w:rPr>
          <w:rFonts w:eastAsia="Times New Roman" w:cs="Times New Roman"/>
          <w:szCs w:val="24"/>
          <w:lang w:val="bg-BG" w:eastAsia="bg-BG"/>
        </w:rPr>
        <w:t xml:space="preserve">, която ще позволи да се постигне пълно покритие на националния сграден фонд с енергийни данни. </w:t>
      </w:r>
    </w:p>
    <w:p w14:paraId="47A9DC19"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 xml:space="preserve">След въвеждането на системата ще бъде предвидено </w:t>
      </w:r>
      <w:r w:rsidRPr="006F3533">
        <w:rPr>
          <w:rFonts w:eastAsia="Times New Roman" w:cs="Times New Roman"/>
          <w:b/>
          <w:bCs/>
          <w:szCs w:val="24"/>
          <w:lang w:val="bg-BG" w:eastAsia="bg-BG"/>
        </w:rPr>
        <w:t>задължително етикетиране на всички нежилищни сгради</w:t>
      </w:r>
      <w:r w:rsidRPr="006F3533">
        <w:rPr>
          <w:rFonts w:eastAsia="Times New Roman" w:cs="Times New Roman"/>
          <w:szCs w:val="24"/>
          <w:lang w:val="bg-BG" w:eastAsia="bg-BG"/>
        </w:rPr>
        <w:t xml:space="preserve"> в срок от три години. Без валиден сертификат или етикет сградата няма да може да бъде предмет на продажба, отдаване под наем или кандидатстване за публично финансиране.</w:t>
      </w:r>
    </w:p>
    <w:p w14:paraId="5A6D969B" w14:textId="77777777"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212" w:name="_Toc216816095"/>
      <w:bookmarkStart w:id="213" w:name="_Toc216857815"/>
      <w:bookmarkStart w:id="214" w:name="_Toc217888830"/>
      <w:r w:rsidRPr="006F3533">
        <w:rPr>
          <w:rFonts w:eastAsia="Times New Roman" w:cs="Times New Roman"/>
          <w:b/>
          <w:bCs/>
          <w:szCs w:val="24"/>
          <w:lang w:val="bg-BG" w:eastAsia="bg-BG"/>
        </w:rPr>
        <w:t>Съответствие и контрол</w:t>
      </w:r>
      <w:bookmarkEnd w:id="212"/>
      <w:bookmarkEnd w:id="213"/>
      <w:bookmarkEnd w:id="214"/>
    </w:p>
    <w:p w14:paraId="39379BE4"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Съответствието с МСЕХ ще се удостоверява чрез:</w:t>
      </w:r>
    </w:p>
    <w:p w14:paraId="25643CAB" w14:textId="77777777" w:rsidR="00B572B1" w:rsidRPr="006F3533" w:rsidRDefault="00B572B1">
      <w:pPr>
        <w:numPr>
          <w:ilvl w:val="0"/>
          <w:numId w:val="2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валиден енергиен сертификат или</w:t>
      </w:r>
    </w:p>
    <w:p w14:paraId="11782080" w14:textId="77777777" w:rsidR="00B572B1" w:rsidRPr="006F3533" w:rsidRDefault="00B572B1">
      <w:pPr>
        <w:numPr>
          <w:ilvl w:val="0"/>
          <w:numId w:val="2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регистриран етикет в националната база данни на АУЕР.</w:t>
      </w:r>
    </w:p>
    <w:p w14:paraId="488380B4" w14:textId="06277665"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 липса на съответствие или отказ от регистрация, АУЕР ще издава </w:t>
      </w:r>
      <w:r w:rsidRPr="006F3533">
        <w:rPr>
          <w:rFonts w:eastAsia="Times New Roman" w:cs="Times New Roman"/>
          <w:b/>
          <w:bCs/>
          <w:szCs w:val="24"/>
          <w:lang w:val="bg-BG" w:eastAsia="bg-BG"/>
        </w:rPr>
        <w:t>предписание за предприемане на мерки</w:t>
      </w:r>
      <w:r w:rsidRPr="006F3533">
        <w:rPr>
          <w:rFonts w:eastAsia="Times New Roman" w:cs="Times New Roman"/>
          <w:szCs w:val="24"/>
          <w:lang w:val="bg-BG" w:eastAsia="bg-BG"/>
        </w:rPr>
        <w:t xml:space="preserve"> и ще определя срок за представяне на доказателства за съответствие. При повторно неизпълнение ще се налагат </w:t>
      </w:r>
      <w:r w:rsidRPr="006F3533">
        <w:rPr>
          <w:rFonts w:eastAsia="Times New Roman" w:cs="Times New Roman"/>
          <w:b/>
          <w:bCs/>
          <w:szCs w:val="24"/>
          <w:lang w:val="bg-BG" w:eastAsia="bg-BG"/>
        </w:rPr>
        <w:t>административни санкции</w:t>
      </w:r>
      <w:r w:rsidRPr="006F3533">
        <w:rPr>
          <w:rFonts w:eastAsia="Times New Roman" w:cs="Times New Roman"/>
          <w:szCs w:val="24"/>
          <w:lang w:val="bg-BG" w:eastAsia="bg-BG"/>
        </w:rPr>
        <w:t xml:space="preserve">, включително ограничаване на достъпа до публични програми за енергийна ефективност и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xml:space="preserve">. При следващо неизпълнение ще се налагат </w:t>
      </w:r>
      <w:r w:rsidRPr="006F3533">
        <w:rPr>
          <w:rFonts w:eastAsia="Times New Roman" w:cs="Times New Roman"/>
          <w:b/>
          <w:bCs/>
          <w:szCs w:val="24"/>
          <w:lang w:val="bg-BG" w:eastAsia="bg-BG"/>
        </w:rPr>
        <w:t xml:space="preserve">финансови санкции, </w:t>
      </w:r>
      <w:r w:rsidRPr="006F3533">
        <w:rPr>
          <w:rFonts w:eastAsia="Times New Roman" w:cs="Times New Roman"/>
          <w:bCs/>
          <w:szCs w:val="24"/>
          <w:lang w:val="bg-BG" w:eastAsia="bg-BG"/>
        </w:rPr>
        <w:t>допълнително определени с наредба към ЗЕЕ</w:t>
      </w:r>
      <w:r w:rsidR="00175CFE" w:rsidRPr="006F3533">
        <w:rPr>
          <w:rFonts w:eastAsia="Times New Roman" w:cs="Times New Roman"/>
          <w:bCs/>
          <w:szCs w:val="24"/>
          <w:lang w:val="bg-BG" w:eastAsia="bg-BG"/>
        </w:rPr>
        <w:t xml:space="preserve"> и референции в ЗУТ и прилежащите подзаконови нормативни актове</w:t>
      </w:r>
      <w:r w:rsidRPr="006F3533">
        <w:rPr>
          <w:rFonts w:eastAsia="Times New Roman" w:cs="Times New Roman"/>
          <w:bCs/>
          <w:szCs w:val="24"/>
          <w:lang w:val="bg-BG" w:eastAsia="bg-BG"/>
        </w:rPr>
        <w:t>.</w:t>
      </w:r>
    </w:p>
    <w:p w14:paraId="77ED47B0" w14:textId="04CE64BF"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Мониторингът ще се осъществява чрез </w:t>
      </w:r>
      <w:r w:rsidRPr="006F3533">
        <w:rPr>
          <w:rFonts w:eastAsia="Times New Roman" w:cs="Times New Roman"/>
          <w:b/>
          <w:bCs/>
          <w:szCs w:val="24"/>
          <w:lang w:val="bg-BG" w:eastAsia="bg-BG"/>
        </w:rPr>
        <w:t>кръстосано сравнение на данните от кадастъра, общинските регистри и базата на АУЕР</w:t>
      </w:r>
      <w:r w:rsidRPr="006F3533">
        <w:rPr>
          <w:rFonts w:eastAsia="Times New Roman" w:cs="Times New Roman"/>
          <w:szCs w:val="24"/>
          <w:lang w:val="bg-BG" w:eastAsia="bg-BG"/>
        </w:rPr>
        <w:t xml:space="preserve">, с автоматизирана процедура за </w:t>
      </w:r>
      <w:r w:rsidR="00F86C53" w:rsidRPr="006F3533">
        <w:rPr>
          <w:rFonts w:eastAsia="Times New Roman" w:cs="Times New Roman"/>
          <w:szCs w:val="24"/>
          <w:lang w:val="bg-BG" w:eastAsia="bg-BG"/>
        </w:rPr>
        <w:t xml:space="preserve">идентифициране и механизъм за </w:t>
      </w:r>
      <w:r w:rsidRPr="006F3533">
        <w:rPr>
          <w:rFonts w:eastAsia="Times New Roman" w:cs="Times New Roman"/>
          <w:szCs w:val="24"/>
          <w:lang w:val="bg-BG" w:eastAsia="bg-BG"/>
        </w:rPr>
        <w:t>известяване на собствениците на сгради под минималните стандарти.</w:t>
      </w:r>
    </w:p>
    <w:p w14:paraId="64E42405" w14:textId="77777777"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215" w:name="_Toc216816096"/>
      <w:bookmarkStart w:id="216" w:name="_Toc216857816"/>
      <w:bookmarkStart w:id="217" w:name="_Toc217888831"/>
      <w:r w:rsidRPr="006F3533">
        <w:rPr>
          <w:rFonts w:eastAsia="Times New Roman" w:cs="Times New Roman"/>
          <w:b/>
          <w:bCs/>
          <w:szCs w:val="24"/>
          <w:lang w:val="bg-BG" w:eastAsia="bg-BG"/>
        </w:rPr>
        <w:t>Подкрепяща и стимулираща рамка</w:t>
      </w:r>
      <w:bookmarkEnd w:id="215"/>
      <w:bookmarkEnd w:id="216"/>
      <w:bookmarkEnd w:id="217"/>
    </w:p>
    <w:p w14:paraId="1F46C20A"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Прилагането на МСЕХ ще бъде придружено от </w:t>
      </w:r>
      <w:r w:rsidRPr="006F3533">
        <w:rPr>
          <w:rFonts w:eastAsia="Times New Roman" w:cs="Times New Roman"/>
          <w:b/>
          <w:bCs/>
          <w:szCs w:val="24"/>
          <w:lang w:val="bg-BG" w:eastAsia="bg-BG"/>
        </w:rPr>
        <w:t>пакет от мерки за подкрепа</w:t>
      </w:r>
      <w:r w:rsidRPr="006F3533">
        <w:rPr>
          <w:rFonts w:eastAsia="Times New Roman" w:cs="Times New Roman"/>
          <w:szCs w:val="24"/>
          <w:lang w:val="bg-BG" w:eastAsia="bg-BG"/>
        </w:rPr>
        <w:t>, включително:</w:t>
      </w:r>
    </w:p>
    <w:p w14:paraId="788EB486" w14:textId="77777777" w:rsidR="00B572B1" w:rsidRPr="006F3533" w:rsidRDefault="00B572B1">
      <w:pPr>
        <w:numPr>
          <w:ilvl w:val="0"/>
          <w:numId w:val="29"/>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финансови стимули</w:t>
      </w:r>
      <w:r w:rsidRPr="006F3533">
        <w:rPr>
          <w:rFonts w:eastAsia="Times New Roman" w:cs="Times New Roman"/>
          <w:szCs w:val="24"/>
          <w:lang w:val="bg-BG" w:eastAsia="bg-BG"/>
        </w:rPr>
        <w:t xml:space="preserve"> за сгради под минималния праг (грантове, нисколихвени кредити, данъчни облекчения);</w:t>
      </w:r>
    </w:p>
    <w:p w14:paraId="15B0700B" w14:textId="0F6F5D58" w:rsidR="00B572B1" w:rsidRPr="006F3533" w:rsidRDefault="00B572B1">
      <w:pPr>
        <w:numPr>
          <w:ilvl w:val="0"/>
          <w:numId w:val="29"/>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техническа помощ</w:t>
      </w:r>
      <w:r w:rsidRPr="006F3533">
        <w:rPr>
          <w:rFonts w:eastAsia="Times New Roman" w:cs="Times New Roman"/>
          <w:szCs w:val="24"/>
          <w:lang w:val="bg-BG" w:eastAsia="bg-BG"/>
        </w:rPr>
        <w:t xml:space="preserve"> чрез Центровете за комплексно обслужване (ЦКО), предлагащи </w:t>
      </w:r>
      <w:r w:rsidR="00F86C53" w:rsidRPr="006F3533">
        <w:rPr>
          <w:rFonts w:eastAsia="Times New Roman" w:cs="Times New Roman"/>
          <w:szCs w:val="24"/>
          <w:lang w:val="bg-BG" w:eastAsia="bg-BG"/>
        </w:rPr>
        <w:t xml:space="preserve">етикетиране, </w:t>
      </w:r>
      <w:r w:rsidRPr="006F3533">
        <w:rPr>
          <w:rFonts w:eastAsia="Times New Roman" w:cs="Times New Roman"/>
          <w:szCs w:val="24"/>
          <w:lang w:val="bg-BG" w:eastAsia="bg-BG"/>
        </w:rPr>
        <w:t>консултации и оценка на възможните решения</w:t>
      </w:r>
      <w:r w:rsidR="00F86C53" w:rsidRPr="006F3533">
        <w:rPr>
          <w:rFonts w:eastAsia="Times New Roman" w:cs="Times New Roman"/>
          <w:szCs w:val="24"/>
          <w:lang w:val="bg-BG" w:eastAsia="bg-BG"/>
        </w:rPr>
        <w:t>, както</w:t>
      </w:r>
      <w:r w:rsidRPr="006F3533">
        <w:rPr>
          <w:rFonts w:eastAsia="Times New Roman" w:cs="Times New Roman"/>
          <w:szCs w:val="24"/>
          <w:lang w:val="bg-BG" w:eastAsia="bg-BG"/>
        </w:rPr>
        <w:t xml:space="preserve"> и паспорти/пътни карти за сградно обновяване;</w:t>
      </w:r>
    </w:p>
    <w:p w14:paraId="6CCE6117" w14:textId="0287C17B" w:rsidR="00B572B1" w:rsidRPr="006F3533" w:rsidRDefault="00B572B1" w:rsidP="00F86C53">
      <w:pPr>
        <w:numPr>
          <w:ilvl w:val="0"/>
          <w:numId w:val="29"/>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комуникационна кампания</w:t>
      </w:r>
      <w:r w:rsidRPr="006F3533">
        <w:rPr>
          <w:rFonts w:eastAsia="Times New Roman" w:cs="Times New Roman"/>
          <w:szCs w:val="24"/>
          <w:lang w:val="bg-BG" w:eastAsia="bg-BG"/>
        </w:rPr>
        <w:t xml:space="preserve"> с ясни указания, графици и примери за прилагане по типове сгради.</w:t>
      </w:r>
    </w:p>
    <w:p w14:paraId="446F99FA" w14:textId="77777777" w:rsidR="00B572B1" w:rsidRPr="006F3533" w:rsidRDefault="00B572B1" w:rsidP="00077D42">
      <w:pPr>
        <w:spacing w:before="100" w:beforeAutospacing="1" w:after="100" w:afterAutospacing="1" w:line="240" w:lineRule="auto"/>
        <w:jc w:val="both"/>
        <w:outlineLvl w:val="2"/>
        <w:rPr>
          <w:rFonts w:eastAsia="Times New Roman" w:cs="Times New Roman"/>
          <w:b/>
          <w:bCs/>
          <w:szCs w:val="24"/>
          <w:lang w:val="bg-BG" w:eastAsia="bg-BG"/>
        </w:rPr>
      </w:pPr>
      <w:bookmarkStart w:id="218" w:name="_Toc216816097"/>
      <w:bookmarkStart w:id="219" w:name="_Toc216857817"/>
      <w:bookmarkStart w:id="220" w:name="_Toc217888832"/>
      <w:r w:rsidRPr="006F3533">
        <w:rPr>
          <w:rFonts w:eastAsia="Times New Roman" w:cs="Times New Roman"/>
          <w:b/>
          <w:bCs/>
          <w:szCs w:val="24"/>
          <w:lang w:val="bg-BG" w:eastAsia="bg-BG"/>
        </w:rPr>
        <w:t>График и контролен механизъм</w:t>
      </w:r>
      <w:bookmarkEnd w:id="218"/>
      <w:bookmarkEnd w:id="219"/>
      <w:bookmarkEnd w:id="220"/>
    </w:p>
    <w:p w14:paraId="0872F7F2"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съответствие с изискванията на член 9(1) от ДЕХС:</w:t>
      </w:r>
    </w:p>
    <w:p w14:paraId="3D9EB683" w14:textId="77777777" w:rsidR="00B572B1" w:rsidRPr="006F3533" w:rsidRDefault="00B572B1">
      <w:pPr>
        <w:numPr>
          <w:ilvl w:val="0"/>
          <w:numId w:val="30"/>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до </w:t>
      </w:r>
      <w:r w:rsidRPr="006F3533">
        <w:rPr>
          <w:rFonts w:eastAsia="Times New Roman" w:cs="Times New Roman"/>
          <w:b/>
          <w:bCs/>
          <w:szCs w:val="24"/>
          <w:lang w:val="bg-BG" w:eastAsia="bg-BG"/>
        </w:rPr>
        <w:t>1 януари 2030 г.</w:t>
      </w:r>
      <w:r w:rsidRPr="006F3533">
        <w:rPr>
          <w:rFonts w:eastAsia="Times New Roman" w:cs="Times New Roman"/>
          <w:szCs w:val="24"/>
          <w:lang w:val="bg-BG" w:eastAsia="bg-BG"/>
        </w:rPr>
        <w:t xml:space="preserve"> – всички нежилищни сгради трябва да достигнат поне клас Е;</w:t>
      </w:r>
    </w:p>
    <w:p w14:paraId="0CCC90E4" w14:textId="77777777" w:rsidR="00B572B1" w:rsidRPr="006F3533" w:rsidRDefault="00B572B1">
      <w:pPr>
        <w:numPr>
          <w:ilvl w:val="0"/>
          <w:numId w:val="30"/>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до </w:t>
      </w:r>
      <w:r w:rsidRPr="006F3533">
        <w:rPr>
          <w:rFonts w:eastAsia="Times New Roman" w:cs="Times New Roman"/>
          <w:b/>
          <w:bCs/>
          <w:szCs w:val="24"/>
          <w:lang w:val="bg-BG" w:eastAsia="bg-BG"/>
        </w:rPr>
        <w:t>1 януари 2033 г.</w:t>
      </w:r>
      <w:r w:rsidRPr="006F3533">
        <w:rPr>
          <w:rFonts w:eastAsia="Times New Roman" w:cs="Times New Roman"/>
          <w:szCs w:val="24"/>
          <w:lang w:val="bg-BG" w:eastAsia="bg-BG"/>
        </w:rPr>
        <w:t xml:space="preserve"> – всички нежилищни сгради трябва да достигнат най-малко клас D;</w:t>
      </w:r>
    </w:p>
    <w:p w14:paraId="1EDF3161" w14:textId="77777777" w:rsidR="00B572B1" w:rsidRPr="006F3533" w:rsidRDefault="00B572B1">
      <w:pPr>
        <w:numPr>
          <w:ilvl w:val="0"/>
          <w:numId w:val="30"/>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след 2033 г. – АУЕР ще актуализира праговете в съответствие с националната траектория за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xml:space="preserve"> и наличните данни от системата за етикетиране.</w:t>
      </w:r>
    </w:p>
    <w:p w14:paraId="737612B4" w14:textId="77777777" w:rsidR="00B572B1" w:rsidRPr="006F3533" w:rsidRDefault="00B572B1"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 xml:space="preserve">АУЕР ще изготвя </w:t>
      </w:r>
      <w:r w:rsidRPr="006F3533">
        <w:rPr>
          <w:rFonts w:eastAsia="Times New Roman" w:cs="Times New Roman"/>
          <w:b/>
          <w:bCs/>
          <w:szCs w:val="24"/>
          <w:lang w:val="bg-BG" w:eastAsia="bg-BG"/>
        </w:rPr>
        <w:t>годишен доклад за съответствие</w:t>
      </w:r>
      <w:r w:rsidRPr="006F3533">
        <w:rPr>
          <w:rFonts w:eastAsia="Times New Roman" w:cs="Times New Roman"/>
          <w:szCs w:val="24"/>
          <w:lang w:val="bg-BG" w:eastAsia="bg-BG"/>
        </w:rPr>
        <w:t>, включващ:</w:t>
      </w:r>
    </w:p>
    <w:p w14:paraId="13B873A3" w14:textId="446DEACD" w:rsidR="00B572B1" w:rsidRPr="006F3533" w:rsidRDefault="00B572B1">
      <w:pPr>
        <w:numPr>
          <w:ilvl w:val="0"/>
          <w:numId w:val="31"/>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дял на </w:t>
      </w:r>
      <w:r w:rsidR="00F86C53" w:rsidRPr="006F3533">
        <w:rPr>
          <w:rFonts w:eastAsia="Times New Roman" w:cs="Times New Roman"/>
          <w:szCs w:val="24"/>
          <w:lang w:val="bg-BG" w:eastAsia="bg-BG"/>
        </w:rPr>
        <w:t xml:space="preserve">нежилищните </w:t>
      </w:r>
      <w:r w:rsidRPr="006F3533">
        <w:rPr>
          <w:rFonts w:eastAsia="Times New Roman" w:cs="Times New Roman"/>
          <w:szCs w:val="24"/>
          <w:lang w:val="bg-BG" w:eastAsia="bg-BG"/>
        </w:rPr>
        <w:t>сгради с валиден етикет или сертификат</w:t>
      </w:r>
      <w:r w:rsidR="00F86C53" w:rsidRPr="006F3533">
        <w:rPr>
          <w:rFonts w:eastAsia="Times New Roman" w:cs="Times New Roman"/>
          <w:szCs w:val="24"/>
          <w:lang w:val="bg-BG" w:eastAsia="bg-BG"/>
        </w:rPr>
        <w:t xml:space="preserve"> по типове</w:t>
      </w:r>
      <w:r w:rsidRPr="006F3533">
        <w:rPr>
          <w:rFonts w:eastAsia="Times New Roman" w:cs="Times New Roman"/>
          <w:szCs w:val="24"/>
          <w:lang w:val="bg-BG" w:eastAsia="bg-BG"/>
        </w:rPr>
        <w:t>;</w:t>
      </w:r>
    </w:p>
    <w:p w14:paraId="2638EB97" w14:textId="77777777" w:rsidR="00B572B1" w:rsidRPr="006F3533" w:rsidRDefault="00B572B1">
      <w:pPr>
        <w:numPr>
          <w:ilvl w:val="0"/>
          <w:numId w:val="31"/>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дял на съответстващите на минималните стандарти;</w:t>
      </w:r>
    </w:p>
    <w:p w14:paraId="70B2BC3F" w14:textId="77777777" w:rsidR="00B572B1" w:rsidRPr="006F3533" w:rsidRDefault="00B572B1">
      <w:pPr>
        <w:numPr>
          <w:ilvl w:val="0"/>
          <w:numId w:val="31"/>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оценка на постигнатите енергийни спестявания и емисионен ефект.</w:t>
      </w:r>
    </w:p>
    <w:p w14:paraId="396A6455" w14:textId="77777777" w:rsidR="00E66354" w:rsidRPr="006F3533" w:rsidRDefault="00B572B1" w:rsidP="00E66354">
      <w:pPr>
        <w:spacing w:before="100" w:beforeAutospacing="1" w:after="100" w:afterAutospacing="1" w:line="240" w:lineRule="auto"/>
        <w:jc w:val="both"/>
        <w:rPr>
          <w:rFonts w:eastAsia="Times New Roman" w:cs="Times New Roman"/>
          <w:szCs w:val="24"/>
          <w:lang w:val="bg-BG" w:eastAsia="bg-BG"/>
        </w:rPr>
        <w:sectPr w:rsidR="00E66354" w:rsidRPr="006F3533" w:rsidSect="00B572B1">
          <w:pgSz w:w="11906" w:h="16838"/>
          <w:pgMar w:top="1417" w:right="1417" w:bottom="1417" w:left="1417" w:header="708" w:footer="708" w:gutter="0"/>
          <w:cols w:space="708"/>
          <w:docGrid w:linePitch="360"/>
        </w:sectPr>
      </w:pPr>
      <w:r w:rsidRPr="006F3533">
        <w:rPr>
          <w:rFonts w:eastAsia="Times New Roman" w:cs="Times New Roman"/>
          <w:szCs w:val="24"/>
          <w:lang w:val="bg-BG" w:eastAsia="bg-BG"/>
        </w:rPr>
        <w:t xml:space="preserve">Чрез въвеждането на комбинирана система от </w:t>
      </w:r>
      <w:r w:rsidRPr="006F3533">
        <w:rPr>
          <w:rFonts w:eastAsia="Times New Roman" w:cs="Times New Roman"/>
          <w:b/>
          <w:bCs/>
          <w:szCs w:val="24"/>
          <w:lang w:val="bg-BG" w:eastAsia="bg-BG"/>
        </w:rPr>
        <w:t>енергийно сертифициране и достъпно етикетиране</w:t>
      </w:r>
      <w:r w:rsidRPr="006F3533">
        <w:rPr>
          <w:rFonts w:eastAsia="Times New Roman" w:cs="Times New Roman"/>
          <w:szCs w:val="24"/>
          <w:lang w:val="bg-BG" w:eastAsia="bg-BG"/>
        </w:rPr>
        <w:t xml:space="preserve">, България ще може да гарантира реално прилагане на минималните стандарти за енергийни характеристики, като обхване целия нежилищен сграден фонд и осигури ясна, справедлива и приложима рамка за постигане на националните цели за енергийна ефективност и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w:t>
      </w:r>
    </w:p>
    <w:tbl>
      <w:tblPr>
        <w:tblStyle w:val="GridTable5Dark-Accent1"/>
        <w:tblW w:w="14029" w:type="dxa"/>
        <w:tblLayout w:type="fixed"/>
        <w:tblLook w:val="04A0" w:firstRow="1" w:lastRow="0" w:firstColumn="1" w:lastColumn="0" w:noHBand="0" w:noVBand="1"/>
      </w:tblPr>
      <w:tblGrid>
        <w:gridCol w:w="481"/>
        <w:gridCol w:w="2491"/>
        <w:gridCol w:w="2835"/>
        <w:gridCol w:w="2126"/>
        <w:gridCol w:w="1560"/>
        <w:gridCol w:w="1701"/>
        <w:gridCol w:w="1842"/>
        <w:gridCol w:w="993"/>
      </w:tblGrid>
      <w:tr w:rsidR="00E66354" w:rsidRPr="006F3533" w14:paraId="368F3A86" w14:textId="77777777" w:rsidTr="00E663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62A4D65A"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lastRenderedPageBreak/>
              <w:t>№</w:t>
            </w:r>
          </w:p>
        </w:tc>
        <w:tc>
          <w:tcPr>
            <w:tcW w:w="2491" w:type="dxa"/>
            <w:hideMark/>
          </w:tcPr>
          <w:p w14:paraId="68C02757" w14:textId="77777777" w:rsidR="00E66354" w:rsidRPr="006F3533" w:rsidRDefault="00E66354" w:rsidP="00E66354">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Реформа / мярка</w:t>
            </w:r>
          </w:p>
        </w:tc>
        <w:tc>
          <w:tcPr>
            <w:tcW w:w="2835" w:type="dxa"/>
            <w:hideMark/>
          </w:tcPr>
          <w:p w14:paraId="2EB21CFB" w14:textId="77777777" w:rsidR="00E66354" w:rsidRPr="006F3533" w:rsidRDefault="00E66354" w:rsidP="00E66354">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Съдържание на реформата</w:t>
            </w:r>
          </w:p>
        </w:tc>
        <w:tc>
          <w:tcPr>
            <w:tcW w:w="2126" w:type="dxa"/>
            <w:hideMark/>
          </w:tcPr>
          <w:p w14:paraId="020EA400" w14:textId="77777777" w:rsidR="00E66354" w:rsidRPr="006F3533" w:rsidRDefault="00E66354" w:rsidP="00E66354">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Нормативни актове за изменение / допълване</w:t>
            </w:r>
          </w:p>
        </w:tc>
        <w:tc>
          <w:tcPr>
            <w:tcW w:w="1560" w:type="dxa"/>
            <w:hideMark/>
          </w:tcPr>
          <w:p w14:paraId="06B64D2D" w14:textId="77777777" w:rsidR="00E66354" w:rsidRPr="006F3533" w:rsidRDefault="00E66354" w:rsidP="00E66354">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Водеща институция</w:t>
            </w:r>
          </w:p>
        </w:tc>
        <w:tc>
          <w:tcPr>
            <w:tcW w:w="1701" w:type="dxa"/>
            <w:hideMark/>
          </w:tcPr>
          <w:p w14:paraId="1ABB5B2B" w14:textId="77777777" w:rsidR="00E66354" w:rsidRPr="006F3533" w:rsidRDefault="00E66354" w:rsidP="00E66354">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Участващи институции</w:t>
            </w:r>
          </w:p>
        </w:tc>
        <w:tc>
          <w:tcPr>
            <w:tcW w:w="1842" w:type="dxa"/>
            <w:hideMark/>
          </w:tcPr>
          <w:p w14:paraId="20A54459" w14:textId="77777777" w:rsidR="00E66354" w:rsidRPr="006F3533" w:rsidRDefault="00E66354" w:rsidP="00E66354">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Източници на финансиране</w:t>
            </w:r>
          </w:p>
        </w:tc>
        <w:tc>
          <w:tcPr>
            <w:tcW w:w="993" w:type="dxa"/>
            <w:hideMark/>
          </w:tcPr>
          <w:p w14:paraId="7F3BDCB6" w14:textId="77777777" w:rsidR="00E66354" w:rsidRPr="006F3533" w:rsidRDefault="00E66354" w:rsidP="00E66354">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Срок</w:t>
            </w:r>
          </w:p>
        </w:tc>
      </w:tr>
      <w:tr w:rsidR="00E66354" w:rsidRPr="006F3533" w14:paraId="3BFFE578" w14:textId="77777777" w:rsidTr="00E66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2FC5076A"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1</w:t>
            </w:r>
          </w:p>
        </w:tc>
        <w:tc>
          <w:tcPr>
            <w:tcW w:w="2491" w:type="dxa"/>
            <w:hideMark/>
          </w:tcPr>
          <w:p w14:paraId="34BA3417"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Въвеждане на национални минимални стандарти за енергийни характеристики (МСЕХ)</w:t>
            </w:r>
          </w:p>
        </w:tc>
        <w:tc>
          <w:tcPr>
            <w:tcW w:w="2835" w:type="dxa"/>
            <w:hideMark/>
          </w:tcPr>
          <w:p w14:paraId="666D343D"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Законодателно въвеждане на задължителни минимални енергийни класове за най-слабо представящия се сегмент от нежилищния сграден фонд (клас E до 2030 г.; клас D до 2033 г.), включително правомощия за актуализация на праговете</w:t>
            </w:r>
          </w:p>
        </w:tc>
        <w:tc>
          <w:tcPr>
            <w:tcW w:w="2126" w:type="dxa"/>
            <w:hideMark/>
          </w:tcPr>
          <w:p w14:paraId="0679F8DB"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t>Закон за енергийната ефективност (ЗЕЕ)</w:t>
            </w:r>
            <w:r w:rsidRPr="006F3533">
              <w:rPr>
                <w:rFonts w:eastAsia="Times New Roman" w:cs="Times New Roman"/>
                <w:sz w:val="22"/>
                <w:lang w:eastAsia="bg-BG"/>
              </w:rPr>
              <w:t xml:space="preserve"> – нови/изменени разпоредби за МСЕХ и срокове</w:t>
            </w:r>
          </w:p>
        </w:tc>
        <w:tc>
          <w:tcPr>
            <w:tcW w:w="1560" w:type="dxa"/>
            <w:hideMark/>
          </w:tcPr>
          <w:p w14:paraId="104CA43B"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МЕ</w:t>
            </w:r>
          </w:p>
        </w:tc>
        <w:tc>
          <w:tcPr>
            <w:tcW w:w="1701" w:type="dxa"/>
            <w:hideMark/>
          </w:tcPr>
          <w:p w14:paraId="67452786"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АУЕР, МРРБ</w:t>
            </w:r>
          </w:p>
        </w:tc>
        <w:tc>
          <w:tcPr>
            <w:tcW w:w="1842" w:type="dxa"/>
            <w:hideMark/>
          </w:tcPr>
          <w:p w14:paraId="630A3371"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Държавен бюджет</w:t>
            </w:r>
          </w:p>
        </w:tc>
        <w:tc>
          <w:tcPr>
            <w:tcW w:w="993" w:type="dxa"/>
            <w:hideMark/>
          </w:tcPr>
          <w:p w14:paraId="1964683F"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 г.</w:t>
            </w:r>
          </w:p>
        </w:tc>
      </w:tr>
      <w:tr w:rsidR="00E66354" w:rsidRPr="006F3533" w14:paraId="34CE51B8" w14:textId="77777777" w:rsidTr="00E66354">
        <w:tc>
          <w:tcPr>
            <w:cnfStyle w:val="001000000000" w:firstRow="0" w:lastRow="0" w:firstColumn="1" w:lastColumn="0" w:oddVBand="0" w:evenVBand="0" w:oddHBand="0" w:evenHBand="0" w:firstRowFirstColumn="0" w:firstRowLastColumn="0" w:lastRowFirstColumn="0" w:lastRowLastColumn="0"/>
            <w:tcW w:w="481" w:type="dxa"/>
            <w:hideMark/>
          </w:tcPr>
          <w:p w14:paraId="6313095A"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2</w:t>
            </w:r>
          </w:p>
        </w:tc>
        <w:tc>
          <w:tcPr>
            <w:tcW w:w="2491" w:type="dxa"/>
            <w:hideMark/>
          </w:tcPr>
          <w:p w14:paraId="6C5ABCF3" w14:textId="606A0DA3"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Законово определяне на гранични стойности и методология за МСЕХ</w:t>
            </w:r>
          </w:p>
        </w:tc>
        <w:tc>
          <w:tcPr>
            <w:tcW w:w="2835" w:type="dxa"/>
            <w:hideMark/>
          </w:tcPr>
          <w:p w14:paraId="700FAEC2" w14:textId="15D1045B"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Законово определяне на гранични стойности на потребление на първична енергия по типове нежилищни сгради, съгласно съществуващите регламенти</w:t>
            </w:r>
          </w:p>
        </w:tc>
        <w:tc>
          <w:tcPr>
            <w:tcW w:w="2126" w:type="dxa"/>
            <w:hideMark/>
          </w:tcPr>
          <w:p w14:paraId="24B04BAE"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t>Наредба № РД-02-20-3 от 09.11.2022 г.</w:t>
            </w:r>
            <w:r w:rsidRPr="006F3533">
              <w:rPr>
                <w:rFonts w:eastAsia="Times New Roman" w:cs="Times New Roman"/>
                <w:sz w:val="22"/>
                <w:lang w:eastAsia="bg-BG"/>
              </w:rPr>
              <w:t xml:space="preserve"> – допълване с изрична връзка към МСЕХ</w:t>
            </w:r>
          </w:p>
        </w:tc>
        <w:tc>
          <w:tcPr>
            <w:tcW w:w="1560" w:type="dxa"/>
            <w:hideMark/>
          </w:tcPr>
          <w:p w14:paraId="1A5407CA"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МРРБ</w:t>
            </w:r>
          </w:p>
        </w:tc>
        <w:tc>
          <w:tcPr>
            <w:tcW w:w="1701" w:type="dxa"/>
            <w:hideMark/>
          </w:tcPr>
          <w:p w14:paraId="24BB7EFD"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АУЕР, МЕ</w:t>
            </w:r>
          </w:p>
        </w:tc>
        <w:tc>
          <w:tcPr>
            <w:tcW w:w="1842" w:type="dxa"/>
            <w:hideMark/>
          </w:tcPr>
          <w:p w14:paraId="48038900"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Държавен бюджет</w:t>
            </w:r>
          </w:p>
        </w:tc>
        <w:tc>
          <w:tcPr>
            <w:tcW w:w="993" w:type="dxa"/>
            <w:hideMark/>
          </w:tcPr>
          <w:p w14:paraId="4AAB9DB7"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 г.</w:t>
            </w:r>
          </w:p>
        </w:tc>
      </w:tr>
      <w:tr w:rsidR="00E66354" w:rsidRPr="006F3533" w14:paraId="19734EEE" w14:textId="77777777" w:rsidTr="00E66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6A21CA52"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3</w:t>
            </w:r>
          </w:p>
        </w:tc>
        <w:tc>
          <w:tcPr>
            <w:tcW w:w="2491" w:type="dxa"/>
            <w:hideMark/>
          </w:tcPr>
          <w:p w14:paraId="2D5B9AC2"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Въвеждане на система за опростено енергийно етикетиране</w:t>
            </w:r>
          </w:p>
        </w:tc>
        <w:tc>
          <w:tcPr>
            <w:tcW w:w="2835" w:type="dxa"/>
            <w:hideMark/>
          </w:tcPr>
          <w:p w14:paraId="2E4CDEB1"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Създаване на опростена процедура за предварително определяне на енергиен клас на нежилищни сгради въз основа на ограничен набор от входни данни, с цел идентификация на сгради под МСЕХ</w:t>
            </w:r>
          </w:p>
        </w:tc>
        <w:tc>
          <w:tcPr>
            <w:tcW w:w="2126" w:type="dxa"/>
            <w:hideMark/>
          </w:tcPr>
          <w:p w14:paraId="5607FA73"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t>ЗЕЕ</w:t>
            </w:r>
            <w:r w:rsidRPr="006F3533">
              <w:rPr>
                <w:rFonts w:eastAsia="Times New Roman" w:cs="Times New Roman"/>
                <w:sz w:val="22"/>
                <w:lang w:eastAsia="bg-BG"/>
              </w:rPr>
              <w:t xml:space="preserve"> – правно основание за „енергиен етикет“; </w:t>
            </w:r>
            <w:r w:rsidRPr="006F3533">
              <w:rPr>
                <w:rFonts w:eastAsia="Times New Roman" w:cs="Times New Roman"/>
                <w:b/>
                <w:bCs/>
                <w:sz w:val="22"/>
                <w:lang w:eastAsia="bg-BG"/>
              </w:rPr>
              <w:t>Наредба № Е-РД-04-2 от 16.12.2022 г.</w:t>
            </w:r>
            <w:r w:rsidRPr="006F3533">
              <w:rPr>
                <w:rFonts w:eastAsia="Times New Roman" w:cs="Times New Roman"/>
                <w:sz w:val="22"/>
                <w:lang w:eastAsia="bg-BG"/>
              </w:rPr>
              <w:t xml:space="preserve"> – нов раздел за опростено етикетиране</w:t>
            </w:r>
          </w:p>
        </w:tc>
        <w:tc>
          <w:tcPr>
            <w:tcW w:w="1560" w:type="dxa"/>
            <w:hideMark/>
          </w:tcPr>
          <w:p w14:paraId="0B1FF8EE"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АУЕР</w:t>
            </w:r>
          </w:p>
        </w:tc>
        <w:tc>
          <w:tcPr>
            <w:tcW w:w="1701" w:type="dxa"/>
            <w:hideMark/>
          </w:tcPr>
          <w:p w14:paraId="649D6C32"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МЕ, МРРБ</w:t>
            </w:r>
          </w:p>
        </w:tc>
        <w:tc>
          <w:tcPr>
            <w:tcW w:w="1842" w:type="dxa"/>
            <w:hideMark/>
          </w:tcPr>
          <w:p w14:paraId="064C9AAD" w14:textId="3C02AC6E"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Проекти по програма LIFE и програма Конкурентоспособност и иновации в предприятията</w:t>
            </w:r>
          </w:p>
        </w:tc>
        <w:tc>
          <w:tcPr>
            <w:tcW w:w="993" w:type="dxa"/>
            <w:hideMark/>
          </w:tcPr>
          <w:p w14:paraId="43D69086" w14:textId="2FD2459C"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2026-2027 г.</w:t>
            </w:r>
          </w:p>
        </w:tc>
      </w:tr>
      <w:tr w:rsidR="00E66354" w:rsidRPr="006F3533" w14:paraId="385AE9F4" w14:textId="77777777" w:rsidTr="00E66354">
        <w:tc>
          <w:tcPr>
            <w:cnfStyle w:val="001000000000" w:firstRow="0" w:lastRow="0" w:firstColumn="1" w:lastColumn="0" w:oddVBand="0" w:evenVBand="0" w:oddHBand="0" w:evenHBand="0" w:firstRowFirstColumn="0" w:firstRowLastColumn="0" w:lastRowFirstColumn="0" w:lastRowLastColumn="0"/>
            <w:tcW w:w="481" w:type="dxa"/>
            <w:hideMark/>
          </w:tcPr>
          <w:p w14:paraId="77A7C9AA"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4</w:t>
            </w:r>
          </w:p>
        </w:tc>
        <w:tc>
          <w:tcPr>
            <w:tcW w:w="2491" w:type="dxa"/>
            <w:hideMark/>
          </w:tcPr>
          <w:p w14:paraId="7AF06A5A"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Дигитализация на регистрите и интеграция на данните</w:t>
            </w:r>
          </w:p>
        </w:tc>
        <w:tc>
          <w:tcPr>
            <w:tcW w:w="2835" w:type="dxa"/>
            <w:hideMark/>
          </w:tcPr>
          <w:p w14:paraId="742CF89A"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 xml:space="preserve">Разширяване на националния регистър на енергийните характеристики с </w:t>
            </w:r>
            <w:r w:rsidRPr="006F3533">
              <w:rPr>
                <w:rFonts w:eastAsia="Times New Roman" w:cs="Times New Roman"/>
                <w:sz w:val="22"/>
                <w:lang w:eastAsia="bg-BG"/>
              </w:rPr>
              <w:lastRenderedPageBreak/>
              <w:t>енергийни етикети; автоматизиран обмен на данни с кадастъра и общинските регистри</w:t>
            </w:r>
          </w:p>
        </w:tc>
        <w:tc>
          <w:tcPr>
            <w:tcW w:w="2126" w:type="dxa"/>
            <w:hideMark/>
          </w:tcPr>
          <w:p w14:paraId="7C4A1A29"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lastRenderedPageBreak/>
              <w:t>Наредба № Е-РД-04-1 от 03.01.2018 г.</w:t>
            </w:r>
            <w:r w:rsidRPr="006F3533">
              <w:rPr>
                <w:rFonts w:eastAsia="Times New Roman" w:cs="Times New Roman"/>
                <w:sz w:val="22"/>
                <w:lang w:eastAsia="bg-BG"/>
              </w:rPr>
              <w:t xml:space="preserve"> – допълване на регистрите по ЗЕЕ</w:t>
            </w:r>
          </w:p>
        </w:tc>
        <w:tc>
          <w:tcPr>
            <w:tcW w:w="1560" w:type="dxa"/>
            <w:hideMark/>
          </w:tcPr>
          <w:p w14:paraId="41DA9E97"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АУЕР</w:t>
            </w:r>
          </w:p>
        </w:tc>
        <w:tc>
          <w:tcPr>
            <w:tcW w:w="1701" w:type="dxa"/>
            <w:hideMark/>
          </w:tcPr>
          <w:p w14:paraId="7B02DEE5"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АГКК, общини</w:t>
            </w:r>
          </w:p>
        </w:tc>
        <w:tc>
          <w:tcPr>
            <w:tcW w:w="1842" w:type="dxa"/>
            <w:hideMark/>
          </w:tcPr>
          <w:p w14:paraId="382DE171"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ЕС фондове; държавен бюджет</w:t>
            </w:r>
          </w:p>
        </w:tc>
        <w:tc>
          <w:tcPr>
            <w:tcW w:w="993" w:type="dxa"/>
            <w:hideMark/>
          </w:tcPr>
          <w:p w14:paraId="532E7568" w14:textId="52420698"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2026-2028 г.</w:t>
            </w:r>
          </w:p>
        </w:tc>
      </w:tr>
      <w:tr w:rsidR="00E66354" w:rsidRPr="006F3533" w14:paraId="6F1203DE" w14:textId="77777777" w:rsidTr="00E66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12CE00F2"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5</w:t>
            </w:r>
          </w:p>
        </w:tc>
        <w:tc>
          <w:tcPr>
            <w:tcW w:w="2491" w:type="dxa"/>
            <w:hideMark/>
          </w:tcPr>
          <w:p w14:paraId="04070C73"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Задължително етикетиране/сертифициране на нежилищни сгради</w:t>
            </w:r>
          </w:p>
        </w:tc>
        <w:tc>
          <w:tcPr>
            <w:tcW w:w="2835" w:type="dxa"/>
            <w:hideMark/>
          </w:tcPr>
          <w:p w14:paraId="1D7544A9"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Въвеждане на задължение всички нежилищни сгради да притежават валиден енергиен сертификат или регистриран енергиен етикет</w:t>
            </w:r>
          </w:p>
        </w:tc>
        <w:tc>
          <w:tcPr>
            <w:tcW w:w="2126" w:type="dxa"/>
            <w:hideMark/>
          </w:tcPr>
          <w:p w14:paraId="36D7D9AB"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t>ЗЕЕ</w:t>
            </w:r>
            <w:r w:rsidRPr="006F3533">
              <w:rPr>
                <w:rFonts w:eastAsia="Times New Roman" w:cs="Times New Roman"/>
                <w:sz w:val="22"/>
                <w:lang w:eastAsia="bg-BG"/>
              </w:rPr>
              <w:t xml:space="preserve"> – разширяване на задълженията за обхват и срокове</w:t>
            </w:r>
          </w:p>
        </w:tc>
        <w:tc>
          <w:tcPr>
            <w:tcW w:w="1560" w:type="dxa"/>
            <w:hideMark/>
          </w:tcPr>
          <w:p w14:paraId="11C63989"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МЕ</w:t>
            </w:r>
          </w:p>
        </w:tc>
        <w:tc>
          <w:tcPr>
            <w:tcW w:w="1701" w:type="dxa"/>
            <w:hideMark/>
          </w:tcPr>
          <w:p w14:paraId="7C99EA06"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АУЕР, общини</w:t>
            </w:r>
          </w:p>
        </w:tc>
        <w:tc>
          <w:tcPr>
            <w:tcW w:w="1842" w:type="dxa"/>
            <w:hideMark/>
          </w:tcPr>
          <w:p w14:paraId="37B3DD4B"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Частни средства; публична подкрепа за етикетиране</w:t>
            </w:r>
          </w:p>
        </w:tc>
        <w:tc>
          <w:tcPr>
            <w:tcW w:w="993" w:type="dxa"/>
            <w:hideMark/>
          </w:tcPr>
          <w:p w14:paraId="0A3D5C7E"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До 2029 г.</w:t>
            </w:r>
          </w:p>
        </w:tc>
      </w:tr>
      <w:tr w:rsidR="00E66354" w:rsidRPr="006F3533" w14:paraId="78C9FC60" w14:textId="77777777" w:rsidTr="00E66354">
        <w:tc>
          <w:tcPr>
            <w:cnfStyle w:val="001000000000" w:firstRow="0" w:lastRow="0" w:firstColumn="1" w:lastColumn="0" w:oddVBand="0" w:evenVBand="0" w:oddHBand="0" w:evenHBand="0" w:firstRowFirstColumn="0" w:firstRowLastColumn="0" w:lastRowFirstColumn="0" w:lastRowLastColumn="0"/>
            <w:tcW w:w="481" w:type="dxa"/>
            <w:hideMark/>
          </w:tcPr>
          <w:p w14:paraId="212B6166"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6</w:t>
            </w:r>
          </w:p>
        </w:tc>
        <w:tc>
          <w:tcPr>
            <w:tcW w:w="2491" w:type="dxa"/>
            <w:hideMark/>
          </w:tcPr>
          <w:p w14:paraId="18444260"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Обвързване на МСЕХ с основен ремонт и публично финансиране</w:t>
            </w:r>
          </w:p>
        </w:tc>
        <w:tc>
          <w:tcPr>
            <w:tcW w:w="2835" w:type="dxa"/>
            <w:hideMark/>
          </w:tcPr>
          <w:p w14:paraId="0DB318D2"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Изискване за доказано съответствие с МСЕХ при основен ремонт и като условие за достъп до публично финансиране</w:t>
            </w:r>
          </w:p>
        </w:tc>
        <w:tc>
          <w:tcPr>
            <w:tcW w:w="2126" w:type="dxa"/>
            <w:hideMark/>
          </w:tcPr>
          <w:p w14:paraId="2ACBEFC1"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t>ЗЕЕ</w:t>
            </w:r>
            <w:r w:rsidRPr="006F3533">
              <w:rPr>
                <w:rFonts w:eastAsia="Times New Roman" w:cs="Times New Roman"/>
                <w:sz w:val="22"/>
                <w:lang w:eastAsia="bg-BG"/>
              </w:rPr>
              <w:t xml:space="preserve">; </w:t>
            </w:r>
            <w:r w:rsidRPr="006F3533">
              <w:rPr>
                <w:rFonts w:eastAsia="Times New Roman" w:cs="Times New Roman"/>
                <w:b/>
                <w:bCs/>
                <w:sz w:val="22"/>
                <w:lang w:eastAsia="bg-BG"/>
              </w:rPr>
              <w:t>ЗУТ</w:t>
            </w:r>
            <w:r w:rsidRPr="006F3533">
              <w:rPr>
                <w:rFonts w:eastAsia="Times New Roman" w:cs="Times New Roman"/>
                <w:sz w:val="22"/>
                <w:lang w:eastAsia="bg-BG"/>
              </w:rPr>
              <w:t xml:space="preserve"> – препратки при „основен ремонт“; </w:t>
            </w:r>
            <w:r w:rsidRPr="006F3533">
              <w:rPr>
                <w:rFonts w:eastAsia="Times New Roman" w:cs="Times New Roman"/>
                <w:b/>
                <w:bCs/>
                <w:sz w:val="22"/>
                <w:lang w:eastAsia="bg-BG"/>
              </w:rPr>
              <w:t>Наредба № Е-РД-04-2/2022 г.</w:t>
            </w:r>
          </w:p>
        </w:tc>
        <w:tc>
          <w:tcPr>
            <w:tcW w:w="1560" w:type="dxa"/>
            <w:hideMark/>
          </w:tcPr>
          <w:p w14:paraId="6CB9932E"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МЕ / МРРБ</w:t>
            </w:r>
          </w:p>
        </w:tc>
        <w:tc>
          <w:tcPr>
            <w:tcW w:w="1701" w:type="dxa"/>
            <w:hideMark/>
          </w:tcPr>
          <w:p w14:paraId="26504446"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АУЕР, финансиращи органи</w:t>
            </w:r>
          </w:p>
        </w:tc>
        <w:tc>
          <w:tcPr>
            <w:tcW w:w="1842" w:type="dxa"/>
            <w:hideMark/>
          </w:tcPr>
          <w:p w14:paraId="7057EEF1" w14:textId="7B58C9E9"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Държавен бюджет</w:t>
            </w:r>
          </w:p>
        </w:tc>
        <w:tc>
          <w:tcPr>
            <w:tcW w:w="993" w:type="dxa"/>
            <w:hideMark/>
          </w:tcPr>
          <w:p w14:paraId="7876989F" w14:textId="127E1DD8"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2026-2027 г.</w:t>
            </w:r>
          </w:p>
        </w:tc>
      </w:tr>
      <w:tr w:rsidR="00E66354" w:rsidRPr="006F3533" w14:paraId="200F4741" w14:textId="77777777" w:rsidTr="00E66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77E3EF60"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7</w:t>
            </w:r>
          </w:p>
        </w:tc>
        <w:tc>
          <w:tcPr>
            <w:tcW w:w="2491" w:type="dxa"/>
            <w:hideMark/>
          </w:tcPr>
          <w:p w14:paraId="7E63237E"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Контрол, предписания и санкции при несъответствие</w:t>
            </w:r>
          </w:p>
        </w:tc>
        <w:tc>
          <w:tcPr>
            <w:tcW w:w="2835" w:type="dxa"/>
            <w:hideMark/>
          </w:tcPr>
          <w:p w14:paraId="3C558F16"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Въвеждане на поетапен механизъм: предписание → ограничаване на достъп до публични програми → финансова санкция</w:t>
            </w:r>
          </w:p>
        </w:tc>
        <w:tc>
          <w:tcPr>
            <w:tcW w:w="2126" w:type="dxa"/>
            <w:hideMark/>
          </w:tcPr>
          <w:p w14:paraId="395F11A4"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t>ЗЕЕ</w:t>
            </w:r>
            <w:r w:rsidRPr="006F3533">
              <w:rPr>
                <w:rFonts w:eastAsia="Times New Roman" w:cs="Times New Roman"/>
                <w:sz w:val="22"/>
                <w:lang w:eastAsia="bg-BG"/>
              </w:rPr>
              <w:t xml:space="preserve"> – административно-наказателни разпоредби за МСЕХ; подзаконов акт към ЗЕЕ</w:t>
            </w:r>
          </w:p>
        </w:tc>
        <w:tc>
          <w:tcPr>
            <w:tcW w:w="1560" w:type="dxa"/>
            <w:hideMark/>
          </w:tcPr>
          <w:p w14:paraId="0F348178"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АУЕР</w:t>
            </w:r>
          </w:p>
        </w:tc>
        <w:tc>
          <w:tcPr>
            <w:tcW w:w="1701" w:type="dxa"/>
            <w:hideMark/>
          </w:tcPr>
          <w:p w14:paraId="6C57979B"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МЕ, общини</w:t>
            </w:r>
          </w:p>
        </w:tc>
        <w:tc>
          <w:tcPr>
            <w:tcW w:w="1842" w:type="dxa"/>
            <w:hideMark/>
          </w:tcPr>
          <w:p w14:paraId="77600C4B"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Държавен бюджет</w:t>
            </w:r>
          </w:p>
        </w:tc>
        <w:tc>
          <w:tcPr>
            <w:tcW w:w="993" w:type="dxa"/>
            <w:hideMark/>
          </w:tcPr>
          <w:p w14:paraId="3AC4842B"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 г.</w:t>
            </w:r>
          </w:p>
        </w:tc>
      </w:tr>
      <w:tr w:rsidR="00E66354" w:rsidRPr="006F3533" w14:paraId="0D1B72BD" w14:textId="77777777" w:rsidTr="00E66354">
        <w:tc>
          <w:tcPr>
            <w:cnfStyle w:val="001000000000" w:firstRow="0" w:lastRow="0" w:firstColumn="1" w:lastColumn="0" w:oddVBand="0" w:evenVBand="0" w:oddHBand="0" w:evenHBand="0" w:firstRowFirstColumn="0" w:firstRowLastColumn="0" w:lastRowFirstColumn="0" w:lastRowLastColumn="0"/>
            <w:tcW w:w="481" w:type="dxa"/>
            <w:hideMark/>
          </w:tcPr>
          <w:p w14:paraId="052D5618"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8</w:t>
            </w:r>
          </w:p>
        </w:tc>
        <w:tc>
          <w:tcPr>
            <w:tcW w:w="2491" w:type="dxa"/>
            <w:hideMark/>
          </w:tcPr>
          <w:p w14:paraId="374C8327"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Интегриране на МСЕХ с финансовите инструменти</w:t>
            </w:r>
          </w:p>
        </w:tc>
        <w:tc>
          <w:tcPr>
            <w:tcW w:w="2835" w:type="dxa"/>
            <w:hideMark/>
          </w:tcPr>
          <w:p w14:paraId="0D503DFF"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Свързване на задълженията по МСЕХ с целеви финансови продукти и комбинирано финансиране</w:t>
            </w:r>
          </w:p>
        </w:tc>
        <w:tc>
          <w:tcPr>
            <w:tcW w:w="2126" w:type="dxa"/>
            <w:hideMark/>
          </w:tcPr>
          <w:p w14:paraId="5A671668" w14:textId="54BE6D93"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t>ЗЕЕ</w:t>
            </w:r>
            <w:r w:rsidRPr="006F3533">
              <w:rPr>
                <w:rFonts w:eastAsia="Times New Roman" w:cs="Times New Roman"/>
                <w:sz w:val="22"/>
                <w:lang w:eastAsia="bg-BG"/>
              </w:rPr>
              <w:t xml:space="preserve">; правила на </w:t>
            </w:r>
            <w:r w:rsidRPr="006F3533">
              <w:rPr>
                <w:rFonts w:eastAsia="Times New Roman" w:cs="Times New Roman"/>
                <w:b/>
                <w:bCs/>
                <w:sz w:val="22"/>
                <w:lang w:eastAsia="bg-BG"/>
              </w:rPr>
              <w:t xml:space="preserve">Националния фонд за </w:t>
            </w:r>
            <w:proofErr w:type="spellStart"/>
            <w:r w:rsidRPr="006F3533">
              <w:rPr>
                <w:rFonts w:eastAsia="Times New Roman" w:cs="Times New Roman"/>
                <w:b/>
                <w:bCs/>
                <w:sz w:val="22"/>
                <w:lang w:eastAsia="bg-BG"/>
              </w:rPr>
              <w:t>декарбонизация</w:t>
            </w:r>
            <w:proofErr w:type="spellEnd"/>
            <w:r w:rsidRPr="006F3533">
              <w:rPr>
                <w:rFonts w:eastAsia="Times New Roman" w:cs="Times New Roman"/>
                <w:b/>
                <w:bCs/>
                <w:sz w:val="22"/>
                <w:lang w:eastAsia="bg-BG"/>
              </w:rPr>
              <w:t xml:space="preserve"> </w:t>
            </w:r>
            <w:r w:rsidRPr="006F3533">
              <w:rPr>
                <w:rFonts w:eastAsia="Times New Roman" w:cs="Times New Roman"/>
                <w:sz w:val="22"/>
                <w:lang w:eastAsia="bg-BG"/>
              </w:rPr>
              <w:t>и други програми за финансиране</w:t>
            </w:r>
          </w:p>
        </w:tc>
        <w:tc>
          <w:tcPr>
            <w:tcW w:w="1560" w:type="dxa"/>
            <w:hideMark/>
          </w:tcPr>
          <w:p w14:paraId="3FD38B84" w14:textId="62B4ECAC"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Управляващи органи на програми, НФД</w:t>
            </w:r>
          </w:p>
        </w:tc>
        <w:tc>
          <w:tcPr>
            <w:tcW w:w="1701" w:type="dxa"/>
            <w:hideMark/>
          </w:tcPr>
          <w:p w14:paraId="319C2AD5"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МЕ, АУЕР, ФМФИБ</w:t>
            </w:r>
          </w:p>
        </w:tc>
        <w:tc>
          <w:tcPr>
            <w:tcW w:w="1842" w:type="dxa"/>
            <w:hideMark/>
          </w:tcPr>
          <w:p w14:paraId="4F240C16" w14:textId="5DEBE15B" w:rsidR="00E66354" w:rsidRPr="006F3533" w:rsidRDefault="009322FD"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 xml:space="preserve">В рамките на дейностите </w:t>
            </w:r>
          </w:p>
        </w:tc>
        <w:tc>
          <w:tcPr>
            <w:tcW w:w="993" w:type="dxa"/>
            <w:hideMark/>
          </w:tcPr>
          <w:p w14:paraId="34F0989C"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От 2026 г.</w:t>
            </w:r>
          </w:p>
        </w:tc>
      </w:tr>
      <w:tr w:rsidR="00E66354" w:rsidRPr="006F3533" w14:paraId="44F76C12" w14:textId="77777777" w:rsidTr="00E66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710D7CDF"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9</w:t>
            </w:r>
          </w:p>
        </w:tc>
        <w:tc>
          <w:tcPr>
            <w:tcW w:w="2491" w:type="dxa"/>
            <w:hideMark/>
          </w:tcPr>
          <w:p w14:paraId="2D7C6A67"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Техническа помощ и пътни карти за обновяване</w:t>
            </w:r>
          </w:p>
        </w:tc>
        <w:tc>
          <w:tcPr>
            <w:tcW w:w="2835" w:type="dxa"/>
            <w:hideMark/>
          </w:tcPr>
          <w:p w14:paraId="190AC0C5"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Предоставяне на етикетиране, обследвания и пътни карти чрез ЦКО като част от изпълнението на МСЕХ</w:t>
            </w:r>
          </w:p>
        </w:tc>
        <w:tc>
          <w:tcPr>
            <w:tcW w:w="2126" w:type="dxa"/>
            <w:hideMark/>
          </w:tcPr>
          <w:p w14:paraId="4C9206C1"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t>ЗЕЕ</w:t>
            </w:r>
            <w:r w:rsidRPr="006F3533">
              <w:rPr>
                <w:rFonts w:eastAsia="Times New Roman" w:cs="Times New Roman"/>
                <w:sz w:val="22"/>
                <w:lang w:eastAsia="bg-BG"/>
              </w:rPr>
              <w:t xml:space="preserve">; </w:t>
            </w:r>
            <w:r w:rsidRPr="006F3533">
              <w:rPr>
                <w:rFonts w:eastAsia="Times New Roman" w:cs="Times New Roman"/>
                <w:b/>
                <w:bCs/>
                <w:sz w:val="22"/>
                <w:lang w:eastAsia="bg-BG"/>
              </w:rPr>
              <w:t>Наредба № Е-РД-04-2/2022 г.</w:t>
            </w:r>
            <w:r w:rsidRPr="006F3533">
              <w:rPr>
                <w:rFonts w:eastAsia="Times New Roman" w:cs="Times New Roman"/>
                <w:sz w:val="22"/>
                <w:lang w:eastAsia="bg-BG"/>
              </w:rPr>
              <w:t xml:space="preserve"> – пътни карти като резултат от обследване</w:t>
            </w:r>
          </w:p>
        </w:tc>
        <w:tc>
          <w:tcPr>
            <w:tcW w:w="1560" w:type="dxa"/>
            <w:hideMark/>
          </w:tcPr>
          <w:p w14:paraId="1919F501" w14:textId="4C21E8B9" w:rsidR="00E66354" w:rsidRPr="006F3533" w:rsidRDefault="009322FD"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Управляващи органи на програми, НФД</w:t>
            </w:r>
          </w:p>
        </w:tc>
        <w:tc>
          <w:tcPr>
            <w:tcW w:w="1701" w:type="dxa"/>
            <w:hideMark/>
          </w:tcPr>
          <w:p w14:paraId="13D8E781" w14:textId="77777777"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АУЕР, общини</w:t>
            </w:r>
          </w:p>
        </w:tc>
        <w:tc>
          <w:tcPr>
            <w:tcW w:w="1842" w:type="dxa"/>
            <w:hideMark/>
          </w:tcPr>
          <w:p w14:paraId="033605ED" w14:textId="0C2FDB75" w:rsidR="00E66354" w:rsidRPr="006F3533" w:rsidRDefault="009322FD"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В рамките на дейностите по програмите</w:t>
            </w:r>
          </w:p>
        </w:tc>
        <w:tc>
          <w:tcPr>
            <w:tcW w:w="993" w:type="dxa"/>
            <w:hideMark/>
          </w:tcPr>
          <w:p w14:paraId="4A8E0234" w14:textId="67C6F309" w:rsidR="00E66354" w:rsidRPr="006F3533" w:rsidRDefault="00E66354" w:rsidP="00E66354">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w:t>
            </w:r>
            <w:r w:rsidR="009322FD" w:rsidRPr="006F3533">
              <w:rPr>
                <w:rFonts w:eastAsia="Times New Roman" w:cs="Times New Roman"/>
                <w:sz w:val="22"/>
                <w:lang w:eastAsia="bg-BG"/>
              </w:rPr>
              <w:t>-</w:t>
            </w:r>
            <w:r w:rsidRPr="006F3533">
              <w:rPr>
                <w:rFonts w:eastAsia="Times New Roman" w:cs="Times New Roman"/>
                <w:sz w:val="22"/>
                <w:lang w:eastAsia="bg-BG"/>
              </w:rPr>
              <w:t>2030 г.</w:t>
            </w:r>
          </w:p>
        </w:tc>
      </w:tr>
      <w:tr w:rsidR="00E66354" w:rsidRPr="006F3533" w14:paraId="22AB5E8B" w14:textId="77777777" w:rsidTr="00E66354">
        <w:tc>
          <w:tcPr>
            <w:cnfStyle w:val="001000000000" w:firstRow="0" w:lastRow="0" w:firstColumn="1" w:lastColumn="0" w:oddVBand="0" w:evenVBand="0" w:oddHBand="0" w:evenHBand="0" w:firstRowFirstColumn="0" w:firstRowLastColumn="0" w:lastRowFirstColumn="0" w:lastRowLastColumn="0"/>
            <w:tcW w:w="481" w:type="dxa"/>
            <w:hideMark/>
          </w:tcPr>
          <w:p w14:paraId="62F9BD96" w14:textId="77777777" w:rsidR="00E66354" w:rsidRPr="006F3533" w:rsidRDefault="00E66354" w:rsidP="00E66354">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lastRenderedPageBreak/>
              <w:t>10</w:t>
            </w:r>
          </w:p>
        </w:tc>
        <w:tc>
          <w:tcPr>
            <w:tcW w:w="2491" w:type="dxa"/>
            <w:hideMark/>
          </w:tcPr>
          <w:p w14:paraId="21EB1589"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Мониторинг и годишно отчитане на съответствието</w:t>
            </w:r>
          </w:p>
        </w:tc>
        <w:tc>
          <w:tcPr>
            <w:tcW w:w="2835" w:type="dxa"/>
            <w:hideMark/>
          </w:tcPr>
          <w:p w14:paraId="52A5EDC7"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Годишен доклад за покритие, съответствие и постигнати енергийни и емисионни ефекти</w:t>
            </w:r>
          </w:p>
        </w:tc>
        <w:tc>
          <w:tcPr>
            <w:tcW w:w="2126" w:type="dxa"/>
            <w:hideMark/>
          </w:tcPr>
          <w:p w14:paraId="429FD04C"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b/>
                <w:bCs/>
                <w:sz w:val="22"/>
                <w:lang w:eastAsia="bg-BG"/>
              </w:rPr>
              <w:t>ЗЕЕ</w:t>
            </w:r>
            <w:r w:rsidRPr="006F3533">
              <w:rPr>
                <w:rFonts w:eastAsia="Times New Roman" w:cs="Times New Roman"/>
                <w:sz w:val="22"/>
                <w:lang w:eastAsia="bg-BG"/>
              </w:rPr>
              <w:t xml:space="preserve"> – задължение за докладване; </w:t>
            </w:r>
            <w:r w:rsidRPr="006F3533">
              <w:rPr>
                <w:rFonts w:eastAsia="Times New Roman" w:cs="Times New Roman"/>
                <w:b/>
                <w:bCs/>
                <w:sz w:val="22"/>
                <w:lang w:eastAsia="bg-BG"/>
              </w:rPr>
              <w:t>Наредба № Е-РД-04-1/2018 г.</w:t>
            </w:r>
          </w:p>
        </w:tc>
        <w:tc>
          <w:tcPr>
            <w:tcW w:w="1560" w:type="dxa"/>
            <w:hideMark/>
          </w:tcPr>
          <w:p w14:paraId="0806C7C2"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АУЕР</w:t>
            </w:r>
          </w:p>
        </w:tc>
        <w:tc>
          <w:tcPr>
            <w:tcW w:w="1701" w:type="dxa"/>
            <w:hideMark/>
          </w:tcPr>
          <w:p w14:paraId="072A1048"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МЕ</w:t>
            </w:r>
          </w:p>
        </w:tc>
        <w:tc>
          <w:tcPr>
            <w:tcW w:w="1842" w:type="dxa"/>
            <w:hideMark/>
          </w:tcPr>
          <w:p w14:paraId="73BF5379"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Държавен бюджет</w:t>
            </w:r>
          </w:p>
        </w:tc>
        <w:tc>
          <w:tcPr>
            <w:tcW w:w="993" w:type="dxa"/>
            <w:hideMark/>
          </w:tcPr>
          <w:p w14:paraId="0DF24770" w14:textId="77777777" w:rsidR="00E66354" w:rsidRPr="006F3533" w:rsidRDefault="00E66354" w:rsidP="00E66354">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От 2027 г. ежегодно</w:t>
            </w:r>
          </w:p>
        </w:tc>
      </w:tr>
    </w:tbl>
    <w:p w14:paraId="78AF54AC" w14:textId="78B4F4E4" w:rsidR="00B572B1" w:rsidRPr="006F3533" w:rsidRDefault="00B572B1" w:rsidP="00E66354">
      <w:pPr>
        <w:spacing w:before="100" w:beforeAutospacing="1" w:after="100" w:afterAutospacing="1" w:line="240" w:lineRule="auto"/>
        <w:jc w:val="both"/>
        <w:rPr>
          <w:rFonts w:eastAsia="Times New Roman" w:cs="Times New Roman"/>
          <w:szCs w:val="24"/>
          <w:lang w:val="bg-BG" w:eastAsia="bg-BG"/>
        </w:rPr>
      </w:pPr>
    </w:p>
    <w:p w14:paraId="785171D6" w14:textId="77777777" w:rsidR="00E66354" w:rsidRPr="006F3533" w:rsidRDefault="00E66354" w:rsidP="00E66354">
      <w:pPr>
        <w:spacing w:before="100" w:beforeAutospacing="1" w:after="100" w:afterAutospacing="1" w:line="240" w:lineRule="auto"/>
        <w:jc w:val="both"/>
        <w:rPr>
          <w:rFonts w:eastAsia="Times New Roman" w:cs="Times New Roman"/>
          <w:szCs w:val="24"/>
          <w:lang w:val="bg-BG" w:eastAsia="bg-BG"/>
        </w:rPr>
      </w:pPr>
    </w:p>
    <w:p w14:paraId="44939BFF" w14:textId="77777777" w:rsidR="00E66354" w:rsidRPr="006F3533" w:rsidRDefault="00E66354" w:rsidP="00E66354">
      <w:pPr>
        <w:spacing w:before="100" w:beforeAutospacing="1" w:after="100" w:afterAutospacing="1" w:line="240" w:lineRule="auto"/>
        <w:jc w:val="both"/>
        <w:rPr>
          <w:rFonts w:eastAsia="Times New Roman" w:cs="Times New Roman"/>
          <w:szCs w:val="24"/>
          <w:lang w:val="bg-BG" w:eastAsia="bg-BG"/>
        </w:rPr>
        <w:sectPr w:rsidR="00E66354" w:rsidRPr="006F3533" w:rsidSect="00E66354">
          <w:pgSz w:w="16838" w:h="11906" w:orient="landscape"/>
          <w:pgMar w:top="1417" w:right="1417" w:bottom="1417" w:left="1417" w:header="708" w:footer="708" w:gutter="0"/>
          <w:cols w:space="708"/>
          <w:docGrid w:linePitch="360"/>
        </w:sectPr>
      </w:pPr>
    </w:p>
    <w:p w14:paraId="124F9D6C" w14:textId="77777777" w:rsidR="00E66354" w:rsidRPr="006F3533" w:rsidRDefault="00E66354" w:rsidP="00E66354">
      <w:pPr>
        <w:spacing w:before="100" w:beforeAutospacing="1" w:after="100" w:afterAutospacing="1" w:line="240" w:lineRule="auto"/>
        <w:jc w:val="both"/>
        <w:rPr>
          <w:rFonts w:eastAsia="Times New Roman" w:cs="Times New Roman"/>
          <w:szCs w:val="24"/>
          <w:lang w:val="bg-BG" w:eastAsia="bg-BG"/>
        </w:rPr>
      </w:pPr>
    </w:p>
    <w:p w14:paraId="79504C42" w14:textId="12A6BBE5" w:rsidR="00B572B1" w:rsidRPr="006F3533" w:rsidRDefault="00B572B1" w:rsidP="00077D42">
      <w:pPr>
        <w:pStyle w:val="Heading2"/>
        <w:jc w:val="both"/>
        <w:rPr>
          <w:lang w:val="bg-BG"/>
        </w:rPr>
      </w:pPr>
      <w:bookmarkStart w:id="221" w:name="_Toc217888833"/>
      <w:r w:rsidRPr="006F3533">
        <w:rPr>
          <w:lang w:val="bg-BG"/>
        </w:rPr>
        <w:t>c) насърчаване на основното саниране на сгради, включително поетапно основно саниране;</w:t>
      </w:r>
      <w:bookmarkEnd w:id="221"/>
    </w:p>
    <w:p w14:paraId="6E1DEE0B" w14:textId="779A2AD5" w:rsidR="00B572B1" w:rsidRPr="006F3533" w:rsidRDefault="00B572B1" w:rsidP="00077D42">
      <w:pPr>
        <w:jc w:val="both"/>
        <w:rPr>
          <w:b/>
          <w:bCs/>
          <w:szCs w:val="24"/>
          <w:lang w:val="bg-BG"/>
        </w:rPr>
      </w:pPr>
      <w:r w:rsidRPr="006F3533">
        <w:rPr>
          <w:b/>
          <w:bCs/>
          <w:szCs w:val="24"/>
          <w:lang w:val="bg-BG"/>
        </w:rPr>
        <w:t>Цели и обхват</w:t>
      </w:r>
    </w:p>
    <w:p w14:paraId="0D421023"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Настоящият раздел определя националната рамка за насърчаване на дълбокото и поетапното дълбоко сградно обновяване като централен инструмент за </w:t>
      </w:r>
      <w:proofErr w:type="spellStart"/>
      <w:r w:rsidRPr="006F3533">
        <w:rPr>
          <w:rFonts w:ascii="Aptos" w:hAnsi="Aptos"/>
          <w:lang w:val="bg-BG"/>
        </w:rPr>
        <w:t>декарбонизация</w:t>
      </w:r>
      <w:proofErr w:type="spellEnd"/>
      <w:r w:rsidRPr="006F3533">
        <w:rPr>
          <w:rFonts w:ascii="Aptos" w:hAnsi="Aptos"/>
          <w:lang w:val="bg-BG"/>
        </w:rPr>
        <w:t xml:space="preserve"> на сградния фонд и постигане на целите на Директива (ЕС) 2024/1275 относно енергийните характеристики на сградите. Подходът се прилага както за жилищните, така и за нежилищните сгради, в пълна съгласуваност с минималните стандарти за енергийни характеристики (МСЕХ) по член 9 и с изискванията за сгради с почти нулево и нулево енергопотребление (</w:t>
      </w:r>
      <w:proofErr w:type="spellStart"/>
      <w:r w:rsidRPr="006F3533">
        <w:rPr>
          <w:rFonts w:ascii="Aptos" w:hAnsi="Aptos"/>
          <w:lang w:val="bg-BG"/>
        </w:rPr>
        <w:t>nZEB</w:t>
      </w:r>
      <w:proofErr w:type="spellEnd"/>
      <w:r w:rsidRPr="006F3533">
        <w:rPr>
          <w:rFonts w:ascii="Aptos" w:hAnsi="Aptos"/>
          <w:lang w:val="bg-BG"/>
        </w:rPr>
        <w:t>/ZEB).</w:t>
      </w:r>
    </w:p>
    <w:p w14:paraId="3A71D72C" w14:textId="06738AC2" w:rsidR="00B572B1" w:rsidRPr="006F3533" w:rsidRDefault="00B572B1" w:rsidP="00077D42">
      <w:pPr>
        <w:pStyle w:val="NormalWeb"/>
        <w:jc w:val="both"/>
        <w:rPr>
          <w:rFonts w:ascii="Aptos" w:hAnsi="Aptos"/>
          <w:lang w:val="bg-BG"/>
        </w:rPr>
      </w:pPr>
      <w:r w:rsidRPr="006F3533">
        <w:rPr>
          <w:rFonts w:ascii="Aptos" w:hAnsi="Aptos"/>
          <w:lang w:val="bg-BG"/>
        </w:rPr>
        <w:t>Основната цел е да се ускори както темпът, така и дълбочината на обновяването чрез комбиниран пакет от финансови, фискални, административни и технически стимули, които поставят приоритет върху постигането на по-високи енергийни класове и интегрирани решения спрямо частичните или изолирани намеси. Съществен елемент на подхода е предотвратяването на така наречения „блокиращ (</w:t>
      </w:r>
      <w:proofErr w:type="spellStart"/>
      <w:r w:rsidRPr="006F3533">
        <w:rPr>
          <w:rFonts w:ascii="Aptos" w:hAnsi="Aptos"/>
          <w:lang w:val="bg-BG"/>
        </w:rPr>
        <w:t>lock-in</w:t>
      </w:r>
      <w:proofErr w:type="spellEnd"/>
      <w:r w:rsidRPr="006F3533">
        <w:rPr>
          <w:rFonts w:ascii="Aptos" w:hAnsi="Aptos"/>
          <w:lang w:val="bg-BG"/>
        </w:rPr>
        <w:t>) ефект“, при който се блокира потенциалът за бъдещи подобрения поради изпълнение на непълни или несъ</w:t>
      </w:r>
      <w:r w:rsidR="00175CFE" w:rsidRPr="006F3533">
        <w:rPr>
          <w:rFonts w:ascii="Aptos" w:hAnsi="Aptos"/>
          <w:lang w:val="bg-BG"/>
        </w:rPr>
        <w:t>гласувани</w:t>
      </w:r>
      <w:r w:rsidRPr="006F3533">
        <w:rPr>
          <w:rFonts w:ascii="Aptos" w:hAnsi="Aptos"/>
          <w:lang w:val="bg-BG"/>
        </w:rPr>
        <w:t xml:space="preserve"> мерки. За тази цел обновяването се насочва към цялостни или поетапни пакети от мерки, които осигуряват последователност между подобренията на ограждащите конструкции, сградните системи и използването на възобновяеми енергийни източници.</w:t>
      </w:r>
    </w:p>
    <w:p w14:paraId="3C587F43"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Дълбокото и поетапното обновяване са тясно обвързани с въвеждането на паспорти за сградно обновяване (Building </w:t>
      </w:r>
      <w:proofErr w:type="spellStart"/>
      <w:r w:rsidRPr="006F3533">
        <w:rPr>
          <w:rFonts w:ascii="Aptos" w:hAnsi="Aptos"/>
          <w:lang w:val="bg-BG"/>
        </w:rPr>
        <w:t>Renovation</w:t>
      </w:r>
      <w:proofErr w:type="spellEnd"/>
      <w:r w:rsidRPr="006F3533">
        <w:rPr>
          <w:rFonts w:ascii="Aptos" w:hAnsi="Aptos"/>
          <w:lang w:val="bg-BG"/>
        </w:rPr>
        <w:t xml:space="preserve"> </w:t>
      </w:r>
      <w:proofErr w:type="spellStart"/>
      <w:r w:rsidRPr="006F3533">
        <w:rPr>
          <w:rFonts w:ascii="Aptos" w:hAnsi="Aptos"/>
          <w:lang w:val="bg-BG"/>
        </w:rPr>
        <w:t>Passports</w:t>
      </w:r>
      <w:proofErr w:type="spellEnd"/>
      <w:r w:rsidRPr="006F3533">
        <w:rPr>
          <w:rFonts w:ascii="Aptos" w:hAnsi="Aptos"/>
          <w:lang w:val="bg-BG"/>
        </w:rPr>
        <w:t xml:space="preserve"> – BRP), които ще бъдат основният инструмент за дългосрочно планиране на инвестициите в съответствие с изискванията на директивата. В същото време се предвижда универсално покритие на сградния фонд чрез комбинирана система от енергийно сертифициране и опростено „етикетиране“, така че всяка сграда да разполага с видим и проверим енергиен клас. Това ще позволи не само прилагане на МСЕХ, но и ефективно насочване на програмите за финансова подкрепа и контрол на напредъка по </w:t>
      </w:r>
      <w:proofErr w:type="spellStart"/>
      <w:r w:rsidRPr="006F3533">
        <w:rPr>
          <w:rFonts w:ascii="Aptos" w:hAnsi="Aptos"/>
          <w:lang w:val="bg-BG"/>
        </w:rPr>
        <w:t>декарбонизацията</w:t>
      </w:r>
      <w:proofErr w:type="spellEnd"/>
      <w:r w:rsidRPr="006F3533">
        <w:rPr>
          <w:rFonts w:ascii="Aptos" w:hAnsi="Aptos"/>
          <w:lang w:val="bg-BG"/>
        </w:rPr>
        <w:t>.</w:t>
      </w:r>
    </w:p>
    <w:p w14:paraId="2A1703BC" w14:textId="77777777" w:rsidR="00B572B1" w:rsidRPr="006F3533" w:rsidRDefault="00B572B1" w:rsidP="00077D42">
      <w:pPr>
        <w:pStyle w:val="NormalWeb"/>
        <w:jc w:val="both"/>
        <w:rPr>
          <w:rFonts w:ascii="Aptos" w:hAnsi="Aptos"/>
          <w:lang w:val="bg-BG"/>
        </w:rPr>
      </w:pPr>
      <w:r w:rsidRPr="006F3533">
        <w:rPr>
          <w:rFonts w:ascii="Aptos" w:hAnsi="Aptos"/>
          <w:lang w:val="bg-BG"/>
        </w:rPr>
        <w:t>Подходът гарантира справедливост и пропорционалност, осигурявайки облекчени изисквания и засилена подкрепа за уязвими домакинства, общини и публични услуги. Централна роля в изпълнението ще имат Центровете за комплексно обслужване (ЦКО/OSS), които ще предлагат безплатна или субсидирана консултантска, административна и техническа помощ.</w:t>
      </w:r>
    </w:p>
    <w:p w14:paraId="4FF70755" w14:textId="270D726A" w:rsidR="00B572B1" w:rsidRPr="006F3533" w:rsidRDefault="00B572B1" w:rsidP="00077D42">
      <w:pPr>
        <w:jc w:val="both"/>
        <w:rPr>
          <w:b/>
          <w:bCs/>
          <w:szCs w:val="24"/>
          <w:lang w:val="bg-BG"/>
        </w:rPr>
      </w:pPr>
      <w:r w:rsidRPr="006F3533">
        <w:rPr>
          <w:b/>
          <w:bCs/>
          <w:szCs w:val="24"/>
          <w:lang w:val="bg-BG"/>
        </w:rPr>
        <w:t>Дефиниции и прагове за дълбочина</w:t>
      </w:r>
    </w:p>
    <w:p w14:paraId="52E11F05" w14:textId="0A206CA1" w:rsidR="00B572B1" w:rsidRPr="006F3533" w:rsidRDefault="00B572B1" w:rsidP="00077D42">
      <w:pPr>
        <w:pStyle w:val="NormalWeb"/>
        <w:jc w:val="both"/>
        <w:rPr>
          <w:rFonts w:ascii="Aptos" w:hAnsi="Aptos"/>
          <w:lang w:val="bg-BG"/>
        </w:rPr>
      </w:pPr>
      <w:r w:rsidRPr="006F3533">
        <w:rPr>
          <w:rFonts w:ascii="Aptos" w:hAnsi="Aptos"/>
          <w:lang w:val="bg-BG"/>
        </w:rPr>
        <w:t>Съгласно членове 2 и 17(16) на директивата, дълбокото сградно обновяване представлява намеса, която трансформира сградата до равнище на почти нулево или нулево енергопотребление (</w:t>
      </w:r>
      <w:proofErr w:type="spellStart"/>
      <w:r w:rsidRPr="006F3533">
        <w:rPr>
          <w:rFonts w:ascii="Aptos" w:hAnsi="Aptos"/>
          <w:lang w:val="bg-BG"/>
        </w:rPr>
        <w:t>nZEB</w:t>
      </w:r>
      <w:proofErr w:type="spellEnd"/>
      <w:r w:rsidRPr="006F3533">
        <w:rPr>
          <w:rFonts w:ascii="Aptos" w:hAnsi="Aptos"/>
          <w:lang w:val="bg-BG"/>
        </w:rPr>
        <w:t xml:space="preserve">/ZEB), а когато това не е технически или икономически възможно – води най-малко до 60% намаление на първичната енергия спрямо състоянието преди обновяването. Поетапното дълбоко обновяване се разглежда като </w:t>
      </w:r>
      <w:r w:rsidRPr="006F3533">
        <w:rPr>
          <w:rFonts w:ascii="Aptos" w:hAnsi="Aptos"/>
          <w:lang w:val="bg-BG"/>
        </w:rPr>
        <w:lastRenderedPageBreak/>
        <w:t>поредица от последователни действия, планирани в рамките на паспорт за сградно обновяване, които в рамките на 10</w:t>
      </w:r>
      <w:r w:rsidR="008C5103" w:rsidRPr="006F3533">
        <w:rPr>
          <w:rFonts w:ascii="Aptos" w:hAnsi="Aptos"/>
          <w:lang w:val="bg-BG"/>
        </w:rPr>
        <w:t>-</w:t>
      </w:r>
      <w:r w:rsidRPr="006F3533">
        <w:rPr>
          <w:rFonts w:ascii="Aptos" w:hAnsi="Aptos"/>
          <w:lang w:val="bg-BG"/>
        </w:rPr>
        <w:t>15 години постигат същото крайно равнище на енергийна ефективност. Всяка стъпка трябва да бъде съвместима с крайната цел и да не създава пречки за нейното постигане.</w:t>
      </w:r>
    </w:p>
    <w:p w14:paraId="4FFF9E32" w14:textId="730086B0" w:rsidR="00175CFE" w:rsidRPr="006F3533" w:rsidRDefault="00175CFE" w:rsidP="00175CFE">
      <w:pPr>
        <w:pStyle w:val="NormalWeb"/>
        <w:jc w:val="both"/>
        <w:rPr>
          <w:rFonts w:ascii="Aptos" w:hAnsi="Aptos"/>
          <w:lang w:val="bg-BG"/>
        </w:rPr>
      </w:pPr>
      <w:r w:rsidRPr="006F3533">
        <w:rPr>
          <w:rFonts w:ascii="Aptos" w:hAnsi="Aptos"/>
          <w:lang w:val="bg-BG"/>
        </w:rPr>
        <w:t xml:space="preserve">Паспортът за сградно обновяване (BRP) ще представлява индивидуална пътна карта, съдържаща описание на техническите мерки, очакваните енергийни </w:t>
      </w:r>
      <w:r w:rsidR="008C5103" w:rsidRPr="006F3533">
        <w:rPr>
          <w:rFonts w:ascii="Aptos" w:hAnsi="Aptos"/>
          <w:lang w:val="bg-BG"/>
        </w:rPr>
        <w:t xml:space="preserve">ефекти, </w:t>
      </w:r>
      <w:r w:rsidRPr="006F3533">
        <w:rPr>
          <w:rFonts w:ascii="Aptos" w:hAnsi="Aptos"/>
          <w:lang w:val="bg-BG"/>
        </w:rPr>
        <w:t xml:space="preserve"> </w:t>
      </w:r>
      <w:r w:rsidR="008C5103" w:rsidRPr="006F3533">
        <w:rPr>
          <w:rFonts w:ascii="Aptos" w:hAnsi="Aptos"/>
          <w:lang w:val="bg-BG"/>
        </w:rPr>
        <w:t>спестявания на въглеродни емисии, икономически и неикономически ползи</w:t>
      </w:r>
      <w:r w:rsidRPr="006F3533">
        <w:rPr>
          <w:rFonts w:ascii="Aptos" w:hAnsi="Aptos"/>
          <w:lang w:val="bg-BG"/>
        </w:rPr>
        <w:t>, разходи и график на изпълнение. Той ще се изготвя от квалифицирани експерти след посещение на място и ще бъде съвместим с националната система за енергийно сертифициране и цифровия дневник на сградите. За целите на универсалното прилагане на МСЕХ се въвежда двустепенна система на енергийна класификация: пълноценно енергийно сертифициране (EPC) за сградите с публично финансиране и при основен ремонт, и опростено „етикетиране“ за базова оценка при продажба, наем и на всички останали случаи. Независимо от причината за издаването, ако е налице валидно пълноценно енергийно сертифициране (EPC), „етикетиране“ не се прилага и не се взима предвид</w:t>
      </w:r>
      <w:r w:rsidR="008C5103" w:rsidRPr="006F3533">
        <w:rPr>
          <w:rFonts w:ascii="Aptos" w:hAnsi="Aptos"/>
          <w:lang w:val="bg-BG"/>
        </w:rPr>
        <w:t>,</w:t>
      </w:r>
      <w:r w:rsidRPr="006F3533">
        <w:rPr>
          <w:rFonts w:ascii="Aptos" w:hAnsi="Aptos"/>
          <w:lang w:val="bg-BG"/>
        </w:rPr>
        <w:t xml:space="preserve"> ако и двата документа са валидни. Така ще се осигури възможност за определяне на минималните прагове и за насочване на сградите под изискуемото ниво към програми за подкрепа и дълбоко обновяване.</w:t>
      </w:r>
    </w:p>
    <w:p w14:paraId="1C64CC2B" w14:textId="55BE37F8" w:rsidR="00175CFE" w:rsidRPr="006F3533" w:rsidRDefault="00175CFE" w:rsidP="00175CFE">
      <w:pPr>
        <w:pStyle w:val="NormalWeb"/>
        <w:jc w:val="both"/>
        <w:rPr>
          <w:rFonts w:ascii="Aptos" w:hAnsi="Aptos"/>
          <w:lang w:val="bg-BG"/>
        </w:rPr>
      </w:pPr>
      <w:r w:rsidRPr="006F3533">
        <w:rPr>
          <w:rFonts w:ascii="Aptos" w:hAnsi="Aptos"/>
          <w:lang w:val="bg-BG"/>
        </w:rPr>
        <w:t xml:space="preserve">В </w:t>
      </w:r>
      <w:r w:rsidR="008C5103" w:rsidRPr="006F3533">
        <w:rPr>
          <w:rFonts w:ascii="Aptos" w:hAnsi="Aptos"/>
          <w:lang w:val="bg-BG"/>
        </w:rPr>
        <w:t>изискванията на Директивата за енергийните характеристики на сградите</w:t>
      </w:r>
      <w:r w:rsidRPr="006F3533">
        <w:rPr>
          <w:rFonts w:ascii="Aptos" w:hAnsi="Aptos"/>
          <w:lang w:val="bg-BG"/>
        </w:rPr>
        <w:t xml:space="preserve"> се предвижда разграничаване на три нива на обновяване според ефекта върху енергийното подобрение. Повърхностното обновяване води до намаляване на първичната </w:t>
      </w:r>
      <w:proofErr w:type="spellStart"/>
      <w:r w:rsidRPr="006F3533">
        <w:rPr>
          <w:rFonts w:ascii="Aptos" w:hAnsi="Aptos"/>
          <w:lang w:val="bg-BG"/>
        </w:rPr>
        <w:t>невъзобновяема</w:t>
      </w:r>
      <w:proofErr w:type="spellEnd"/>
      <w:r w:rsidRPr="006F3533">
        <w:rPr>
          <w:rFonts w:ascii="Aptos" w:hAnsi="Aptos"/>
          <w:lang w:val="bg-BG"/>
        </w:rPr>
        <w:t xml:space="preserve"> енергия с 30</w:t>
      </w:r>
      <w:r w:rsidR="006E4C02" w:rsidRPr="006F3533">
        <w:rPr>
          <w:rFonts w:ascii="Aptos" w:hAnsi="Aptos"/>
          <w:lang w:val="bg-BG"/>
        </w:rPr>
        <w:t>-</w:t>
      </w:r>
      <w:r w:rsidRPr="006F3533">
        <w:rPr>
          <w:rFonts w:ascii="Aptos" w:hAnsi="Aptos"/>
          <w:lang w:val="bg-BG"/>
        </w:rPr>
        <w:t>45%, напредналото – с 45</w:t>
      </w:r>
      <w:r w:rsidR="006E4C02" w:rsidRPr="006F3533">
        <w:rPr>
          <w:rFonts w:ascii="Aptos" w:hAnsi="Aptos"/>
          <w:lang w:val="bg-BG"/>
        </w:rPr>
        <w:t>-</w:t>
      </w:r>
      <w:r w:rsidRPr="006F3533">
        <w:rPr>
          <w:rFonts w:ascii="Aptos" w:hAnsi="Aptos"/>
          <w:lang w:val="bg-BG"/>
        </w:rPr>
        <w:t xml:space="preserve">60%, а дълбокото – с най-малко 60% или достигане на параметрите за </w:t>
      </w:r>
      <w:proofErr w:type="spellStart"/>
      <w:r w:rsidRPr="006F3533">
        <w:rPr>
          <w:rFonts w:ascii="Aptos" w:hAnsi="Aptos"/>
          <w:lang w:val="bg-BG"/>
        </w:rPr>
        <w:t>nZEB</w:t>
      </w:r>
      <w:proofErr w:type="spellEnd"/>
      <w:r w:rsidRPr="006F3533">
        <w:rPr>
          <w:rFonts w:ascii="Aptos" w:hAnsi="Aptos"/>
          <w:lang w:val="bg-BG"/>
        </w:rPr>
        <w:t xml:space="preserve">/ZEB. Съответно се </w:t>
      </w:r>
      <w:r w:rsidR="006E4C02" w:rsidRPr="006F3533">
        <w:rPr>
          <w:rFonts w:ascii="Aptos" w:hAnsi="Aptos"/>
          <w:lang w:val="bg-BG"/>
        </w:rPr>
        <w:t>предвижда</w:t>
      </w:r>
      <w:r w:rsidRPr="006F3533">
        <w:rPr>
          <w:rFonts w:ascii="Aptos" w:hAnsi="Aptos"/>
          <w:lang w:val="bg-BG"/>
        </w:rPr>
        <w:t xml:space="preserve"> и градация на финансовата подкрепа, при която по-дълбоките намеси получават по-висока интензивност на субсидията и облекчени условия за комбиниране с други източници на финансиране.</w:t>
      </w:r>
    </w:p>
    <w:p w14:paraId="5B4805A9" w14:textId="36E543B0" w:rsidR="006E4C02" w:rsidRPr="006F3533" w:rsidRDefault="00B572B1" w:rsidP="00077D42">
      <w:pPr>
        <w:pStyle w:val="NormalWeb"/>
        <w:jc w:val="both"/>
        <w:rPr>
          <w:rFonts w:ascii="Aptos" w:hAnsi="Aptos"/>
          <w:lang w:val="bg-BG"/>
        </w:rPr>
      </w:pPr>
      <w:r w:rsidRPr="006F3533">
        <w:rPr>
          <w:rFonts w:ascii="Aptos" w:hAnsi="Aptos"/>
          <w:lang w:val="bg-BG"/>
        </w:rPr>
        <w:t>При нежилищните сгради, попадащи под минималните стандарти, пътят към съответствие следва да се осъществява чрез дълбоко обновяване, за да се избегне фиксиране на ниска енергийна ефективност и да се постигне съвместимост с бъдещите изисквания за сгради с нулево енергопотребление. При основен ремонт минималното изискване остава клас B (без това да възпрепятства постигане на по-висок клас при доказана разходна оптималност), като паспортът трябва ясно да показва последователността на мерките и пътя към достигане на целевия клас.</w:t>
      </w:r>
      <w:r w:rsidR="006E4C02" w:rsidRPr="006F3533">
        <w:rPr>
          <w:rFonts w:ascii="Aptos" w:hAnsi="Aptos"/>
          <w:lang w:val="bg-BG"/>
        </w:rPr>
        <w:t xml:space="preserve"> </w:t>
      </w:r>
    </w:p>
    <w:p w14:paraId="6139E3B7" w14:textId="59DA2B8A" w:rsidR="00B572B1" w:rsidRPr="006F3533" w:rsidRDefault="00B572B1" w:rsidP="00077D42">
      <w:pPr>
        <w:pStyle w:val="NormalWeb"/>
        <w:jc w:val="both"/>
        <w:rPr>
          <w:rFonts w:ascii="Aptos" w:hAnsi="Aptos"/>
          <w:lang w:val="bg-BG"/>
        </w:rPr>
      </w:pPr>
      <w:r w:rsidRPr="006F3533">
        <w:rPr>
          <w:rFonts w:ascii="Aptos" w:hAnsi="Aptos"/>
          <w:lang w:val="bg-BG"/>
        </w:rPr>
        <w:t>При изготвянето на паспортите и сертификатите експертите ще използват съответните референтни данни за типа, предназначението и климатичната зона, така че да се осигури сравнимост и коректност на резултатите.</w:t>
      </w:r>
      <w:r w:rsidR="006E4C02" w:rsidRPr="006F3533">
        <w:rPr>
          <w:rFonts w:ascii="Aptos" w:hAnsi="Aptos"/>
          <w:lang w:val="bg-BG"/>
        </w:rPr>
        <w:t xml:space="preserve"> </w:t>
      </w:r>
      <w:r w:rsidRPr="006F3533">
        <w:rPr>
          <w:rFonts w:ascii="Aptos" w:hAnsi="Aptos"/>
          <w:lang w:val="bg-BG"/>
        </w:rPr>
        <w:t xml:space="preserve">Последователността на мерките ще се основава на принципа „от обвивка към системи“, като първо се подобряват топлотехническите характеристики на конструкцията, след което се модернизират отоплителните, вентилационни и осветителни системи и се интегрират решения на основата на възобновяеми източници. При поетапните проекти изпълнението на всяка стъпка ще се удостоверява чрез междинна оценка на енергийната ефективност, а завършването на целия цикъл ще изисква доказване на постигнатия дълбок праг – минимум 60% намаление на първичната енергия или еквивалентно ниво по стандартите за </w:t>
      </w:r>
      <w:proofErr w:type="spellStart"/>
      <w:r w:rsidRPr="006F3533">
        <w:rPr>
          <w:rFonts w:ascii="Aptos" w:hAnsi="Aptos"/>
          <w:lang w:val="bg-BG"/>
        </w:rPr>
        <w:t>nZEB</w:t>
      </w:r>
      <w:proofErr w:type="spellEnd"/>
      <w:r w:rsidRPr="006F3533">
        <w:rPr>
          <w:rFonts w:ascii="Aptos" w:hAnsi="Aptos"/>
          <w:lang w:val="bg-BG"/>
        </w:rPr>
        <w:t>/ZEB.</w:t>
      </w:r>
      <w:r w:rsidR="006E4C02" w:rsidRPr="006F3533">
        <w:rPr>
          <w:rFonts w:ascii="Aptos" w:hAnsi="Aptos"/>
          <w:lang w:val="bg-BG"/>
        </w:rPr>
        <w:t xml:space="preserve"> </w:t>
      </w:r>
      <w:r w:rsidR="006E4C02" w:rsidRPr="006F3533">
        <w:rPr>
          <w:rFonts w:ascii="Aptos" w:hAnsi="Aptos"/>
          <w:lang w:val="bg-BG"/>
        </w:rPr>
        <w:lastRenderedPageBreak/>
        <w:t>За да се осигури обективност на класификацията на сградите,  ще се въведат или прецизират фиксираните стойности, или, където това е целесъобразно гранични стойности, на параметрите на изчисление, които зависят от поведението на ползвателите, а не от ефективността на сградната обвивка, системите или управлението на сградата, като потребление на топла вода, домакински уреди, офис оборудване и др. Тези стойности ще подлежат на периодично обновяване.</w:t>
      </w:r>
    </w:p>
    <w:p w14:paraId="04E1CDA8" w14:textId="2CAA9BEF" w:rsidR="00B572B1" w:rsidRPr="006F3533" w:rsidRDefault="00B572B1" w:rsidP="00077D42">
      <w:pPr>
        <w:jc w:val="both"/>
        <w:rPr>
          <w:b/>
          <w:bCs/>
          <w:szCs w:val="24"/>
          <w:lang w:val="bg-BG"/>
        </w:rPr>
      </w:pPr>
      <w:r w:rsidRPr="006F3533">
        <w:rPr>
          <w:b/>
          <w:bCs/>
          <w:szCs w:val="24"/>
          <w:lang w:val="bg-BG"/>
        </w:rPr>
        <w:t xml:space="preserve">Национална схема за паспорти за сградно обновяване (Building </w:t>
      </w:r>
      <w:proofErr w:type="spellStart"/>
      <w:r w:rsidRPr="006F3533">
        <w:rPr>
          <w:b/>
          <w:bCs/>
          <w:szCs w:val="24"/>
          <w:lang w:val="bg-BG"/>
        </w:rPr>
        <w:t>Renovation</w:t>
      </w:r>
      <w:proofErr w:type="spellEnd"/>
      <w:r w:rsidRPr="006F3533">
        <w:rPr>
          <w:b/>
          <w:bCs/>
          <w:szCs w:val="24"/>
          <w:lang w:val="bg-BG"/>
        </w:rPr>
        <w:t xml:space="preserve"> </w:t>
      </w:r>
      <w:proofErr w:type="spellStart"/>
      <w:r w:rsidRPr="006F3533">
        <w:rPr>
          <w:b/>
          <w:bCs/>
          <w:szCs w:val="24"/>
          <w:lang w:val="bg-BG"/>
        </w:rPr>
        <w:t>Passport</w:t>
      </w:r>
      <w:proofErr w:type="spellEnd"/>
      <w:r w:rsidRPr="006F3533">
        <w:rPr>
          <w:b/>
          <w:bCs/>
          <w:szCs w:val="24"/>
          <w:lang w:val="bg-BG"/>
        </w:rPr>
        <w:t xml:space="preserve"> – BRP)</w:t>
      </w:r>
    </w:p>
    <w:p w14:paraId="659B6844" w14:textId="78605FE1" w:rsidR="00B572B1" w:rsidRPr="006F3533" w:rsidRDefault="00B572B1" w:rsidP="00077D42">
      <w:pPr>
        <w:pStyle w:val="NormalWeb"/>
        <w:jc w:val="both"/>
        <w:rPr>
          <w:rFonts w:ascii="Aptos" w:hAnsi="Aptos"/>
          <w:lang w:val="bg-BG"/>
        </w:rPr>
      </w:pPr>
      <w:r w:rsidRPr="006F3533">
        <w:rPr>
          <w:rFonts w:ascii="Aptos" w:hAnsi="Aptos"/>
          <w:lang w:val="bg-BG"/>
        </w:rPr>
        <w:t>В изпълнение на член 12 и Приложение VIII от Директива (ЕС) 2024/1275 България ще въведе национална схема за паспорти за сградно обновяване (BRP) до май 2026 г. Паспор</w:t>
      </w:r>
      <w:r w:rsidR="00175CFE" w:rsidRPr="006F3533">
        <w:rPr>
          <w:rFonts w:ascii="Aptos" w:hAnsi="Aptos"/>
          <w:lang w:val="bg-BG"/>
        </w:rPr>
        <w:t>т</w:t>
      </w:r>
      <w:r w:rsidRPr="006F3533">
        <w:rPr>
          <w:rFonts w:ascii="Aptos" w:hAnsi="Aptos"/>
          <w:lang w:val="bg-BG"/>
        </w:rPr>
        <w:t xml:space="preserve">ът ще представлява индивидуален документ, изготвен от квалифициран </w:t>
      </w:r>
      <w:r w:rsidR="006E4C02" w:rsidRPr="006F3533">
        <w:rPr>
          <w:rFonts w:ascii="Aptos" w:hAnsi="Aptos"/>
          <w:lang w:val="bg-BG"/>
        </w:rPr>
        <w:t xml:space="preserve">и сертифициран енергиен консултант </w:t>
      </w:r>
      <w:r w:rsidRPr="006F3533">
        <w:rPr>
          <w:rFonts w:ascii="Aptos" w:hAnsi="Aptos"/>
          <w:lang w:val="bg-BG"/>
        </w:rPr>
        <w:t xml:space="preserve">след посещение на място, който съдържа ясна, персонализирана пътна карта за постигане на </w:t>
      </w:r>
      <w:r w:rsidR="006E4C02" w:rsidRPr="006F3533">
        <w:rPr>
          <w:rFonts w:ascii="Aptos" w:hAnsi="Aptos"/>
          <w:lang w:val="bg-BG"/>
        </w:rPr>
        <w:t>еднократно</w:t>
      </w:r>
      <w:r w:rsidRPr="006F3533">
        <w:rPr>
          <w:rFonts w:ascii="Aptos" w:hAnsi="Aptos"/>
          <w:lang w:val="bg-BG"/>
        </w:rPr>
        <w:t xml:space="preserve"> </w:t>
      </w:r>
      <w:r w:rsidR="006E4C02" w:rsidRPr="006F3533">
        <w:rPr>
          <w:rFonts w:ascii="Aptos" w:hAnsi="Aptos"/>
          <w:lang w:val="bg-BG"/>
        </w:rPr>
        <w:t xml:space="preserve">или </w:t>
      </w:r>
      <w:r w:rsidRPr="006F3533">
        <w:rPr>
          <w:rFonts w:ascii="Aptos" w:hAnsi="Aptos"/>
          <w:lang w:val="bg-BG"/>
        </w:rPr>
        <w:t>поетапно дълбоко обновяване на конкретна сграда. Целта му е да осигури системен, предвидим и лесно разбираем инструмент за собствениците, който да ги насочва към оптималната последователност на мерките и възможностите за финансиране.</w:t>
      </w:r>
    </w:p>
    <w:p w14:paraId="15FBE86D" w14:textId="163BA832" w:rsidR="00B572B1" w:rsidRPr="006F3533" w:rsidRDefault="00B572B1" w:rsidP="00077D42">
      <w:pPr>
        <w:pStyle w:val="NormalWeb"/>
        <w:jc w:val="both"/>
        <w:rPr>
          <w:rFonts w:ascii="Aptos" w:hAnsi="Aptos"/>
          <w:lang w:val="bg-BG"/>
        </w:rPr>
      </w:pPr>
      <w:r w:rsidRPr="006F3533">
        <w:rPr>
          <w:rFonts w:ascii="Aptos" w:hAnsi="Aptos"/>
          <w:lang w:val="bg-BG"/>
        </w:rPr>
        <w:t>Правната рамка на схемата ще бъде определена с подзаконов акт към Закона за енергийната ефективност, разработен в съответствие с изискванията на директивата и с националната методология за определяне на енергийните характеристики на сградите. Паспортът ще има нормативно определено съдържание, включващо</w:t>
      </w:r>
      <w:r w:rsidR="00C35EFA" w:rsidRPr="006F3533">
        <w:rPr>
          <w:rFonts w:ascii="Aptos" w:hAnsi="Aptos"/>
          <w:lang w:val="bg-BG"/>
        </w:rPr>
        <w:t xml:space="preserve"> най-малко</w:t>
      </w:r>
      <w:r w:rsidRPr="006F3533">
        <w:rPr>
          <w:rFonts w:ascii="Aptos" w:hAnsi="Aptos"/>
          <w:lang w:val="bg-BG"/>
        </w:rPr>
        <w:t xml:space="preserve">: актуалната енергийна характеристика на сградата и съответния клас, графична и текстова пътна карта с конкретните стъпки на обновяването, съответните национални изисквания (включително минималните стандарти за енергийни характеристики), възможностите за свързване към ефективни централни системи за отопление и охлаждане, дела на възобновяемите източници и собственото производство на енергия, както и информация за </w:t>
      </w:r>
      <w:r w:rsidR="006E4C02" w:rsidRPr="006F3533">
        <w:rPr>
          <w:rFonts w:ascii="Aptos" w:hAnsi="Aptos"/>
          <w:lang w:val="bg-BG"/>
        </w:rPr>
        <w:t xml:space="preserve">енергийните ефекти, спестяванията на въглеродни емисии, икономическите ползи, </w:t>
      </w:r>
      <w:r w:rsidR="00C35EFA" w:rsidRPr="006F3533">
        <w:rPr>
          <w:rFonts w:ascii="Aptos" w:hAnsi="Aptos"/>
          <w:lang w:val="bg-BG"/>
        </w:rPr>
        <w:t xml:space="preserve">оценка на индикатора за интелигентна готовност, </w:t>
      </w:r>
      <w:r w:rsidR="009368C5" w:rsidRPr="006F3533">
        <w:rPr>
          <w:rFonts w:ascii="Aptos" w:hAnsi="Aptos"/>
          <w:lang w:val="bg-BG"/>
        </w:rPr>
        <w:t xml:space="preserve">очакван </w:t>
      </w:r>
      <w:r w:rsidRPr="006F3533">
        <w:rPr>
          <w:rFonts w:ascii="Aptos" w:hAnsi="Aptos"/>
          <w:lang w:val="bg-BG"/>
        </w:rPr>
        <w:t>жизнен цикъл на материалите</w:t>
      </w:r>
      <w:r w:rsidR="009368C5" w:rsidRPr="006F3533">
        <w:rPr>
          <w:rFonts w:ascii="Aptos" w:hAnsi="Aptos"/>
          <w:lang w:val="bg-BG"/>
        </w:rPr>
        <w:t>,</w:t>
      </w:r>
      <w:r w:rsidR="00C35EFA" w:rsidRPr="006F3533">
        <w:rPr>
          <w:rFonts w:ascii="Aptos" w:hAnsi="Aptos"/>
          <w:lang w:val="bg-BG"/>
        </w:rPr>
        <w:t xml:space="preserve"> компонентите</w:t>
      </w:r>
      <w:r w:rsidR="009368C5" w:rsidRPr="006F3533">
        <w:rPr>
          <w:rFonts w:ascii="Aptos" w:hAnsi="Aptos"/>
          <w:lang w:val="bg-BG"/>
        </w:rPr>
        <w:t xml:space="preserve"> и системите</w:t>
      </w:r>
      <w:r w:rsidR="00C35EFA" w:rsidRPr="006F3533">
        <w:rPr>
          <w:rFonts w:ascii="Aptos" w:hAnsi="Aptos"/>
          <w:lang w:val="bg-BG"/>
        </w:rPr>
        <w:t>,</w:t>
      </w:r>
      <w:r w:rsidRPr="006F3533">
        <w:rPr>
          <w:rFonts w:ascii="Aptos" w:hAnsi="Aptos"/>
          <w:lang w:val="bg-BG"/>
        </w:rPr>
        <w:t xml:space="preserve"> и свързаните ползи за здравето и вътрешния микроклимат. В отделен раздел ще се съдържат финансови насоки и препоръки за техническа помощ, така че собственикът да може да взема информирани решения при подготовката на инвестициите.</w:t>
      </w:r>
    </w:p>
    <w:p w14:paraId="7C104A67" w14:textId="77777777" w:rsidR="00B572B1" w:rsidRPr="006F3533" w:rsidRDefault="00B572B1" w:rsidP="00077D42">
      <w:pPr>
        <w:pStyle w:val="NormalWeb"/>
        <w:jc w:val="both"/>
        <w:rPr>
          <w:rFonts w:ascii="Aptos" w:hAnsi="Aptos"/>
          <w:lang w:val="bg-BG"/>
        </w:rPr>
      </w:pPr>
      <w:r w:rsidRPr="006F3533">
        <w:rPr>
          <w:rFonts w:ascii="Aptos" w:hAnsi="Aptos"/>
          <w:lang w:val="bg-BG"/>
        </w:rPr>
        <w:t>Издаването на паспорт ще се извършва от сертифицирани експерти с доказана квалификация в областта на енергийните обследвания и проектирането на мерки за енергийна ефективност. Посещението на място ще бъде задължително, за да се гарантира достоверност на данните и индивидуален подход към всяка сграда. Паспортът ще бъде в цифров формат, но ще може да се отпечатва в съкратена форма, предназначена за собствениците и ползвателите. В процеса на издаване се предвижда консултативен разговор между експерта и собственика, за да се обсъдят възможните сценарии и оптималната последователност на мерките.</w:t>
      </w:r>
    </w:p>
    <w:p w14:paraId="18034316"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За да се осигури достъпност и масово прилагане, ще бъдат въведени механизми за намаляване на разходите по изготвянето на паспортите. Сред тях са използване на съществуващите енергийни сертификати и бази данни, стандартизирани методи за </w:t>
      </w:r>
      <w:r w:rsidRPr="006F3533">
        <w:rPr>
          <w:rFonts w:ascii="Aptos" w:hAnsi="Aptos"/>
          <w:lang w:val="bg-BG"/>
        </w:rPr>
        <w:lastRenderedPageBreak/>
        <w:t>изчисления, както и възможност за колективно възлагане на паспорти за групи сходни сгради или жилищни комплекси. За уязвимите домакинства, малките и средните предприятия и общините ще бъдат осигурени субсидии за покриване на част или на целия разход за изготвяне на паспорта.</w:t>
      </w:r>
    </w:p>
    <w:p w14:paraId="50316B99" w14:textId="41FE0C2F" w:rsidR="00B572B1" w:rsidRPr="006F3533" w:rsidRDefault="00B572B1" w:rsidP="00077D42">
      <w:pPr>
        <w:pStyle w:val="NormalWeb"/>
        <w:jc w:val="both"/>
        <w:rPr>
          <w:rFonts w:ascii="Aptos" w:hAnsi="Aptos"/>
          <w:lang w:val="bg-BG"/>
        </w:rPr>
      </w:pPr>
      <w:r w:rsidRPr="006F3533">
        <w:rPr>
          <w:rFonts w:ascii="Aptos" w:hAnsi="Aptos"/>
          <w:lang w:val="bg-BG"/>
        </w:rPr>
        <w:t>Схемата за паспорти ще бъде тясно свързана с националната система за енергийно сертифициране. В случаите, когато е извършено пълно обследване и е издаден сертификат</w:t>
      </w:r>
      <w:r w:rsidR="00CD0D17" w:rsidRPr="006F3533">
        <w:rPr>
          <w:rFonts w:ascii="Aptos" w:hAnsi="Aptos"/>
          <w:lang w:val="bg-BG"/>
        </w:rPr>
        <w:t xml:space="preserve"> за енергийните характеристики</w:t>
      </w:r>
      <w:r w:rsidRPr="006F3533">
        <w:rPr>
          <w:rFonts w:ascii="Aptos" w:hAnsi="Aptos"/>
          <w:lang w:val="bg-BG"/>
        </w:rPr>
        <w:t xml:space="preserve"> (</w:t>
      </w:r>
      <w:r w:rsidR="00CD0D17" w:rsidRPr="006F3533">
        <w:rPr>
          <w:rFonts w:ascii="Aptos" w:hAnsi="Aptos"/>
          <w:lang w:val="bg-BG"/>
        </w:rPr>
        <w:t>СЕХ</w:t>
      </w:r>
      <w:r w:rsidRPr="006F3533">
        <w:rPr>
          <w:rFonts w:ascii="Aptos" w:hAnsi="Aptos"/>
          <w:lang w:val="bg-BG"/>
        </w:rPr>
        <w:t xml:space="preserve">), паспортът ще може да използва неговите резултати и да замести раздела с препоръки, като включи пътна карта и приоритетно подреждане на мерките. В обратната посока, при издаване на паспорт без валиден сертификат, данните ще се интегрират автоматично в регистъра на енергийните характеристики. Така се осигурява пълна съвместимост и взаимно допълване между двата инструмента, като се отчита различната им функция – </w:t>
      </w:r>
      <w:r w:rsidR="00CD0D17" w:rsidRPr="006F3533">
        <w:rPr>
          <w:rFonts w:ascii="Aptos" w:hAnsi="Aptos"/>
          <w:lang w:val="bg-BG"/>
        </w:rPr>
        <w:t>СЕХ</w:t>
      </w:r>
      <w:r w:rsidRPr="006F3533">
        <w:rPr>
          <w:rFonts w:ascii="Aptos" w:hAnsi="Aptos"/>
          <w:lang w:val="bg-BG"/>
        </w:rPr>
        <w:t xml:space="preserve"> като инструмент за</w:t>
      </w:r>
      <w:r w:rsidR="009368C5" w:rsidRPr="006F3533">
        <w:rPr>
          <w:rFonts w:ascii="Aptos" w:hAnsi="Aptos"/>
          <w:lang w:val="bg-BG"/>
        </w:rPr>
        <w:t xml:space="preserve"> подготовка на инвестиционен проект</w:t>
      </w:r>
      <w:r w:rsidRPr="006F3533">
        <w:rPr>
          <w:rFonts w:ascii="Aptos" w:hAnsi="Aptos"/>
          <w:lang w:val="bg-BG"/>
        </w:rPr>
        <w:t xml:space="preserve">, а </w:t>
      </w:r>
      <w:r w:rsidR="00CD0D17" w:rsidRPr="006F3533">
        <w:rPr>
          <w:rFonts w:ascii="Aptos" w:hAnsi="Aptos"/>
          <w:lang w:val="bg-BG"/>
        </w:rPr>
        <w:t xml:space="preserve">паспортите за сградно обновяване </w:t>
      </w:r>
      <w:r w:rsidRPr="006F3533">
        <w:rPr>
          <w:rFonts w:ascii="Aptos" w:hAnsi="Aptos"/>
          <w:lang w:val="bg-BG"/>
        </w:rPr>
        <w:t xml:space="preserve">като инструмент за </w:t>
      </w:r>
      <w:r w:rsidR="009368C5" w:rsidRPr="006F3533">
        <w:rPr>
          <w:rFonts w:ascii="Aptos" w:hAnsi="Aptos"/>
          <w:lang w:val="bg-BG"/>
        </w:rPr>
        <w:t xml:space="preserve">информиране, </w:t>
      </w:r>
      <w:r w:rsidRPr="006F3533">
        <w:rPr>
          <w:rFonts w:ascii="Aptos" w:hAnsi="Aptos"/>
          <w:lang w:val="bg-BG"/>
        </w:rPr>
        <w:t>планиране и управление на обновяването.</w:t>
      </w:r>
    </w:p>
    <w:p w14:paraId="12F9A6CC" w14:textId="2A58AF2B" w:rsidR="00B572B1" w:rsidRPr="006F3533" w:rsidRDefault="00B572B1" w:rsidP="00077D42">
      <w:pPr>
        <w:pStyle w:val="NormalWeb"/>
        <w:jc w:val="both"/>
        <w:rPr>
          <w:rFonts w:ascii="Aptos" w:hAnsi="Aptos"/>
          <w:lang w:val="bg-BG"/>
        </w:rPr>
      </w:pPr>
      <w:r w:rsidRPr="006F3533">
        <w:rPr>
          <w:rFonts w:ascii="Aptos" w:hAnsi="Aptos"/>
          <w:lang w:val="bg-BG"/>
        </w:rPr>
        <w:t>Особено внимание се отделя на дигитализацията и интеграцията на данните. Национален софтуерен инструмент за подготовка, актуализация и съхранение на паспортите ще бъде разработен от Агенцията за устойчиво енергийно развитие в</w:t>
      </w:r>
      <w:r w:rsidR="009368C5" w:rsidRPr="006F3533">
        <w:rPr>
          <w:rFonts w:ascii="Aptos" w:hAnsi="Aptos"/>
          <w:lang w:val="bg-BG"/>
        </w:rPr>
        <w:t xml:space="preserve"> рамките на проект за актуализацията на националния софтуер за сертифициране на сгради</w:t>
      </w:r>
      <w:r w:rsidRPr="006F3533">
        <w:rPr>
          <w:rFonts w:ascii="Aptos" w:hAnsi="Aptos"/>
          <w:lang w:val="bg-BG"/>
        </w:rPr>
        <w:t xml:space="preserve">. Той ще бъде свързан с националната база данни за енергийните характеристики на сградите и </w:t>
      </w:r>
      <w:r w:rsidR="009368C5" w:rsidRPr="006F3533">
        <w:rPr>
          <w:rFonts w:ascii="Aptos" w:hAnsi="Aptos"/>
          <w:lang w:val="bg-BG"/>
        </w:rPr>
        <w:t xml:space="preserve">ще позволява свързване </w:t>
      </w:r>
      <w:r w:rsidRPr="006F3533">
        <w:rPr>
          <w:rFonts w:ascii="Aptos" w:hAnsi="Aptos"/>
          <w:lang w:val="bg-BG"/>
        </w:rPr>
        <w:t>с потенциален бъдещ цифров дневник на сградата (</w:t>
      </w:r>
      <w:proofErr w:type="spellStart"/>
      <w:r w:rsidRPr="006F3533">
        <w:rPr>
          <w:rFonts w:ascii="Aptos" w:hAnsi="Aptos"/>
          <w:lang w:val="bg-BG"/>
        </w:rPr>
        <w:t>Digital</w:t>
      </w:r>
      <w:proofErr w:type="spellEnd"/>
      <w:r w:rsidRPr="006F3533">
        <w:rPr>
          <w:rFonts w:ascii="Aptos" w:hAnsi="Aptos"/>
          <w:lang w:val="bg-BG"/>
        </w:rPr>
        <w:t xml:space="preserve"> Building </w:t>
      </w:r>
      <w:proofErr w:type="spellStart"/>
      <w:r w:rsidRPr="006F3533">
        <w:rPr>
          <w:rFonts w:ascii="Aptos" w:hAnsi="Aptos"/>
          <w:lang w:val="bg-BG"/>
        </w:rPr>
        <w:t>Logbook</w:t>
      </w:r>
      <w:proofErr w:type="spellEnd"/>
      <w:r w:rsidRPr="006F3533">
        <w:rPr>
          <w:rFonts w:ascii="Aptos" w:hAnsi="Aptos"/>
          <w:lang w:val="bg-BG"/>
        </w:rPr>
        <w:t>). Всеки издаден паспорт ще има уникален идентификатор и ще бъде достъпен за собственика чрез защитен профил, а за публичните сгради – чрез отворен интерфейс. Платформата ще предлага и опростен онлайн „симулатор“ за собственици, чрез който те могат предварително да въведат данни и да получат примерен сценарий за обновяване, без това да има статут на официален паспорт.</w:t>
      </w:r>
    </w:p>
    <w:p w14:paraId="0E80AE43" w14:textId="77777777" w:rsidR="00B572B1" w:rsidRPr="006F3533" w:rsidRDefault="00B572B1" w:rsidP="00077D42">
      <w:pPr>
        <w:pStyle w:val="NormalWeb"/>
        <w:jc w:val="both"/>
        <w:rPr>
          <w:rFonts w:ascii="Aptos" w:hAnsi="Aptos"/>
          <w:lang w:val="bg-BG"/>
        </w:rPr>
      </w:pPr>
      <w:r w:rsidRPr="006F3533">
        <w:rPr>
          <w:rFonts w:ascii="Aptos" w:hAnsi="Aptos"/>
          <w:lang w:val="bg-BG"/>
        </w:rPr>
        <w:t>По този начин националната схема за паспорти за сградно обновяване ще осигури единен, достъпен и технологично съвместим инструмент, който свързва енергийните данни, техническите решения и финансовата подкрепа в единна цифрова рамка. Тя ще позволи не само по-информирани инвестиционни решения, но и системно проследяване на напредъка по пътя към дълбоко обновяване и нулево-емисионен сграден фонд.</w:t>
      </w:r>
    </w:p>
    <w:p w14:paraId="79AA051F" w14:textId="765226DD" w:rsidR="00B572B1" w:rsidRPr="006F3533" w:rsidRDefault="00B572B1" w:rsidP="00077D42">
      <w:pPr>
        <w:pStyle w:val="Heading2"/>
        <w:jc w:val="both"/>
        <w:rPr>
          <w:rFonts w:eastAsiaTheme="minorHAnsi" w:cstheme="minorBidi"/>
          <w:color w:val="auto"/>
          <w:sz w:val="24"/>
          <w:szCs w:val="24"/>
          <w:lang w:val="bg-BG"/>
        </w:rPr>
      </w:pPr>
      <w:bookmarkStart w:id="222" w:name="_Toc216816099"/>
      <w:bookmarkStart w:id="223" w:name="_Toc216857819"/>
      <w:bookmarkStart w:id="224" w:name="_Toc217888834"/>
      <w:r w:rsidRPr="006F3533">
        <w:rPr>
          <w:rFonts w:eastAsiaTheme="minorHAnsi" w:cstheme="minorBidi"/>
          <w:color w:val="auto"/>
          <w:sz w:val="24"/>
          <w:szCs w:val="24"/>
          <w:lang w:val="bg-BG"/>
        </w:rPr>
        <w:t>Финансови, фискални, административни и технически стимули (акцент върху цялостното обновяване)</w:t>
      </w:r>
      <w:bookmarkEnd w:id="222"/>
      <w:bookmarkEnd w:id="223"/>
      <w:bookmarkEnd w:id="224"/>
    </w:p>
    <w:p w14:paraId="0A936CBA" w14:textId="73D937BF" w:rsidR="00B572B1" w:rsidRPr="006F3533" w:rsidRDefault="00B572B1" w:rsidP="00077D42">
      <w:pPr>
        <w:pStyle w:val="NormalWeb"/>
        <w:jc w:val="both"/>
        <w:rPr>
          <w:rFonts w:ascii="Aptos" w:hAnsi="Aptos"/>
          <w:lang w:val="bg-BG"/>
        </w:rPr>
      </w:pPr>
      <w:r w:rsidRPr="006F3533">
        <w:rPr>
          <w:rFonts w:ascii="Aptos" w:hAnsi="Aptos"/>
          <w:lang w:val="bg-BG"/>
        </w:rPr>
        <w:t xml:space="preserve">Настоящата рамка </w:t>
      </w:r>
      <w:proofErr w:type="spellStart"/>
      <w:r w:rsidRPr="006F3533">
        <w:rPr>
          <w:rFonts w:ascii="Aptos" w:hAnsi="Aptos"/>
          <w:lang w:val="bg-BG"/>
        </w:rPr>
        <w:t>приоритизира</w:t>
      </w:r>
      <w:proofErr w:type="spellEnd"/>
      <w:r w:rsidRPr="006F3533">
        <w:rPr>
          <w:rFonts w:ascii="Aptos" w:hAnsi="Aptos"/>
          <w:lang w:val="bg-BG"/>
        </w:rPr>
        <w:t xml:space="preserve"> </w:t>
      </w:r>
      <w:r w:rsidRPr="006F3533">
        <w:rPr>
          <w:rStyle w:val="Strong"/>
          <w:rFonts w:ascii="Aptos" w:hAnsi="Aptos"/>
          <w:lang w:val="bg-BG"/>
        </w:rPr>
        <w:t>цялостното сградно обновяване</w:t>
      </w:r>
      <w:r w:rsidRPr="006F3533">
        <w:rPr>
          <w:rFonts w:ascii="Aptos" w:hAnsi="Aptos"/>
          <w:lang w:val="bg-BG"/>
        </w:rPr>
        <w:t xml:space="preserve"> като стандартен подход за постигане на съществено и трайно намаление на първичната енергия и емисиите. </w:t>
      </w:r>
      <w:r w:rsidRPr="006F3533">
        <w:rPr>
          <w:rStyle w:val="Strong"/>
          <w:rFonts w:ascii="Aptos" w:hAnsi="Aptos"/>
          <w:lang w:val="bg-BG"/>
        </w:rPr>
        <w:t>Частични интервенции</w:t>
      </w:r>
      <w:r w:rsidRPr="006F3533">
        <w:rPr>
          <w:rFonts w:ascii="Aptos" w:hAnsi="Aptos"/>
          <w:lang w:val="bg-BG"/>
        </w:rPr>
        <w:t xml:space="preserve"> са допустими </w:t>
      </w:r>
      <w:r w:rsidRPr="006F3533">
        <w:rPr>
          <w:rStyle w:val="Strong"/>
          <w:rFonts w:ascii="Aptos" w:hAnsi="Aptos"/>
          <w:lang w:val="bg-BG"/>
        </w:rPr>
        <w:t>само като етапи</w:t>
      </w:r>
      <w:r w:rsidRPr="006F3533">
        <w:rPr>
          <w:rFonts w:ascii="Aptos" w:hAnsi="Aptos"/>
          <w:lang w:val="bg-BG"/>
        </w:rPr>
        <w:t xml:space="preserve"> по </w:t>
      </w:r>
      <w:r w:rsidRPr="006F3533">
        <w:rPr>
          <w:rStyle w:val="Strong"/>
          <w:rFonts w:ascii="Aptos" w:hAnsi="Aptos"/>
          <w:lang w:val="bg-BG"/>
        </w:rPr>
        <w:t>паспорт за сградно обновяване</w:t>
      </w:r>
      <w:r w:rsidRPr="006F3533">
        <w:rPr>
          <w:rFonts w:ascii="Aptos" w:hAnsi="Aptos"/>
          <w:lang w:val="bg-BG"/>
        </w:rPr>
        <w:t xml:space="preserve">, при който всяка стъпка е подчинена на крайна цел – </w:t>
      </w:r>
      <w:r w:rsidRPr="006F3533">
        <w:rPr>
          <w:rStyle w:val="Strong"/>
          <w:rFonts w:ascii="Aptos" w:hAnsi="Aptos"/>
          <w:lang w:val="bg-BG"/>
        </w:rPr>
        <w:t>дълбоко</w:t>
      </w:r>
      <w:r w:rsidRPr="006F3533">
        <w:rPr>
          <w:rFonts w:ascii="Aptos" w:hAnsi="Aptos"/>
          <w:lang w:val="bg-BG"/>
        </w:rPr>
        <w:t xml:space="preserve"> или </w:t>
      </w:r>
      <w:r w:rsidRPr="006F3533">
        <w:rPr>
          <w:rStyle w:val="Strong"/>
          <w:rFonts w:ascii="Aptos" w:hAnsi="Aptos"/>
          <w:lang w:val="bg-BG"/>
        </w:rPr>
        <w:t>поетапно дълбоко</w:t>
      </w:r>
      <w:r w:rsidRPr="006F3533">
        <w:rPr>
          <w:rFonts w:ascii="Aptos" w:hAnsi="Aptos"/>
          <w:lang w:val="bg-BG"/>
        </w:rPr>
        <w:t xml:space="preserve"> обновяване – и доказуемо не блокира достигането ѝ. По този начин се гарантира, че публичната подкрепа не фиксира ниски нива на ефективност и че програмните ресурси обслужват последователност от мерки с ясно определени цели, срокове и индикатори.</w:t>
      </w:r>
    </w:p>
    <w:p w14:paraId="54BED5CA" w14:textId="77777777" w:rsidR="00B572B1" w:rsidRPr="006F3533" w:rsidRDefault="00B572B1" w:rsidP="00077D42">
      <w:pPr>
        <w:pStyle w:val="NormalWeb"/>
        <w:jc w:val="both"/>
        <w:rPr>
          <w:rStyle w:val="relative"/>
          <w:rFonts w:ascii="Aptos" w:hAnsi="Aptos"/>
          <w:lang w:val="bg-BG"/>
        </w:rPr>
      </w:pPr>
      <w:r w:rsidRPr="006F3533">
        <w:rPr>
          <w:rFonts w:ascii="Aptos" w:hAnsi="Aptos"/>
          <w:lang w:val="bg-BG"/>
        </w:rPr>
        <w:lastRenderedPageBreak/>
        <w:t xml:space="preserve">Централният инструмент за прилагането на тази политика е </w:t>
      </w:r>
      <w:r w:rsidRPr="006F3533">
        <w:rPr>
          <w:rStyle w:val="Strong"/>
          <w:rFonts w:ascii="Aptos" w:hAnsi="Aptos"/>
          <w:lang w:val="bg-BG"/>
        </w:rPr>
        <w:t xml:space="preserve">Националният фонд за </w:t>
      </w:r>
      <w:proofErr w:type="spellStart"/>
      <w:r w:rsidRPr="006F3533">
        <w:rPr>
          <w:rStyle w:val="Strong"/>
          <w:rFonts w:ascii="Aptos" w:hAnsi="Aptos"/>
          <w:lang w:val="bg-BG"/>
        </w:rPr>
        <w:t>декарбонизация</w:t>
      </w:r>
      <w:proofErr w:type="spellEnd"/>
      <w:r w:rsidRPr="006F3533">
        <w:rPr>
          <w:rFonts w:ascii="Aptos" w:hAnsi="Aptos"/>
          <w:lang w:val="bg-BG"/>
        </w:rPr>
        <w:t xml:space="preserve"> - юридическо лице, което финансира мерки за енергийна ефективност и възобновяема енергия в сгради, включително техническа помощ. Фондът управлява средства за проекти, подчинени на приоритетите на Стратегията за устойчиво енергийно развитие, Интегрирания план в областта на енергетиката и климата и Дългосрочната национална стратегия за обновяване на сградния фонд; може да договаря с финансови посредници кредитни линии, гаранции и комбинации между тях за отделни категории сгради; и осигурява обслужване „на едно гише“ за техническа помощ към заинтересованите лица. Тези правомощия са закрепени нормативно и са предпоставка за мащабиране на </w:t>
      </w:r>
      <w:proofErr w:type="spellStart"/>
      <w:r w:rsidRPr="006F3533">
        <w:rPr>
          <w:rFonts w:ascii="Aptos" w:hAnsi="Aptos"/>
          <w:lang w:val="bg-BG"/>
        </w:rPr>
        <w:t>проектоподготовката</w:t>
      </w:r>
      <w:proofErr w:type="spellEnd"/>
      <w:r w:rsidRPr="006F3533">
        <w:rPr>
          <w:rFonts w:ascii="Aptos" w:hAnsi="Aptos"/>
          <w:lang w:val="bg-BG"/>
        </w:rPr>
        <w:t xml:space="preserve"> и за намаляване на транзакционните разходи за домакинства, общини и предприятия. </w:t>
      </w:r>
    </w:p>
    <w:p w14:paraId="381C8565" w14:textId="77777777" w:rsidR="00B572B1" w:rsidRPr="006F3533" w:rsidRDefault="00B572B1" w:rsidP="00077D42">
      <w:pPr>
        <w:pStyle w:val="NormalWeb"/>
        <w:jc w:val="both"/>
        <w:rPr>
          <w:rStyle w:val="relative"/>
          <w:rFonts w:ascii="Aptos" w:hAnsi="Aptos"/>
          <w:lang w:val="bg-BG"/>
        </w:rPr>
      </w:pPr>
      <w:r w:rsidRPr="006F3533">
        <w:rPr>
          <w:rFonts w:ascii="Aptos" w:hAnsi="Aptos"/>
          <w:lang w:val="bg-BG"/>
        </w:rPr>
        <w:t xml:space="preserve">Капитализацията и устойчивостта на НФД стъпват на </w:t>
      </w:r>
      <w:r w:rsidRPr="006F3533">
        <w:rPr>
          <w:rStyle w:val="Strong"/>
          <w:rFonts w:ascii="Aptos" w:hAnsi="Aptos"/>
          <w:lang w:val="bg-BG"/>
        </w:rPr>
        <w:t>многоканално финансиране</w:t>
      </w:r>
      <w:r w:rsidRPr="006F3533">
        <w:rPr>
          <w:rFonts w:ascii="Aptos" w:hAnsi="Aptos"/>
          <w:lang w:val="bg-BG"/>
        </w:rPr>
        <w:t xml:space="preserve">. Законът предвижда дарения от международни институции и частни лица, лихвени приходи, заеми от международни банки, </w:t>
      </w:r>
      <w:r w:rsidRPr="006F3533">
        <w:rPr>
          <w:rStyle w:val="Strong"/>
          <w:rFonts w:ascii="Aptos" w:hAnsi="Aptos"/>
          <w:lang w:val="bg-BG"/>
        </w:rPr>
        <w:t>средства от европейски фондове и държавния бюджет</w:t>
      </w:r>
      <w:r w:rsidRPr="006F3533">
        <w:rPr>
          <w:rFonts w:ascii="Aptos" w:hAnsi="Aptos"/>
          <w:lang w:val="bg-BG"/>
        </w:rPr>
        <w:t xml:space="preserve">, както и </w:t>
      </w:r>
      <w:r w:rsidRPr="006F3533">
        <w:rPr>
          <w:rStyle w:val="Strong"/>
          <w:rFonts w:ascii="Aptos" w:hAnsi="Aptos"/>
          <w:lang w:val="bg-BG"/>
        </w:rPr>
        <w:t>приходи от търговия с емисии (ETS2) за сградния сектор и транспорта</w:t>
      </w:r>
      <w:r w:rsidRPr="006F3533">
        <w:rPr>
          <w:rFonts w:ascii="Aptos" w:hAnsi="Aptos"/>
          <w:lang w:val="bg-BG"/>
        </w:rPr>
        <w:t xml:space="preserve">, при липса на противна уредба в специален закон. Въвежда се и механизъм за участие на донорите в общото събрание, което укрепва прозрачността и отговорността при управлението на средствата. Така се обезпечава стабилна основа за дългосрочни финансови инструменти, а не за циклични </w:t>
      </w:r>
      <w:proofErr w:type="spellStart"/>
      <w:r w:rsidRPr="006F3533">
        <w:rPr>
          <w:rFonts w:ascii="Aptos" w:hAnsi="Aptos"/>
          <w:lang w:val="bg-BG"/>
        </w:rPr>
        <w:t>грантови</w:t>
      </w:r>
      <w:proofErr w:type="spellEnd"/>
      <w:r w:rsidRPr="006F3533">
        <w:rPr>
          <w:rFonts w:ascii="Aptos" w:hAnsi="Aptos"/>
          <w:lang w:val="bg-BG"/>
        </w:rPr>
        <w:t xml:space="preserve"> кампании с ограничен обхват. </w:t>
      </w:r>
    </w:p>
    <w:p w14:paraId="39363375" w14:textId="313B3BD9" w:rsidR="00B572B1" w:rsidRPr="006F3533" w:rsidRDefault="00B572B1" w:rsidP="00077D42">
      <w:pPr>
        <w:pStyle w:val="NormalWeb"/>
        <w:jc w:val="both"/>
        <w:rPr>
          <w:rFonts w:ascii="Aptos" w:hAnsi="Aptos"/>
          <w:lang w:val="bg-BG"/>
        </w:rPr>
      </w:pPr>
      <w:r w:rsidRPr="006F3533">
        <w:rPr>
          <w:rStyle w:val="Strong"/>
          <w:rFonts w:ascii="Aptos" w:hAnsi="Aptos"/>
          <w:lang w:val="bg-BG"/>
        </w:rPr>
        <w:t>Оперативната рамка</w:t>
      </w:r>
      <w:r w:rsidRPr="006F3533">
        <w:rPr>
          <w:rFonts w:ascii="Aptos" w:hAnsi="Aptos"/>
          <w:lang w:val="bg-BG"/>
        </w:rPr>
        <w:t xml:space="preserve"> на НФД включва възмездно финансиране на мерки за енергийна ефективност и ВЕИ в жилищни, публични и търговски сгради; гаранции по кредити от финансови институции; </w:t>
      </w:r>
      <w:proofErr w:type="spellStart"/>
      <w:r w:rsidRPr="006F3533">
        <w:rPr>
          <w:rStyle w:val="Strong"/>
          <w:rFonts w:ascii="Aptos" w:hAnsi="Aptos"/>
          <w:lang w:val="bg-BG"/>
        </w:rPr>
        <w:t>съчетаеми</w:t>
      </w:r>
      <w:proofErr w:type="spellEnd"/>
      <w:r w:rsidRPr="006F3533">
        <w:rPr>
          <w:rStyle w:val="Strong"/>
          <w:rFonts w:ascii="Aptos" w:hAnsi="Aptos"/>
          <w:lang w:val="bg-BG"/>
        </w:rPr>
        <w:t xml:space="preserve"> финансови инструменти</w:t>
      </w:r>
      <w:r w:rsidRPr="006F3533">
        <w:rPr>
          <w:rFonts w:ascii="Aptos" w:hAnsi="Aptos"/>
          <w:lang w:val="bg-BG"/>
        </w:rPr>
        <w:t xml:space="preserve"> (кредитни линии и гаранции) с </w:t>
      </w:r>
      <w:r w:rsidRPr="006F3533">
        <w:rPr>
          <w:rStyle w:val="Strong"/>
          <w:rFonts w:ascii="Aptos" w:hAnsi="Aptos"/>
          <w:lang w:val="bg-BG"/>
        </w:rPr>
        <w:t xml:space="preserve">вграден </w:t>
      </w:r>
      <w:proofErr w:type="spellStart"/>
      <w:r w:rsidRPr="006F3533">
        <w:rPr>
          <w:rStyle w:val="Strong"/>
          <w:rFonts w:ascii="Aptos" w:hAnsi="Aptos"/>
          <w:lang w:val="bg-BG"/>
        </w:rPr>
        <w:t>грантов</w:t>
      </w:r>
      <w:proofErr w:type="spellEnd"/>
      <w:r w:rsidRPr="006F3533">
        <w:rPr>
          <w:rStyle w:val="Strong"/>
          <w:rFonts w:ascii="Aptos" w:hAnsi="Aptos"/>
          <w:lang w:val="bg-BG"/>
        </w:rPr>
        <w:t xml:space="preserve"> компонент</w:t>
      </w:r>
      <w:r w:rsidRPr="006F3533">
        <w:rPr>
          <w:rFonts w:ascii="Aptos" w:hAnsi="Aptos"/>
          <w:lang w:val="bg-BG"/>
        </w:rPr>
        <w:t xml:space="preserve">; и целева </w:t>
      </w:r>
      <w:r w:rsidRPr="006F3533">
        <w:rPr>
          <w:rStyle w:val="Strong"/>
          <w:rFonts w:ascii="Aptos" w:hAnsi="Aptos"/>
          <w:lang w:val="bg-BG"/>
        </w:rPr>
        <w:t>техническа помощ</w:t>
      </w:r>
      <w:r w:rsidRPr="006F3533">
        <w:rPr>
          <w:rFonts w:ascii="Aptos" w:hAnsi="Aptos"/>
          <w:lang w:val="bg-BG"/>
        </w:rPr>
        <w:t xml:space="preserve"> за </w:t>
      </w:r>
      <w:r w:rsidR="00C061F8" w:rsidRPr="006F3533">
        <w:rPr>
          <w:rFonts w:ascii="Aptos" w:hAnsi="Aptos"/>
          <w:lang w:val="bg-BG"/>
        </w:rPr>
        <w:t>технически паспорти, енергийни обследвания</w:t>
      </w:r>
      <w:r w:rsidRPr="006F3533">
        <w:rPr>
          <w:rFonts w:ascii="Aptos" w:hAnsi="Aptos"/>
          <w:lang w:val="bg-BG"/>
        </w:rPr>
        <w:t xml:space="preserve">, </w:t>
      </w:r>
      <w:r w:rsidR="00CD0D17" w:rsidRPr="006F3533">
        <w:rPr>
          <w:rFonts w:ascii="Aptos" w:hAnsi="Aptos"/>
          <w:lang w:val="bg-BG"/>
        </w:rPr>
        <w:t xml:space="preserve">паспорти за сградно обновяване </w:t>
      </w:r>
      <w:r w:rsidRPr="006F3533">
        <w:rPr>
          <w:rFonts w:ascii="Aptos" w:hAnsi="Aptos"/>
          <w:lang w:val="bg-BG"/>
        </w:rPr>
        <w:t xml:space="preserve">и търговски процедури. Организацията допуска специализирани звена по категории сгради или работа чрез финансови посредници, съгласно споразуменията по закон. Оперативните правила на фонда уреждат инвестиционната стратегия, продуктовото портфолио, управлението на риска, крайните получатели и допустимите проекти, включително комбинацията от заем, грант и техническа помощ. Тази конструкция е пряко създадена, за да подкрепи </w:t>
      </w:r>
      <w:r w:rsidRPr="006F3533">
        <w:rPr>
          <w:rStyle w:val="Strong"/>
          <w:rFonts w:ascii="Aptos" w:hAnsi="Aptos"/>
          <w:lang w:val="bg-BG"/>
        </w:rPr>
        <w:t>дълбочинно ориентирани схеми</w:t>
      </w:r>
      <w:r w:rsidRPr="006F3533">
        <w:rPr>
          <w:rFonts w:ascii="Aptos" w:hAnsi="Aptos"/>
          <w:lang w:val="bg-BG"/>
        </w:rPr>
        <w:t xml:space="preserve"> и масово прилагане на поетапно обновяване според паспорт за сградно обновяване.</w:t>
      </w:r>
    </w:p>
    <w:p w14:paraId="6F60D915" w14:textId="0DAE66CD" w:rsidR="00B572B1" w:rsidRPr="006F3533" w:rsidRDefault="00B572B1" w:rsidP="00077D42">
      <w:pPr>
        <w:pStyle w:val="NormalWeb"/>
        <w:jc w:val="both"/>
        <w:rPr>
          <w:rStyle w:val="relative"/>
          <w:rFonts w:ascii="Aptos" w:hAnsi="Aptos"/>
          <w:lang w:val="bg-BG"/>
        </w:rPr>
      </w:pPr>
      <w:r w:rsidRPr="006F3533">
        <w:rPr>
          <w:rFonts w:ascii="Aptos" w:hAnsi="Aptos"/>
          <w:lang w:val="bg-BG"/>
        </w:rPr>
        <w:t xml:space="preserve">В практическото изпълнение </w:t>
      </w:r>
      <w:r w:rsidRPr="006F3533">
        <w:rPr>
          <w:rStyle w:val="Strong"/>
          <w:rFonts w:ascii="Aptos" w:hAnsi="Aptos"/>
          <w:lang w:val="bg-BG"/>
        </w:rPr>
        <w:t>НФД не замества мрежата от Центрове за комплексно обслужване (ЦКО/OSS)</w:t>
      </w:r>
      <w:r w:rsidRPr="006F3533">
        <w:rPr>
          <w:rFonts w:ascii="Aptos" w:hAnsi="Aptos"/>
          <w:lang w:val="bg-BG"/>
        </w:rPr>
        <w:t xml:space="preserve"> и не предоставя директно фронт-офис услуги, а </w:t>
      </w:r>
      <w:r w:rsidRPr="006F3533">
        <w:rPr>
          <w:rStyle w:val="Strong"/>
          <w:rFonts w:ascii="Aptos" w:hAnsi="Aptos"/>
          <w:lang w:val="bg-BG"/>
        </w:rPr>
        <w:t>финансира, стандартизира и коо</w:t>
      </w:r>
      <w:r w:rsidR="00CD0D17" w:rsidRPr="006F3533">
        <w:rPr>
          <w:rStyle w:val="Strong"/>
          <w:rFonts w:ascii="Aptos" w:hAnsi="Aptos"/>
          <w:lang w:val="bg-BG"/>
        </w:rPr>
        <w:t>р</w:t>
      </w:r>
      <w:r w:rsidRPr="006F3533">
        <w:rPr>
          <w:rStyle w:val="Strong"/>
          <w:rFonts w:ascii="Aptos" w:hAnsi="Aptos"/>
          <w:lang w:val="bg-BG"/>
        </w:rPr>
        <w:t>динира</w:t>
      </w:r>
      <w:r w:rsidRPr="006F3533">
        <w:rPr>
          <w:rFonts w:ascii="Aptos" w:hAnsi="Aptos"/>
          <w:lang w:val="bg-BG"/>
        </w:rPr>
        <w:t xml:space="preserve"> тяхната дейност в рамките на програма. Ролята на фонда е да осигурява </w:t>
      </w:r>
      <w:r w:rsidRPr="006F3533">
        <w:rPr>
          <w:rStyle w:val="Strong"/>
          <w:rFonts w:ascii="Aptos" w:hAnsi="Aptos"/>
          <w:lang w:val="bg-BG"/>
        </w:rPr>
        <w:t>единни методически изисквания</w:t>
      </w:r>
      <w:r w:rsidRPr="006F3533">
        <w:rPr>
          <w:rFonts w:ascii="Aptos" w:hAnsi="Aptos"/>
          <w:lang w:val="bg-BG"/>
        </w:rPr>
        <w:t xml:space="preserve"> (формати за паспорти за обновяване, шаблони за тръжни документи, контрол на качеството), </w:t>
      </w:r>
      <w:r w:rsidRPr="006F3533">
        <w:rPr>
          <w:rStyle w:val="Strong"/>
          <w:rFonts w:ascii="Aptos" w:hAnsi="Aptos"/>
          <w:lang w:val="bg-BG"/>
        </w:rPr>
        <w:t xml:space="preserve">ресурс за </w:t>
      </w:r>
      <w:proofErr w:type="spellStart"/>
      <w:r w:rsidRPr="006F3533">
        <w:rPr>
          <w:rStyle w:val="Strong"/>
          <w:rFonts w:ascii="Aptos" w:hAnsi="Aptos"/>
          <w:lang w:val="bg-BG"/>
        </w:rPr>
        <w:t>проектоподготовка</w:t>
      </w:r>
      <w:proofErr w:type="spellEnd"/>
      <w:r w:rsidRPr="006F3533">
        <w:rPr>
          <w:rFonts w:ascii="Aptos" w:hAnsi="Aptos"/>
          <w:lang w:val="bg-BG"/>
        </w:rPr>
        <w:t xml:space="preserve"> и </w:t>
      </w:r>
      <w:r w:rsidRPr="006F3533">
        <w:rPr>
          <w:rStyle w:val="Strong"/>
          <w:rFonts w:ascii="Aptos" w:hAnsi="Aptos"/>
          <w:lang w:val="bg-BG"/>
        </w:rPr>
        <w:t>интеграция с финансовите инструменти</w:t>
      </w:r>
      <w:r w:rsidRPr="006F3533">
        <w:rPr>
          <w:rFonts w:ascii="Aptos" w:hAnsi="Aptos"/>
          <w:lang w:val="bg-BG"/>
        </w:rPr>
        <w:t xml:space="preserve">, като реалната консултантска и административна подкрепа се извършва от </w:t>
      </w:r>
      <w:r w:rsidRPr="006F3533">
        <w:rPr>
          <w:rStyle w:val="Strong"/>
          <w:rFonts w:ascii="Aptos" w:hAnsi="Aptos"/>
          <w:lang w:val="bg-BG"/>
        </w:rPr>
        <w:t>местни ЦКО</w:t>
      </w:r>
      <w:r w:rsidRPr="006F3533">
        <w:rPr>
          <w:rFonts w:ascii="Aptos" w:hAnsi="Aptos"/>
          <w:lang w:val="bg-BG"/>
        </w:rPr>
        <w:t xml:space="preserve"> – към общини, регионални структури или избрани оператори. Така се съчетава мащабът и финансовата дисциплина на НФД с близостта до собственика и пазарната гъвкавост на локалните екипи. </w:t>
      </w:r>
    </w:p>
    <w:p w14:paraId="7174E2B4" w14:textId="043ABAC8" w:rsidR="00B572B1" w:rsidRPr="006F3533" w:rsidRDefault="00B572B1" w:rsidP="00077D42">
      <w:pPr>
        <w:pStyle w:val="NormalWeb"/>
        <w:jc w:val="both"/>
        <w:rPr>
          <w:rStyle w:val="relative"/>
          <w:rFonts w:ascii="Aptos" w:hAnsi="Aptos"/>
          <w:lang w:val="bg-BG"/>
        </w:rPr>
      </w:pPr>
      <w:r w:rsidRPr="006F3533">
        <w:rPr>
          <w:rFonts w:ascii="Aptos" w:hAnsi="Aptos"/>
          <w:lang w:val="bg-BG"/>
        </w:rPr>
        <w:t xml:space="preserve">Същевременно, докато в средносрочен план е планирано изпълнението на </w:t>
      </w:r>
      <w:r w:rsidRPr="006F3533">
        <w:rPr>
          <w:rStyle w:val="Strong"/>
          <w:rFonts w:ascii="Aptos" w:hAnsi="Aptos"/>
          <w:lang w:val="bg-BG"/>
        </w:rPr>
        <w:t>схеми със 100% безвъзмездна помощ</w:t>
      </w:r>
      <w:r w:rsidRPr="006F3533">
        <w:rPr>
          <w:rFonts w:ascii="Aptos" w:hAnsi="Aptos"/>
          <w:lang w:val="bg-BG"/>
        </w:rPr>
        <w:t xml:space="preserve">, е </w:t>
      </w:r>
      <w:r w:rsidRPr="006F3533">
        <w:rPr>
          <w:rStyle w:val="Strong"/>
          <w:rFonts w:ascii="Aptos" w:hAnsi="Aptos"/>
          <w:lang w:val="bg-BG"/>
        </w:rPr>
        <w:t>очевидно</w:t>
      </w:r>
      <w:r w:rsidRPr="006F3533">
        <w:rPr>
          <w:rFonts w:ascii="Aptos" w:hAnsi="Aptos"/>
          <w:lang w:val="bg-BG"/>
        </w:rPr>
        <w:t xml:space="preserve">, че те </w:t>
      </w:r>
      <w:r w:rsidRPr="006F3533">
        <w:rPr>
          <w:rStyle w:val="Strong"/>
          <w:rFonts w:ascii="Aptos" w:hAnsi="Aptos"/>
          <w:lang w:val="bg-BG"/>
        </w:rPr>
        <w:t>не могат да покрият</w:t>
      </w:r>
      <w:r w:rsidRPr="006F3533">
        <w:rPr>
          <w:rFonts w:ascii="Aptos" w:hAnsi="Aptos"/>
          <w:lang w:val="bg-BG"/>
        </w:rPr>
        <w:t xml:space="preserve"> обема на нуждата и </w:t>
      </w:r>
      <w:r w:rsidRPr="006F3533">
        <w:rPr>
          <w:rFonts w:ascii="Aptos" w:hAnsi="Aptos"/>
          <w:lang w:val="bg-BG"/>
        </w:rPr>
        <w:lastRenderedPageBreak/>
        <w:t>стратегическите цели, определени в настоящия план: дори съвкупно с новите 1,1 млрд. лв. по НПВУ и предвидените 2,5 млрд. лв. по следващия ета</w:t>
      </w:r>
      <w:r w:rsidR="00CD0D17" w:rsidRPr="006F3533">
        <w:rPr>
          <w:rFonts w:ascii="Aptos" w:hAnsi="Aptos"/>
          <w:lang w:val="bg-BG"/>
        </w:rPr>
        <w:t>п</w:t>
      </w:r>
      <w:r w:rsidRPr="006F3533">
        <w:rPr>
          <w:rFonts w:ascii="Aptos" w:hAnsi="Aptos"/>
          <w:lang w:val="bg-BG"/>
        </w:rPr>
        <w:t xml:space="preserve"> на Националната програма за енергийна ефективност на многофамилните жилищни сгради, при 100% БФП, остава </w:t>
      </w:r>
      <w:r w:rsidRPr="006F3533">
        <w:rPr>
          <w:rStyle w:val="Strong"/>
          <w:rFonts w:ascii="Aptos" w:hAnsi="Aptos"/>
          <w:lang w:val="bg-BG"/>
        </w:rPr>
        <w:t>огромен неизпълнен потенциал</w:t>
      </w:r>
      <w:r w:rsidRPr="006F3533">
        <w:rPr>
          <w:rFonts w:ascii="Aptos" w:hAnsi="Aptos"/>
          <w:lang w:val="bg-BG"/>
        </w:rPr>
        <w:t xml:space="preserve"> сред 60 000+ многофамилни и 1,2 млн. еднофамилни сгради, с нужда над 150 млрд. лв. Това налага </w:t>
      </w:r>
      <w:r w:rsidRPr="006F3533">
        <w:rPr>
          <w:rStyle w:val="Strong"/>
          <w:rFonts w:ascii="Aptos" w:hAnsi="Aptos"/>
          <w:lang w:val="bg-BG"/>
        </w:rPr>
        <w:t>паралелни схеми</w:t>
      </w:r>
      <w:r w:rsidRPr="006F3533">
        <w:rPr>
          <w:rFonts w:ascii="Aptos" w:hAnsi="Aptos"/>
          <w:lang w:val="bg-BG"/>
        </w:rPr>
        <w:t xml:space="preserve"> за привличане на </w:t>
      </w:r>
      <w:r w:rsidRPr="006F3533">
        <w:rPr>
          <w:rStyle w:val="Strong"/>
          <w:rFonts w:ascii="Aptos" w:hAnsi="Aptos"/>
          <w:lang w:val="bg-BG"/>
        </w:rPr>
        <w:t>собствен ресурс</w:t>
      </w:r>
      <w:r w:rsidRPr="006F3533">
        <w:rPr>
          <w:rFonts w:ascii="Aptos" w:hAnsi="Aptos"/>
          <w:lang w:val="bg-BG"/>
        </w:rPr>
        <w:t xml:space="preserve"> – </w:t>
      </w:r>
      <w:r w:rsidRPr="006F3533">
        <w:rPr>
          <w:rStyle w:val="Strong"/>
          <w:rFonts w:ascii="Aptos" w:hAnsi="Aptos"/>
          <w:lang w:val="bg-BG"/>
        </w:rPr>
        <w:t>частичен грант + преференциален заем</w:t>
      </w:r>
      <w:r w:rsidRPr="006F3533">
        <w:rPr>
          <w:rFonts w:ascii="Aptos" w:hAnsi="Aptos"/>
          <w:lang w:val="bg-BG"/>
        </w:rPr>
        <w:t xml:space="preserve">, насочени към всички, които са извън обсега на 100% грантовете. </w:t>
      </w:r>
    </w:p>
    <w:p w14:paraId="4B2DF477" w14:textId="77777777" w:rsidR="00494258" w:rsidRPr="006F3533" w:rsidRDefault="00494258" w:rsidP="00494258">
      <w:pPr>
        <w:pStyle w:val="NormalWeb"/>
        <w:jc w:val="both"/>
        <w:rPr>
          <w:rFonts w:ascii="Aptos" w:hAnsi="Aptos"/>
          <w:lang w:val="bg-BG"/>
        </w:rPr>
      </w:pPr>
      <w:r w:rsidRPr="006F3533">
        <w:rPr>
          <w:rFonts w:ascii="Aptos" w:hAnsi="Aptos"/>
          <w:lang w:val="bg-BG"/>
        </w:rPr>
        <w:t xml:space="preserve">На тази основа се предлага пилотна паралелна схема за дълбоко обновяване (в рамките на НФД) с интензитет на гранта до 49,9%, комбиниран с нисколихвени кредити (вкл. през търговски банки), гаранции (напр. чрез ББР) и систематична техническа помощ (вкл. ELENA-подобни механизми). Енергийно уязвимите домакинства получават допълнителна подкрепа, например чрез Социалния климатичен фонд – по-висок грант и/или субсидирани лихви – без да се блокира участието на останалите съсобственици в многофамилни сгради. Програмата започва с ограничен </w:t>
      </w:r>
      <w:proofErr w:type="spellStart"/>
      <w:r w:rsidRPr="006F3533">
        <w:rPr>
          <w:rFonts w:ascii="Aptos" w:hAnsi="Aptos"/>
          <w:lang w:val="bg-BG"/>
        </w:rPr>
        <w:t>грантов</w:t>
      </w:r>
      <w:proofErr w:type="spellEnd"/>
      <w:r w:rsidRPr="006F3533">
        <w:rPr>
          <w:rFonts w:ascii="Aptos" w:hAnsi="Aptos"/>
          <w:lang w:val="bg-BG"/>
        </w:rPr>
        <w:t xml:space="preserve"> ресурс и кредитни линии, с възможност за мащабиране при пазарен интерес и последващо включване на търговски банки.</w:t>
      </w:r>
    </w:p>
    <w:p w14:paraId="3D085970" w14:textId="77777777" w:rsidR="00494258" w:rsidRPr="006F3533" w:rsidRDefault="00494258" w:rsidP="00494258">
      <w:pPr>
        <w:pStyle w:val="NormalWeb"/>
        <w:jc w:val="both"/>
        <w:rPr>
          <w:rFonts w:ascii="Aptos" w:hAnsi="Aptos"/>
          <w:lang w:val="bg-BG"/>
        </w:rPr>
      </w:pPr>
      <w:r w:rsidRPr="006F3533">
        <w:rPr>
          <w:rFonts w:ascii="Aptos" w:hAnsi="Aptos"/>
          <w:lang w:val="bg-BG"/>
        </w:rPr>
        <w:t>Предложение за пилотна схема е формулирано като реформа в рамките на Социалния климатичен фонд, тъй като преходът от модел на 100% безвъзмездно финансиране за всички собственици в една сграда към целево подпомагане със 100% грант само за енергийно бедните домакинства не може да бъде осъществен без осигурен и реално достъпен кредитен ресурс за останалите собственици. Към момента такъв ресурс на пазарен принцип практически липсва, тъй като сдруженията на собствениците се възприемат от търговските банки като високорискови кредитоискатели.</w:t>
      </w:r>
    </w:p>
    <w:p w14:paraId="588138B6" w14:textId="6702EF31" w:rsidR="00494258" w:rsidRPr="006F3533" w:rsidRDefault="00494258" w:rsidP="00494258">
      <w:pPr>
        <w:pStyle w:val="NormalWeb"/>
        <w:jc w:val="both"/>
        <w:rPr>
          <w:rFonts w:ascii="Aptos" w:hAnsi="Aptos"/>
          <w:lang w:val="bg-BG"/>
        </w:rPr>
      </w:pPr>
      <w:r w:rsidRPr="006F3533">
        <w:rPr>
          <w:rFonts w:ascii="Aptos" w:hAnsi="Aptos"/>
          <w:lang w:val="bg-BG"/>
        </w:rPr>
        <w:t>В този контекст е необходима държавна интервенция с цел подялба на риска и повишаване на приемливостта на този тип финансиране за банковия сектор – чрез гаранционни инструменти, субсидиране на лихви или директно кредитиране от НФД, който разполага с мандат да поема по-висок риск в сравнение с търговските банки и да демонстрира приложимостта на модела. Подходяща отправна точка за пилотиране може да бъде кредитирането и съфинансирането на единични мерки за сгради в режим на етажна собственост, например подмяна на дограма в общи части, в логиката на поетапно и технологично последователно обновяване, заложено в паспорта за сградно обновяване. Ограниченият обхват и относително ниският бюджет на подобни мерки предполагат по-нисък финансов риск и създават предпоставки за последващо мащабиране на инструмента при доказан успех.</w:t>
      </w:r>
    </w:p>
    <w:p w14:paraId="2C29F8C5" w14:textId="70698C2F" w:rsidR="00B572B1" w:rsidRPr="006F3533" w:rsidRDefault="00494258" w:rsidP="00494258">
      <w:pPr>
        <w:pStyle w:val="NormalWeb"/>
        <w:jc w:val="both"/>
        <w:rPr>
          <w:rStyle w:val="relative"/>
          <w:rFonts w:ascii="Aptos" w:hAnsi="Aptos"/>
          <w:lang w:val="bg-BG"/>
        </w:rPr>
      </w:pPr>
      <w:r w:rsidRPr="006F3533">
        <w:rPr>
          <w:rFonts w:ascii="Aptos" w:hAnsi="Aptos"/>
          <w:lang w:val="bg-BG"/>
        </w:rPr>
        <w:t>За постигане на по-голяма гъвкавост при стартиране на схемата е целесъобразно първоначалното ѝ финансиране да бъде осигурено от националния бюджет, което би позволило по-лесно адаптиране на условията и инструментите. Това е особено важно в начален етап, тъй като финансирането от европейски фондове обикновено е обвързано със строги процедурни изисквания и срокове, които затрудняват комбинирането и тестването на иновативни финансови механизми.</w:t>
      </w:r>
      <w:r w:rsidR="00B572B1" w:rsidRPr="006F3533">
        <w:rPr>
          <w:rFonts w:ascii="Aptos" w:hAnsi="Aptos"/>
          <w:lang w:val="bg-BG"/>
        </w:rPr>
        <w:t xml:space="preserve"> </w:t>
      </w:r>
    </w:p>
    <w:p w14:paraId="61396E43" w14:textId="0924127D" w:rsidR="00B572B1" w:rsidRPr="006F3533" w:rsidRDefault="00B572B1" w:rsidP="00077D42">
      <w:pPr>
        <w:pStyle w:val="NormalWeb"/>
        <w:jc w:val="both"/>
        <w:rPr>
          <w:rFonts w:ascii="Aptos" w:hAnsi="Aptos"/>
          <w:lang w:val="bg-BG"/>
        </w:rPr>
      </w:pPr>
      <w:r w:rsidRPr="006F3533">
        <w:rPr>
          <w:rStyle w:val="Strong"/>
          <w:rFonts w:ascii="Aptos" w:hAnsi="Aptos"/>
          <w:lang w:val="bg-BG"/>
        </w:rPr>
        <w:t>Допустимостта и критериите за подкрепа</w:t>
      </w:r>
      <w:r w:rsidRPr="006F3533">
        <w:rPr>
          <w:rFonts w:ascii="Aptos" w:hAnsi="Aptos"/>
          <w:lang w:val="bg-BG"/>
        </w:rPr>
        <w:t xml:space="preserve"> са обвързани с </w:t>
      </w:r>
      <w:r w:rsidRPr="006F3533">
        <w:rPr>
          <w:rStyle w:val="Strong"/>
          <w:rFonts w:ascii="Aptos" w:hAnsi="Aptos"/>
          <w:lang w:val="bg-BG"/>
        </w:rPr>
        <w:t>цялостно обновяване</w:t>
      </w:r>
      <w:r w:rsidRPr="006F3533">
        <w:rPr>
          <w:rFonts w:ascii="Aptos" w:hAnsi="Aptos"/>
          <w:lang w:val="bg-BG"/>
        </w:rPr>
        <w:t xml:space="preserve"> или с </w:t>
      </w:r>
      <w:r w:rsidRPr="006F3533">
        <w:rPr>
          <w:rStyle w:val="Strong"/>
          <w:rFonts w:ascii="Aptos" w:hAnsi="Aptos"/>
          <w:lang w:val="bg-BG"/>
        </w:rPr>
        <w:t>поетапно дълбоко обновяване по паспорт за сградно обновяване</w:t>
      </w:r>
      <w:r w:rsidRPr="006F3533">
        <w:rPr>
          <w:rFonts w:ascii="Aptos" w:hAnsi="Aptos"/>
          <w:lang w:val="bg-BG"/>
        </w:rPr>
        <w:t xml:space="preserve">. Когато се финансират </w:t>
      </w:r>
      <w:r w:rsidRPr="006F3533">
        <w:rPr>
          <w:rStyle w:val="Strong"/>
          <w:rFonts w:ascii="Aptos" w:hAnsi="Aptos"/>
          <w:lang w:val="bg-BG"/>
        </w:rPr>
        <w:t>отделни мерки</w:t>
      </w:r>
      <w:r w:rsidRPr="006F3533">
        <w:rPr>
          <w:rFonts w:ascii="Aptos" w:hAnsi="Aptos"/>
          <w:lang w:val="bg-BG"/>
        </w:rPr>
        <w:t xml:space="preserve"> (например фасади, покриви, дограма, сградни инсталации, </w:t>
      </w:r>
      <w:r w:rsidRPr="006F3533">
        <w:rPr>
          <w:rFonts w:ascii="Aptos" w:hAnsi="Aptos"/>
          <w:lang w:val="bg-BG"/>
        </w:rPr>
        <w:lastRenderedPageBreak/>
        <w:t xml:space="preserve">покривни ВЕИ), това се допуска </w:t>
      </w:r>
      <w:r w:rsidRPr="006F3533">
        <w:rPr>
          <w:rStyle w:val="Strong"/>
          <w:rFonts w:ascii="Aptos" w:hAnsi="Aptos"/>
          <w:lang w:val="bg-BG"/>
        </w:rPr>
        <w:t>само ако</w:t>
      </w:r>
      <w:r w:rsidRPr="006F3533">
        <w:rPr>
          <w:rFonts w:ascii="Aptos" w:hAnsi="Aptos"/>
          <w:lang w:val="bg-BG"/>
        </w:rPr>
        <w:t xml:space="preserve"> са </w:t>
      </w:r>
      <w:r w:rsidRPr="006F3533">
        <w:rPr>
          <w:rStyle w:val="Strong"/>
          <w:rFonts w:ascii="Aptos" w:hAnsi="Aptos"/>
          <w:lang w:val="bg-BG"/>
        </w:rPr>
        <w:t>експлицитно заложени</w:t>
      </w:r>
      <w:r w:rsidRPr="006F3533">
        <w:rPr>
          <w:rFonts w:ascii="Aptos" w:hAnsi="Aptos"/>
          <w:lang w:val="bg-BG"/>
        </w:rPr>
        <w:t xml:space="preserve"> в </w:t>
      </w:r>
      <w:r w:rsidRPr="006F3533">
        <w:rPr>
          <w:rStyle w:val="Strong"/>
          <w:rFonts w:ascii="Aptos" w:hAnsi="Aptos"/>
          <w:lang w:val="bg-BG"/>
        </w:rPr>
        <w:t>паспорт</w:t>
      </w:r>
      <w:r w:rsidRPr="006F3533">
        <w:rPr>
          <w:rFonts w:ascii="Aptos" w:hAnsi="Aptos"/>
          <w:lang w:val="bg-BG"/>
        </w:rPr>
        <w:t xml:space="preserve"> с целево ниво на дълбочина и </w:t>
      </w:r>
      <w:r w:rsidRPr="006F3533">
        <w:rPr>
          <w:rStyle w:val="Strong"/>
          <w:rFonts w:ascii="Aptos" w:hAnsi="Aptos"/>
          <w:lang w:val="bg-BG"/>
        </w:rPr>
        <w:t>последователност</w:t>
      </w:r>
      <w:r w:rsidRPr="006F3533">
        <w:rPr>
          <w:rFonts w:ascii="Aptos" w:hAnsi="Aptos"/>
          <w:lang w:val="bg-BG"/>
        </w:rPr>
        <w:t xml:space="preserve"> на изпълнение. При еднофамилните сгради се прилага </w:t>
      </w:r>
      <w:r w:rsidRPr="006F3533">
        <w:rPr>
          <w:rStyle w:val="Strong"/>
          <w:rFonts w:ascii="Aptos" w:hAnsi="Aptos"/>
          <w:lang w:val="bg-BG"/>
        </w:rPr>
        <w:t>опростено „етикетиране“/</w:t>
      </w:r>
      <w:r w:rsidR="00CD0D17" w:rsidRPr="006F3533">
        <w:rPr>
          <w:rStyle w:val="Strong"/>
          <w:rFonts w:ascii="Aptos" w:hAnsi="Aptos"/>
          <w:lang w:val="bg-BG"/>
        </w:rPr>
        <w:t>СЕХ</w:t>
      </w:r>
      <w:r w:rsidRPr="006F3533">
        <w:rPr>
          <w:rFonts w:ascii="Aptos" w:hAnsi="Aptos"/>
          <w:lang w:val="bg-BG"/>
        </w:rPr>
        <w:t xml:space="preserve"> за базов и пост-обновителен клас, като верификацията се извършва от независим експерт и се отразява в националната база данни. Този подход гарантира проследимост и </w:t>
      </w:r>
      <w:r w:rsidRPr="006F3533">
        <w:rPr>
          <w:rStyle w:val="Strong"/>
          <w:rFonts w:ascii="Aptos" w:hAnsi="Aptos"/>
          <w:lang w:val="bg-BG"/>
        </w:rPr>
        <w:t>прозрачна връзка „подкрепа ↔ спестявания“</w:t>
      </w:r>
      <w:r w:rsidRPr="006F3533">
        <w:rPr>
          <w:rFonts w:ascii="Aptos" w:hAnsi="Aptos"/>
          <w:lang w:val="bg-BG"/>
        </w:rPr>
        <w:t xml:space="preserve"> чрез сертификати/етикети, референтни стойности за спестявания и, където е пропорционално – чрез измерено потребление. </w:t>
      </w:r>
    </w:p>
    <w:p w14:paraId="7347F23A" w14:textId="7314F7CE" w:rsidR="00B572B1" w:rsidRPr="006F3533" w:rsidRDefault="00B572B1" w:rsidP="00077D42">
      <w:pPr>
        <w:pStyle w:val="Heading2"/>
        <w:jc w:val="both"/>
        <w:rPr>
          <w:rFonts w:eastAsiaTheme="minorHAnsi" w:cstheme="minorBidi"/>
          <w:color w:val="auto"/>
          <w:sz w:val="24"/>
          <w:szCs w:val="24"/>
          <w:lang w:val="bg-BG"/>
        </w:rPr>
      </w:pPr>
      <w:bookmarkStart w:id="225" w:name="_Toc216816100"/>
      <w:bookmarkStart w:id="226" w:name="_Toc216857820"/>
      <w:bookmarkStart w:id="227" w:name="_Toc217888835"/>
      <w:r w:rsidRPr="006F3533">
        <w:rPr>
          <w:rFonts w:eastAsiaTheme="minorHAnsi" w:cstheme="minorBidi"/>
          <w:color w:val="auto"/>
          <w:sz w:val="24"/>
          <w:szCs w:val="24"/>
          <w:lang w:val="bg-BG"/>
        </w:rPr>
        <w:t xml:space="preserve">Интеграция с минималните </w:t>
      </w:r>
      <w:bookmarkStart w:id="228" w:name="_Hlk216856398"/>
      <w:r w:rsidRPr="006F3533">
        <w:rPr>
          <w:rFonts w:eastAsiaTheme="minorHAnsi" w:cstheme="minorBidi"/>
          <w:color w:val="auto"/>
          <w:sz w:val="24"/>
          <w:szCs w:val="24"/>
          <w:lang w:val="bg-BG"/>
        </w:rPr>
        <w:t>стандарти</w:t>
      </w:r>
      <w:r w:rsidR="0016344B" w:rsidRPr="006F3533">
        <w:rPr>
          <w:rFonts w:eastAsiaTheme="minorHAnsi" w:cstheme="minorBidi"/>
          <w:color w:val="auto"/>
          <w:sz w:val="24"/>
          <w:szCs w:val="24"/>
          <w:lang w:val="bg-BG"/>
        </w:rPr>
        <w:t xml:space="preserve"> за енергийни характеристики</w:t>
      </w:r>
      <w:r w:rsidRPr="006F3533">
        <w:rPr>
          <w:rFonts w:eastAsiaTheme="minorHAnsi" w:cstheme="minorBidi"/>
          <w:color w:val="auto"/>
          <w:sz w:val="24"/>
          <w:szCs w:val="24"/>
          <w:lang w:val="bg-BG"/>
        </w:rPr>
        <w:t xml:space="preserve"> </w:t>
      </w:r>
      <w:bookmarkEnd w:id="228"/>
      <w:r w:rsidRPr="006F3533">
        <w:rPr>
          <w:rFonts w:eastAsiaTheme="minorHAnsi" w:cstheme="minorBidi"/>
          <w:color w:val="auto"/>
          <w:sz w:val="24"/>
          <w:szCs w:val="24"/>
          <w:lang w:val="bg-BG"/>
        </w:rPr>
        <w:t>(</w:t>
      </w:r>
      <w:r w:rsidR="0016344B" w:rsidRPr="006F3533">
        <w:rPr>
          <w:rFonts w:eastAsiaTheme="minorHAnsi" w:cstheme="minorBidi"/>
          <w:color w:val="auto"/>
          <w:sz w:val="24"/>
          <w:szCs w:val="24"/>
          <w:lang w:val="bg-BG"/>
        </w:rPr>
        <w:t>МСЕХ</w:t>
      </w:r>
      <w:r w:rsidRPr="006F3533">
        <w:rPr>
          <w:rFonts w:eastAsiaTheme="minorHAnsi" w:cstheme="minorBidi"/>
          <w:color w:val="auto"/>
          <w:sz w:val="24"/>
          <w:szCs w:val="24"/>
          <w:lang w:val="bg-BG"/>
        </w:rPr>
        <w:t xml:space="preserve">) и изискванията за </w:t>
      </w:r>
      <w:bookmarkStart w:id="229" w:name="_Hlk216856412"/>
      <w:proofErr w:type="spellStart"/>
      <w:r w:rsidRPr="006F3533">
        <w:rPr>
          <w:rFonts w:eastAsiaTheme="minorHAnsi" w:cstheme="minorBidi"/>
          <w:color w:val="auto"/>
          <w:sz w:val="24"/>
          <w:szCs w:val="24"/>
          <w:lang w:val="bg-BG"/>
        </w:rPr>
        <w:t>нулев</w:t>
      </w:r>
      <w:r w:rsidR="00CD0D17" w:rsidRPr="006F3533">
        <w:rPr>
          <w:rFonts w:eastAsiaTheme="minorHAnsi" w:cstheme="minorBidi"/>
          <w:color w:val="auto"/>
          <w:sz w:val="24"/>
          <w:szCs w:val="24"/>
          <w:lang w:val="bg-BG"/>
        </w:rPr>
        <w:t>о</w:t>
      </w:r>
      <w:r w:rsidRPr="006F3533">
        <w:rPr>
          <w:rFonts w:eastAsiaTheme="minorHAnsi" w:cstheme="minorBidi"/>
          <w:color w:val="auto"/>
          <w:sz w:val="24"/>
          <w:szCs w:val="24"/>
          <w:lang w:val="bg-BG"/>
        </w:rPr>
        <w:t>емиси</w:t>
      </w:r>
      <w:r w:rsidR="00CD0D17" w:rsidRPr="006F3533">
        <w:rPr>
          <w:rFonts w:eastAsiaTheme="minorHAnsi" w:cstheme="minorBidi"/>
          <w:color w:val="auto"/>
          <w:sz w:val="24"/>
          <w:szCs w:val="24"/>
          <w:lang w:val="bg-BG"/>
        </w:rPr>
        <w:t>онни</w:t>
      </w:r>
      <w:proofErr w:type="spellEnd"/>
      <w:r w:rsidR="00CD0D17" w:rsidRPr="006F3533">
        <w:rPr>
          <w:rFonts w:eastAsiaTheme="minorHAnsi" w:cstheme="minorBidi"/>
          <w:color w:val="auto"/>
          <w:sz w:val="24"/>
          <w:szCs w:val="24"/>
          <w:lang w:val="bg-BG"/>
        </w:rPr>
        <w:t xml:space="preserve"> сгради</w:t>
      </w:r>
      <w:r w:rsidRPr="006F3533">
        <w:rPr>
          <w:rFonts w:eastAsiaTheme="minorHAnsi" w:cstheme="minorBidi"/>
          <w:color w:val="auto"/>
          <w:sz w:val="24"/>
          <w:szCs w:val="24"/>
          <w:lang w:val="bg-BG"/>
        </w:rPr>
        <w:t xml:space="preserve"> (</w:t>
      </w:r>
      <w:r w:rsidR="00CD0D17" w:rsidRPr="006F3533">
        <w:rPr>
          <w:rFonts w:eastAsiaTheme="minorHAnsi" w:cstheme="minorBidi"/>
          <w:color w:val="auto"/>
          <w:sz w:val="24"/>
          <w:szCs w:val="24"/>
          <w:lang w:val="bg-BG"/>
        </w:rPr>
        <w:t>НЕС</w:t>
      </w:r>
      <w:r w:rsidRPr="006F3533">
        <w:rPr>
          <w:rFonts w:eastAsiaTheme="minorHAnsi" w:cstheme="minorBidi"/>
          <w:color w:val="auto"/>
          <w:sz w:val="24"/>
          <w:szCs w:val="24"/>
          <w:lang w:val="bg-BG"/>
        </w:rPr>
        <w:t>)</w:t>
      </w:r>
      <w:bookmarkEnd w:id="225"/>
      <w:bookmarkEnd w:id="226"/>
      <w:bookmarkEnd w:id="227"/>
      <w:bookmarkEnd w:id="229"/>
    </w:p>
    <w:p w14:paraId="2A249EDF" w14:textId="206BE330" w:rsidR="00B572B1" w:rsidRPr="006F3533" w:rsidRDefault="00B572B1" w:rsidP="00077D42">
      <w:pPr>
        <w:pStyle w:val="NormalWeb"/>
        <w:jc w:val="both"/>
        <w:rPr>
          <w:rFonts w:ascii="Aptos" w:hAnsi="Aptos"/>
          <w:lang w:val="bg-BG"/>
        </w:rPr>
      </w:pPr>
      <w:r w:rsidRPr="006F3533">
        <w:rPr>
          <w:rFonts w:ascii="Aptos" w:hAnsi="Aptos"/>
          <w:lang w:val="bg-BG"/>
        </w:rPr>
        <w:t xml:space="preserve">Интеграцията между минималните </w:t>
      </w:r>
      <w:r w:rsidR="00CD0D17" w:rsidRPr="006F3533">
        <w:rPr>
          <w:rFonts w:ascii="Aptos" w:hAnsi="Aptos"/>
          <w:lang w:val="bg-BG"/>
        </w:rPr>
        <w:t xml:space="preserve">стандарти за енергийни характеристики </w:t>
      </w:r>
      <w:r w:rsidRPr="006F3533">
        <w:rPr>
          <w:rFonts w:ascii="Aptos" w:hAnsi="Aptos"/>
          <w:lang w:val="bg-BG"/>
        </w:rPr>
        <w:t>(</w:t>
      </w:r>
      <w:r w:rsidR="00CD0D17" w:rsidRPr="006F3533">
        <w:rPr>
          <w:rFonts w:ascii="Aptos" w:hAnsi="Aptos"/>
          <w:lang w:val="bg-BG"/>
        </w:rPr>
        <w:t>МСЕХ</w:t>
      </w:r>
      <w:r w:rsidRPr="006F3533">
        <w:rPr>
          <w:rFonts w:ascii="Aptos" w:hAnsi="Aptos"/>
          <w:lang w:val="bg-BG"/>
        </w:rPr>
        <w:t xml:space="preserve">) и изискванията за </w:t>
      </w:r>
      <w:proofErr w:type="spellStart"/>
      <w:r w:rsidR="00CD0D17" w:rsidRPr="006F3533">
        <w:rPr>
          <w:rFonts w:ascii="Aptos" w:hAnsi="Aptos"/>
          <w:lang w:val="bg-BG"/>
        </w:rPr>
        <w:t>нулевоемисионни</w:t>
      </w:r>
      <w:proofErr w:type="spellEnd"/>
      <w:r w:rsidR="00CD0D17" w:rsidRPr="006F3533">
        <w:rPr>
          <w:rFonts w:ascii="Aptos" w:hAnsi="Aptos"/>
          <w:lang w:val="bg-BG"/>
        </w:rPr>
        <w:t xml:space="preserve"> сгради (НЕС)</w:t>
      </w:r>
      <w:r w:rsidRPr="006F3533">
        <w:rPr>
          <w:rFonts w:ascii="Aptos" w:hAnsi="Aptos"/>
          <w:lang w:val="bg-BG"/>
        </w:rPr>
        <w:t xml:space="preserve"> представлява ключов елемент от националната стратегия за постигане на дългосрочната цел за пълна </w:t>
      </w:r>
      <w:proofErr w:type="spellStart"/>
      <w:r w:rsidRPr="006F3533">
        <w:rPr>
          <w:rFonts w:ascii="Aptos" w:hAnsi="Aptos"/>
          <w:lang w:val="bg-BG"/>
        </w:rPr>
        <w:t>декарбонизация</w:t>
      </w:r>
      <w:proofErr w:type="spellEnd"/>
      <w:r w:rsidRPr="006F3533">
        <w:rPr>
          <w:rFonts w:ascii="Aptos" w:hAnsi="Aptos"/>
          <w:lang w:val="bg-BG"/>
        </w:rPr>
        <w:t xml:space="preserve"> на сградния фонд до 2050 г. Тази интеграция осигурява плавен преход между трите основни нива на амбиция: </w:t>
      </w:r>
      <w:r w:rsidRPr="006F3533">
        <w:rPr>
          <w:rStyle w:val="Strong"/>
          <w:rFonts w:ascii="Aptos" w:hAnsi="Aptos"/>
          <w:lang w:val="bg-BG"/>
        </w:rPr>
        <w:t>минимално съответствие с МСЕХ (член 9)</w:t>
      </w:r>
      <w:r w:rsidRPr="006F3533">
        <w:rPr>
          <w:rFonts w:ascii="Aptos" w:hAnsi="Aptos"/>
          <w:lang w:val="bg-BG"/>
        </w:rPr>
        <w:t xml:space="preserve">, </w:t>
      </w:r>
      <w:r w:rsidRPr="006F3533">
        <w:rPr>
          <w:rStyle w:val="Strong"/>
          <w:rFonts w:ascii="Aptos" w:hAnsi="Aptos"/>
          <w:lang w:val="bg-BG"/>
        </w:rPr>
        <w:t>дълбоко или поетапно дълбоко обновяване (член 17)</w:t>
      </w:r>
      <w:r w:rsidRPr="006F3533">
        <w:rPr>
          <w:rFonts w:ascii="Aptos" w:hAnsi="Aptos"/>
          <w:lang w:val="bg-BG"/>
        </w:rPr>
        <w:t xml:space="preserve"> и </w:t>
      </w:r>
      <w:r w:rsidRPr="006F3533">
        <w:rPr>
          <w:rStyle w:val="Strong"/>
          <w:rFonts w:ascii="Aptos" w:hAnsi="Aptos"/>
          <w:lang w:val="bg-BG"/>
        </w:rPr>
        <w:t xml:space="preserve">достигане на нивото </w:t>
      </w:r>
      <w:r w:rsidR="00CD0D17" w:rsidRPr="006F3533">
        <w:rPr>
          <w:rStyle w:val="Strong"/>
          <w:rFonts w:ascii="Aptos" w:hAnsi="Aptos"/>
          <w:lang w:val="bg-BG"/>
        </w:rPr>
        <w:t>НЕС/ZEB</w:t>
      </w:r>
      <w:r w:rsidRPr="006F3533">
        <w:rPr>
          <w:rStyle w:val="Strong"/>
          <w:rFonts w:ascii="Aptos" w:hAnsi="Aptos"/>
          <w:lang w:val="bg-BG"/>
        </w:rPr>
        <w:t xml:space="preserve"> (членове 7 и 11)</w:t>
      </w:r>
      <w:r w:rsidRPr="006F3533">
        <w:rPr>
          <w:rFonts w:ascii="Aptos" w:hAnsi="Aptos"/>
          <w:lang w:val="bg-BG"/>
        </w:rPr>
        <w:t>. Подходът гарантира, че всяка инвестиция в обновяване приближава сградата към крайната цел, като се избягва т.нар. „заключване на потенциала“ в междинни класове на енергийна ефективност.</w:t>
      </w:r>
    </w:p>
    <w:p w14:paraId="59EF97F8" w14:textId="68303695" w:rsidR="00B572B1" w:rsidRPr="006F3533" w:rsidRDefault="00B572B1" w:rsidP="00077D42">
      <w:pPr>
        <w:pStyle w:val="Heading3"/>
        <w:jc w:val="both"/>
        <w:rPr>
          <w:rFonts w:ascii="Aptos" w:hAnsi="Aptos"/>
          <w:sz w:val="24"/>
          <w:szCs w:val="24"/>
          <w:lang w:val="bg-BG"/>
        </w:rPr>
      </w:pPr>
      <w:bookmarkStart w:id="230" w:name="_Toc216816101"/>
      <w:bookmarkStart w:id="231" w:name="_Toc216857821"/>
      <w:bookmarkStart w:id="232" w:name="_Toc217888836"/>
      <w:r w:rsidRPr="006F3533">
        <w:rPr>
          <w:rFonts w:ascii="Aptos" w:hAnsi="Aptos"/>
          <w:sz w:val="24"/>
          <w:szCs w:val="24"/>
          <w:lang w:val="bg-BG"/>
        </w:rPr>
        <w:t xml:space="preserve">Логика на </w:t>
      </w:r>
      <w:proofErr w:type="spellStart"/>
      <w:r w:rsidRPr="006F3533">
        <w:rPr>
          <w:rFonts w:ascii="Aptos" w:hAnsi="Aptos"/>
          <w:sz w:val="24"/>
          <w:szCs w:val="24"/>
          <w:lang w:val="bg-BG"/>
        </w:rPr>
        <w:t>приоритизацията</w:t>
      </w:r>
      <w:proofErr w:type="spellEnd"/>
      <w:r w:rsidRPr="006F3533">
        <w:rPr>
          <w:rFonts w:ascii="Aptos" w:hAnsi="Aptos"/>
          <w:sz w:val="24"/>
          <w:szCs w:val="24"/>
          <w:lang w:val="bg-BG"/>
        </w:rPr>
        <w:t xml:space="preserve"> и съответствие с </w:t>
      </w:r>
      <w:r w:rsidR="0016344B" w:rsidRPr="006F3533">
        <w:rPr>
          <w:rFonts w:ascii="Aptos" w:hAnsi="Aptos"/>
          <w:sz w:val="24"/>
          <w:szCs w:val="24"/>
          <w:lang w:val="bg-BG"/>
        </w:rPr>
        <w:t>МСЕХ</w:t>
      </w:r>
      <w:bookmarkEnd w:id="230"/>
      <w:bookmarkEnd w:id="231"/>
      <w:bookmarkEnd w:id="232"/>
    </w:p>
    <w:p w14:paraId="57A5DF75"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В съответствие с националните прагове, определени по член 9, сгради, които се намират </w:t>
      </w:r>
      <w:r w:rsidRPr="006F3533">
        <w:rPr>
          <w:rStyle w:val="Strong"/>
          <w:rFonts w:ascii="Aptos" w:hAnsi="Aptos"/>
          <w:lang w:val="bg-BG"/>
        </w:rPr>
        <w:t>под минималните стандарти за енергийни характеристики (МСЕХ)</w:t>
      </w:r>
      <w:r w:rsidRPr="006F3533">
        <w:rPr>
          <w:rFonts w:ascii="Aptos" w:hAnsi="Aptos"/>
          <w:lang w:val="bg-BG"/>
        </w:rPr>
        <w:t xml:space="preserve">, се насочват </w:t>
      </w:r>
      <w:r w:rsidRPr="006F3533">
        <w:rPr>
          <w:rStyle w:val="Strong"/>
          <w:rFonts w:ascii="Aptos" w:hAnsi="Aptos"/>
          <w:lang w:val="bg-BG"/>
        </w:rPr>
        <w:t>приоритетно към дълбоко или поетапно дълбоко обновяване</w:t>
      </w:r>
      <w:r w:rsidRPr="006F3533">
        <w:rPr>
          <w:rFonts w:ascii="Aptos" w:hAnsi="Aptos"/>
          <w:lang w:val="bg-BG"/>
        </w:rPr>
        <w:t xml:space="preserve">, а не към частични или минимални намеси. Този подход осигурява ефективно използване на публичния ресурс и съответствие с националните срокове – до 2030 г. всички сгради под клас </w:t>
      </w:r>
      <w:r w:rsidRPr="006F3533">
        <w:rPr>
          <w:rStyle w:val="Strong"/>
          <w:rFonts w:ascii="Aptos" w:hAnsi="Aptos"/>
          <w:lang w:val="bg-BG"/>
        </w:rPr>
        <w:t>Е</w:t>
      </w:r>
      <w:r w:rsidRPr="006F3533">
        <w:rPr>
          <w:rFonts w:ascii="Aptos" w:hAnsi="Aptos"/>
          <w:lang w:val="bg-BG"/>
        </w:rPr>
        <w:t xml:space="preserve"> следва да достигнат най-малко този клас, а до 2033 г. — </w:t>
      </w:r>
      <w:r w:rsidRPr="006F3533">
        <w:rPr>
          <w:rStyle w:val="Strong"/>
          <w:rFonts w:ascii="Aptos" w:hAnsi="Aptos"/>
          <w:lang w:val="bg-BG"/>
        </w:rPr>
        <w:t>клас D</w:t>
      </w:r>
      <w:r w:rsidRPr="006F3533">
        <w:rPr>
          <w:rFonts w:ascii="Aptos" w:hAnsi="Aptos"/>
          <w:lang w:val="bg-BG"/>
        </w:rPr>
        <w:t>, съгласно приложената методика на АУЕР за анализ на фонда от нежилищни сгради.</w:t>
      </w:r>
    </w:p>
    <w:p w14:paraId="117A6798" w14:textId="65F762BB" w:rsidR="00B572B1" w:rsidRPr="006F3533" w:rsidRDefault="00B572B1" w:rsidP="00077D42">
      <w:pPr>
        <w:pStyle w:val="NormalWeb"/>
        <w:jc w:val="both"/>
        <w:rPr>
          <w:rFonts w:ascii="Aptos" w:hAnsi="Aptos"/>
          <w:lang w:val="bg-BG"/>
        </w:rPr>
      </w:pPr>
      <w:r w:rsidRPr="006F3533">
        <w:rPr>
          <w:rFonts w:ascii="Aptos" w:hAnsi="Aptos"/>
          <w:lang w:val="bg-BG"/>
        </w:rPr>
        <w:t xml:space="preserve">За сградите, подлежащи на </w:t>
      </w:r>
      <w:r w:rsidRPr="006F3533">
        <w:rPr>
          <w:rStyle w:val="Strong"/>
          <w:rFonts w:ascii="Aptos" w:hAnsi="Aptos"/>
          <w:lang w:val="bg-BG"/>
        </w:rPr>
        <w:t>основен ремонт</w:t>
      </w:r>
      <w:r w:rsidRPr="006F3533">
        <w:rPr>
          <w:rFonts w:ascii="Aptos" w:hAnsi="Aptos"/>
          <w:lang w:val="bg-BG"/>
        </w:rPr>
        <w:t xml:space="preserve">, се прилага националното изискване за постигане на </w:t>
      </w:r>
      <w:r w:rsidRPr="006F3533">
        <w:rPr>
          <w:rStyle w:val="Strong"/>
          <w:rFonts w:ascii="Aptos" w:hAnsi="Aptos"/>
          <w:lang w:val="bg-BG"/>
        </w:rPr>
        <w:t>най-малко енергиен клас B</w:t>
      </w:r>
      <w:r w:rsidRPr="006F3533">
        <w:rPr>
          <w:rFonts w:ascii="Aptos" w:hAnsi="Aptos"/>
          <w:lang w:val="bg-BG"/>
        </w:rPr>
        <w:t xml:space="preserve">, съгласно Наредбата за енергийните характеристики на сградите. Тази граница осигурява съответствие с минималните изисквания по чл. 7 и 11 от Директивата и е междинна стъпка към ZEB. Всяка сграда, обновена до това ниво, трябва да разполага с </w:t>
      </w:r>
      <w:r w:rsidRPr="006F3533">
        <w:rPr>
          <w:rStyle w:val="Strong"/>
          <w:rFonts w:ascii="Aptos" w:hAnsi="Aptos"/>
          <w:lang w:val="bg-BG"/>
        </w:rPr>
        <w:t>паспорт за сградно обновяване</w:t>
      </w:r>
      <w:r w:rsidRPr="006F3533">
        <w:rPr>
          <w:rFonts w:ascii="Aptos" w:hAnsi="Aptos"/>
          <w:lang w:val="bg-BG"/>
        </w:rPr>
        <w:t xml:space="preserve">, който гарантира поетапен път към </w:t>
      </w:r>
      <w:r w:rsidRPr="006F3533">
        <w:rPr>
          <w:rStyle w:val="Strong"/>
          <w:rFonts w:ascii="Aptos" w:hAnsi="Aptos"/>
          <w:lang w:val="bg-BG"/>
        </w:rPr>
        <w:t>сграда с нулеви емисии</w:t>
      </w:r>
      <w:r w:rsidRPr="006F3533">
        <w:rPr>
          <w:rFonts w:ascii="Aptos" w:hAnsi="Aptos"/>
          <w:lang w:val="bg-BG"/>
        </w:rPr>
        <w:t xml:space="preserve"> или, когато това не е технически или икономически постижимо, към </w:t>
      </w:r>
      <w:r w:rsidRPr="006F3533">
        <w:rPr>
          <w:rStyle w:val="Strong"/>
          <w:rFonts w:ascii="Aptos" w:hAnsi="Aptos"/>
          <w:lang w:val="bg-BG"/>
        </w:rPr>
        <w:t>еквивалентно намаление на емисиите с поне 60%</w:t>
      </w:r>
      <w:r w:rsidRPr="006F3533">
        <w:rPr>
          <w:rFonts w:ascii="Aptos" w:hAnsi="Aptos"/>
          <w:lang w:val="bg-BG"/>
        </w:rPr>
        <w:t xml:space="preserve"> спрямо базовото състояние.</w:t>
      </w:r>
    </w:p>
    <w:p w14:paraId="1FE4EEC3" w14:textId="6686C135" w:rsidR="00B572B1" w:rsidRPr="006F3533" w:rsidRDefault="00B572B1" w:rsidP="00077D42">
      <w:pPr>
        <w:pStyle w:val="NormalWeb"/>
        <w:jc w:val="both"/>
        <w:rPr>
          <w:rFonts w:ascii="Aptos" w:hAnsi="Aptos"/>
          <w:lang w:val="bg-BG"/>
        </w:rPr>
      </w:pPr>
      <w:r w:rsidRPr="006F3533">
        <w:rPr>
          <w:rFonts w:ascii="Aptos" w:hAnsi="Aptos"/>
          <w:lang w:val="bg-BG"/>
        </w:rPr>
        <w:t xml:space="preserve">В случаите на реновация, при които пълното постигане на стандарта </w:t>
      </w:r>
      <w:r w:rsidR="00CD0D17" w:rsidRPr="006F3533">
        <w:rPr>
          <w:rFonts w:ascii="Aptos" w:hAnsi="Aptos"/>
          <w:lang w:val="bg-BG"/>
        </w:rPr>
        <w:t>НЕС/</w:t>
      </w:r>
      <w:r w:rsidRPr="006F3533">
        <w:rPr>
          <w:rFonts w:ascii="Aptos" w:hAnsi="Aptos"/>
          <w:lang w:val="bg-BG"/>
        </w:rPr>
        <w:t xml:space="preserve">ZEB не е възможно, се допуска прилагането на </w:t>
      </w:r>
      <w:r w:rsidRPr="006F3533">
        <w:rPr>
          <w:rStyle w:val="Strong"/>
          <w:rFonts w:ascii="Aptos" w:hAnsi="Aptos"/>
          <w:lang w:val="bg-BG"/>
        </w:rPr>
        <w:t>„</w:t>
      </w:r>
      <w:proofErr w:type="spellStart"/>
      <w:r w:rsidRPr="006F3533">
        <w:rPr>
          <w:rStyle w:val="Strong"/>
          <w:rFonts w:ascii="Aptos" w:hAnsi="Aptos"/>
          <w:lang w:val="bg-BG"/>
        </w:rPr>
        <w:t>adjusted</w:t>
      </w:r>
      <w:proofErr w:type="spellEnd"/>
      <w:r w:rsidRPr="006F3533">
        <w:rPr>
          <w:rStyle w:val="Strong"/>
          <w:rFonts w:ascii="Aptos" w:hAnsi="Aptos"/>
          <w:lang w:val="bg-BG"/>
        </w:rPr>
        <w:t xml:space="preserve"> ZEB </w:t>
      </w:r>
      <w:proofErr w:type="spellStart"/>
      <w:r w:rsidRPr="006F3533">
        <w:rPr>
          <w:rStyle w:val="Strong"/>
          <w:rFonts w:ascii="Aptos" w:hAnsi="Aptos"/>
          <w:lang w:val="bg-BG"/>
        </w:rPr>
        <w:t>threshold</w:t>
      </w:r>
      <w:proofErr w:type="spellEnd"/>
      <w:r w:rsidRPr="006F3533">
        <w:rPr>
          <w:rStyle w:val="Strong"/>
          <w:rFonts w:ascii="Aptos" w:hAnsi="Aptos"/>
          <w:lang w:val="bg-BG"/>
        </w:rPr>
        <w:t>“</w:t>
      </w:r>
      <w:r w:rsidRPr="006F3533">
        <w:rPr>
          <w:rFonts w:ascii="Aptos" w:hAnsi="Aptos"/>
          <w:lang w:val="bg-BG"/>
        </w:rPr>
        <w:t xml:space="preserve">, определен съгласно чл. 11(4) от Директивата. Той отчита икономическата и техническа изпълнимост, както и климатичните особености, но изисква сградата да остане без използване на изкопаеми горива на място и да постигне максимално възможното ниво на енергийна ефективност. Така се осигурява пълна съвместимост между </w:t>
      </w:r>
      <w:r w:rsidR="00CD0D17" w:rsidRPr="006F3533">
        <w:rPr>
          <w:rFonts w:ascii="Aptos" w:hAnsi="Aptos"/>
          <w:lang w:val="bg-BG"/>
        </w:rPr>
        <w:t>МСЕХ</w:t>
      </w:r>
      <w:r w:rsidRPr="006F3533">
        <w:rPr>
          <w:rFonts w:ascii="Aptos" w:hAnsi="Aptos"/>
          <w:lang w:val="bg-BG"/>
        </w:rPr>
        <w:t xml:space="preserve"> и </w:t>
      </w:r>
      <w:r w:rsidR="00CD0D17" w:rsidRPr="006F3533">
        <w:rPr>
          <w:rFonts w:ascii="Aptos" w:hAnsi="Aptos"/>
          <w:lang w:val="bg-BG"/>
        </w:rPr>
        <w:t>НЕС</w:t>
      </w:r>
      <w:r w:rsidRPr="006F3533">
        <w:rPr>
          <w:rFonts w:ascii="Aptos" w:hAnsi="Aptos"/>
          <w:lang w:val="bg-BG"/>
        </w:rPr>
        <w:t xml:space="preserve">, като нито една реновация не остава под националния минимум и всяка следваща стъпка води към окончателното ниво на </w:t>
      </w:r>
      <w:proofErr w:type="spellStart"/>
      <w:r w:rsidRPr="006F3533">
        <w:rPr>
          <w:rFonts w:ascii="Aptos" w:hAnsi="Aptos"/>
          <w:lang w:val="bg-BG"/>
        </w:rPr>
        <w:t>декарбонизация</w:t>
      </w:r>
      <w:proofErr w:type="spellEnd"/>
      <w:r w:rsidRPr="006F3533">
        <w:rPr>
          <w:rFonts w:ascii="Aptos" w:hAnsi="Aptos"/>
          <w:lang w:val="bg-BG"/>
        </w:rPr>
        <w:t>.</w:t>
      </w:r>
    </w:p>
    <w:p w14:paraId="2CA87FB0" w14:textId="7BDA08EF" w:rsidR="00B572B1" w:rsidRPr="006F3533" w:rsidRDefault="00B572B1" w:rsidP="00077D42">
      <w:pPr>
        <w:pStyle w:val="Heading3"/>
        <w:jc w:val="both"/>
        <w:rPr>
          <w:rFonts w:ascii="Aptos" w:hAnsi="Aptos"/>
          <w:sz w:val="24"/>
          <w:szCs w:val="24"/>
          <w:lang w:val="bg-BG"/>
        </w:rPr>
      </w:pPr>
      <w:bookmarkStart w:id="233" w:name="_Toc216816102"/>
      <w:bookmarkStart w:id="234" w:name="_Toc216857822"/>
      <w:bookmarkStart w:id="235" w:name="_Toc217888837"/>
      <w:r w:rsidRPr="006F3533">
        <w:rPr>
          <w:rFonts w:ascii="Aptos" w:hAnsi="Aptos"/>
          <w:sz w:val="24"/>
          <w:szCs w:val="24"/>
          <w:lang w:val="bg-BG"/>
        </w:rPr>
        <w:lastRenderedPageBreak/>
        <w:t xml:space="preserve">Покриване на енергопотреблението в </w:t>
      </w:r>
      <w:r w:rsidR="00CD0D17" w:rsidRPr="006F3533">
        <w:rPr>
          <w:rFonts w:ascii="Aptos" w:hAnsi="Aptos"/>
          <w:sz w:val="24"/>
          <w:szCs w:val="24"/>
          <w:lang w:val="bg-BG"/>
        </w:rPr>
        <w:t>НЕС/</w:t>
      </w:r>
      <w:r w:rsidRPr="006F3533">
        <w:rPr>
          <w:rFonts w:ascii="Aptos" w:hAnsi="Aptos"/>
          <w:sz w:val="24"/>
          <w:szCs w:val="24"/>
          <w:lang w:val="bg-BG"/>
        </w:rPr>
        <w:t>ZEB</w:t>
      </w:r>
      <w:bookmarkEnd w:id="233"/>
      <w:bookmarkEnd w:id="234"/>
      <w:bookmarkEnd w:id="235"/>
    </w:p>
    <w:p w14:paraId="57375C67"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За постигане на статут </w:t>
      </w:r>
      <w:r w:rsidRPr="006F3533">
        <w:rPr>
          <w:rStyle w:val="Strong"/>
          <w:rFonts w:ascii="Aptos" w:hAnsi="Aptos"/>
          <w:lang w:val="bg-BG"/>
        </w:rPr>
        <w:t>сграда с нулеви емисии</w:t>
      </w:r>
      <w:r w:rsidRPr="006F3533">
        <w:rPr>
          <w:rFonts w:ascii="Aptos" w:hAnsi="Aptos"/>
          <w:lang w:val="bg-BG"/>
        </w:rPr>
        <w:t xml:space="preserve">, оставащото енергийно потребление трябва да бъде изцяло покрито от </w:t>
      </w:r>
      <w:r w:rsidRPr="006F3533">
        <w:rPr>
          <w:rStyle w:val="Strong"/>
          <w:rFonts w:ascii="Aptos" w:hAnsi="Aptos"/>
          <w:lang w:val="bg-BG"/>
        </w:rPr>
        <w:t xml:space="preserve">възобновяеми или </w:t>
      </w:r>
      <w:proofErr w:type="spellStart"/>
      <w:r w:rsidRPr="006F3533">
        <w:rPr>
          <w:rStyle w:val="Strong"/>
          <w:rFonts w:ascii="Aptos" w:hAnsi="Aptos"/>
          <w:lang w:val="bg-BG"/>
        </w:rPr>
        <w:t>безвъглеродни</w:t>
      </w:r>
      <w:proofErr w:type="spellEnd"/>
      <w:r w:rsidRPr="006F3533">
        <w:rPr>
          <w:rStyle w:val="Strong"/>
          <w:rFonts w:ascii="Aptos" w:hAnsi="Aptos"/>
          <w:lang w:val="bg-BG"/>
        </w:rPr>
        <w:t xml:space="preserve"> източници</w:t>
      </w:r>
      <w:r w:rsidRPr="006F3533">
        <w:rPr>
          <w:rFonts w:ascii="Aptos" w:hAnsi="Aptos"/>
          <w:lang w:val="bg-BG"/>
        </w:rPr>
        <w:t xml:space="preserve">, както е предвидено в чл. 11(7). Енергията може да се осигурява </w:t>
      </w:r>
      <w:r w:rsidRPr="006F3533">
        <w:rPr>
          <w:rStyle w:val="Strong"/>
          <w:rFonts w:ascii="Aptos" w:hAnsi="Aptos"/>
          <w:lang w:val="bg-BG"/>
        </w:rPr>
        <w:t>на място</w:t>
      </w:r>
      <w:r w:rsidRPr="006F3533">
        <w:rPr>
          <w:rFonts w:ascii="Aptos" w:hAnsi="Aptos"/>
          <w:lang w:val="bg-BG"/>
        </w:rPr>
        <w:t xml:space="preserve"> (</w:t>
      </w:r>
      <w:proofErr w:type="spellStart"/>
      <w:r w:rsidRPr="006F3533">
        <w:rPr>
          <w:rFonts w:ascii="Aptos" w:hAnsi="Aptos"/>
          <w:lang w:val="bg-BG"/>
        </w:rPr>
        <w:t>on-site</w:t>
      </w:r>
      <w:proofErr w:type="spellEnd"/>
      <w:r w:rsidRPr="006F3533">
        <w:rPr>
          <w:rFonts w:ascii="Aptos" w:hAnsi="Aptos"/>
          <w:lang w:val="bg-BG"/>
        </w:rPr>
        <w:t xml:space="preserve">), </w:t>
      </w:r>
      <w:r w:rsidRPr="006F3533">
        <w:rPr>
          <w:rStyle w:val="Strong"/>
          <w:rFonts w:ascii="Aptos" w:hAnsi="Aptos"/>
          <w:lang w:val="bg-BG"/>
        </w:rPr>
        <w:t>в близост</w:t>
      </w:r>
      <w:r w:rsidRPr="006F3533">
        <w:rPr>
          <w:rFonts w:ascii="Aptos" w:hAnsi="Aptos"/>
          <w:lang w:val="bg-BG"/>
        </w:rPr>
        <w:t xml:space="preserve"> (</w:t>
      </w:r>
      <w:proofErr w:type="spellStart"/>
      <w:r w:rsidRPr="006F3533">
        <w:rPr>
          <w:rFonts w:ascii="Aptos" w:hAnsi="Aptos"/>
          <w:lang w:val="bg-BG"/>
        </w:rPr>
        <w:t>nearby</w:t>
      </w:r>
      <w:proofErr w:type="spellEnd"/>
      <w:r w:rsidRPr="006F3533">
        <w:rPr>
          <w:rFonts w:ascii="Aptos" w:hAnsi="Aptos"/>
          <w:lang w:val="bg-BG"/>
        </w:rPr>
        <w:t xml:space="preserve">) или чрез </w:t>
      </w:r>
      <w:r w:rsidRPr="006F3533">
        <w:rPr>
          <w:rStyle w:val="Strong"/>
          <w:rFonts w:ascii="Aptos" w:hAnsi="Aptos"/>
          <w:lang w:val="bg-BG"/>
        </w:rPr>
        <w:t xml:space="preserve">мрежи, основани на ВЕИ и </w:t>
      </w:r>
      <w:proofErr w:type="spellStart"/>
      <w:r w:rsidRPr="006F3533">
        <w:rPr>
          <w:rStyle w:val="Strong"/>
          <w:rFonts w:ascii="Aptos" w:hAnsi="Aptos"/>
          <w:lang w:val="bg-BG"/>
        </w:rPr>
        <w:t>безвъглеродни</w:t>
      </w:r>
      <w:proofErr w:type="spellEnd"/>
      <w:r w:rsidRPr="006F3533">
        <w:rPr>
          <w:rStyle w:val="Strong"/>
          <w:rFonts w:ascii="Aptos" w:hAnsi="Aptos"/>
          <w:lang w:val="bg-BG"/>
        </w:rPr>
        <w:t xml:space="preserve"> източници</w:t>
      </w:r>
      <w:r w:rsidRPr="006F3533">
        <w:rPr>
          <w:rFonts w:ascii="Aptos" w:hAnsi="Aptos"/>
          <w:lang w:val="bg-BG"/>
        </w:rPr>
        <w:t xml:space="preserve">, включително ефективно централно отопление и охлаждане, енергийни общности и системи за споделено </w:t>
      </w:r>
      <w:proofErr w:type="spellStart"/>
      <w:r w:rsidRPr="006F3533">
        <w:rPr>
          <w:rFonts w:ascii="Aptos" w:hAnsi="Aptos"/>
          <w:lang w:val="bg-BG"/>
        </w:rPr>
        <w:t>самопотребление</w:t>
      </w:r>
      <w:proofErr w:type="spellEnd"/>
      <w:r w:rsidRPr="006F3533">
        <w:rPr>
          <w:rFonts w:ascii="Aptos" w:hAnsi="Aptos"/>
          <w:lang w:val="bg-BG"/>
        </w:rPr>
        <w:t xml:space="preserve">. Годишното </w:t>
      </w:r>
      <w:r w:rsidRPr="006F3533">
        <w:rPr>
          <w:rStyle w:val="Strong"/>
          <w:rFonts w:ascii="Aptos" w:hAnsi="Aptos"/>
          <w:lang w:val="bg-BG"/>
        </w:rPr>
        <w:t>балансиране на потреблението и производството</w:t>
      </w:r>
      <w:r w:rsidRPr="006F3533">
        <w:rPr>
          <w:rFonts w:ascii="Aptos" w:hAnsi="Aptos"/>
          <w:lang w:val="bg-BG"/>
        </w:rPr>
        <w:t xml:space="preserve"> се отчита по методологията, описана в Приложение 7 към Директивата, като се изчислява </w:t>
      </w:r>
      <w:r w:rsidRPr="006F3533">
        <w:rPr>
          <w:rStyle w:val="Strong"/>
          <w:rFonts w:ascii="Aptos" w:hAnsi="Aptos"/>
          <w:lang w:val="bg-BG"/>
        </w:rPr>
        <w:t>нетната първична енергия и емисиите на CO₂</w:t>
      </w:r>
      <w:r w:rsidRPr="006F3533">
        <w:rPr>
          <w:rFonts w:ascii="Aptos" w:hAnsi="Aptos"/>
          <w:lang w:val="bg-BG"/>
        </w:rPr>
        <w:t xml:space="preserve"> след компенсиране на енергийния обмен с мрежата.</w:t>
      </w:r>
    </w:p>
    <w:p w14:paraId="01E0B09E" w14:textId="0274B76F" w:rsidR="00B572B1" w:rsidRPr="006F3533" w:rsidRDefault="00B572B1" w:rsidP="00077D42">
      <w:pPr>
        <w:pStyle w:val="NormalWeb"/>
        <w:jc w:val="both"/>
        <w:rPr>
          <w:rFonts w:ascii="Aptos" w:hAnsi="Aptos"/>
          <w:lang w:val="bg-BG"/>
        </w:rPr>
      </w:pPr>
      <w:r w:rsidRPr="006F3533">
        <w:rPr>
          <w:rFonts w:ascii="Aptos" w:hAnsi="Aptos"/>
          <w:lang w:val="bg-BG"/>
        </w:rPr>
        <w:t xml:space="preserve">Националната рамка ще осигури </w:t>
      </w:r>
      <w:r w:rsidRPr="006F3533">
        <w:rPr>
          <w:rStyle w:val="Strong"/>
          <w:rFonts w:ascii="Aptos" w:hAnsi="Aptos"/>
          <w:lang w:val="bg-BG"/>
        </w:rPr>
        <w:t>хармонизирана методология</w:t>
      </w:r>
      <w:r w:rsidRPr="006F3533">
        <w:rPr>
          <w:rFonts w:ascii="Aptos" w:hAnsi="Aptos"/>
          <w:lang w:val="bg-BG"/>
        </w:rPr>
        <w:t xml:space="preserve"> за оценка на енергийния баланс на </w:t>
      </w:r>
      <w:r w:rsidR="00CD0D17" w:rsidRPr="006F3533">
        <w:rPr>
          <w:rFonts w:ascii="Aptos" w:hAnsi="Aptos"/>
          <w:lang w:val="bg-BG"/>
        </w:rPr>
        <w:t>НЕС</w:t>
      </w:r>
      <w:r w:rsidRPr="006F3533">
        <w:rPr>
          <w:rFonts w:ascii="Aptos" w:hAnsi="Aptos"/>
          <w:lang w:val="bg-BG"/>
        </w:rPr>
        <w:t xml:space="preserve">, включително дефиниции на „енергия, произведена на място“, „в близост“ и „от </w:t>
      </w:r>
      <w:proofErr w:type="spellStart"/>
      <w:r w:rsidRPr="006F3533">
        <w:rPr>
          <w:rFonts w:ascii="Aptos" w:hAnsi="Aptos"/>
          <w:lang w:val="bg-BG"/>
        </w:rPr>
        <w:t>безвъглеродни</w:t>
      </w:r>
      <w:proofErr w:type="spellEnd"/>
      <w:r w:rsidRPr="006F3533">
        <w:rPr>
          <w:rFonts w:ascii="Aptos" w:hAnsi="Aptos"/>
          <w:lang w:val="bg-BG"/>
        </w:rPr>
        <w:t xml:space="preserve"> източници“. Ще бъдат включени и правила за взаимодействие с енергийните мрежи, като се насърчава </w:t>
      </w:r>
      <w:r w:rsidRPr="006F3533">
        <w:rPr>
          <w:rStyle w:val="Strong"/>
          <w:rFonts w:ascii="Aptos" w:hAnsi="Aptos"/>
          <w:lang w:val="bg-BG"/>
        </w:rPr>
        <w:t>активното участие на сградите в гъвкавото управление на енергийното търсене</w:t>
      </w:r>
      <w:r w:rsidRPr="006F3533">
        <w:rPr>
          <w:rFonts w:ascii="Aptos" w:hAnsi="Aptos"/>
          <w:lang w:val="bg-BG"/>
        </w:rPr>
        <w:t xml:space="preserve">, съгласно принципите на интелигентната готовност (SRI). Това осигурява не само енергийна неутралност на сградите, но и тяхната роля като активен елемент от </w:t>
      </w:r>
      <w:proofErr w:type="spellStart"/>
      <w:r w:rsidRPr="006F3533">
        <w:rPr>
          <w:rFonts w:ascii="Aptos" w:hAnsi="Aptos"/>
          <w:lang w:val="bg-BG"/>
        </w:rPr>
        <w:t>декарбонизирания</w:t>
      </w:r>
      <w:proofErr w:type="spellEnd"/>
      <w:r w:rsidRPr="006F3533">
        <w:rPr>
          <w:rFonts w:ascii="Aptos" w:hAnsi="Aptos"/>
          <w:lang w:val="bg-BG"/>
        </w:rPr>
        <w:t xml:space="preserve"> енергиен микс.</w:t>
      </w:r>
    </w:p>
    <w:p w14:paraId="23E43EAB" w14:textId="77777777" w:rsidR="00B572B1" w:rsidRPr="006F3533" w:rsidRDefault="00B572B1" w:rsidP="00077D42">
      <w:pPr>
        <w:pStyle w:val="Heading3"/>
        <w:jc w:val="both"/>
        <w:rPr>
          <w:rFonts w:ascii="Aptos" w:hAnsi="Aptos"/>
          <w:sz w:val="24"/>
          <w:szCs w:val="24"/>
          <w:lang w:val="bg-BG"/>
        </w:rPr>
      </w:pPr>
      <w:bookmarkStart w:id="236" w:name="_Toc216816103"/>
      <w:bookmarkStart w:id="237" w:name="_Toc216857823"/>
      <w:bookmarkStart w:id="238" w:name="_Toc217888838"/>
      <w:r w:rsidRPr="006F3533">
        <w:rPr>
          <w:rFonts w:ascii="Aptos" w:hAnsi="Aptos"/>
          <w:sz w:val="24"/>
          <w:szCs w:val="24"/>
          <w:lang w:val="bg-BG"/>
        </w:rPr>
        <w:t>Техническа и икономическа изпълнимост</w:t>
      </w:r>
      <w:bookmarkEnd w:id="236"/>
      <w:bookmarkEnd w:id="237"/>
      <w:bookmarkEnd w:id="238"/>
    </w:p>
    <w:p w14:paraId="0644F27B" w14:textId="12BEE17E" w:rsidR="00B572B1" w:rsidRPr="006F3533" w:rsidRDefault="00B572B1" w:rsidP="00077D42">
      <w:pPr>
        <w:pStyle w:val="NormalWeb"/>
        <w:jc w:val="both"/>
        <w:rPr>
          <w:rFonts w:ascii="Aptos" w:hAnsi="Aptos"/>
          <w:lang w:val="bg-BG"/>
        </w:rPr>
      </w:pPr>
      <w:r w:rsidRPr="006F3533">
        <w:rPr>
          <w:rFonts w:ascii="Aptos" w:hAnsi="Aptos"/>
          <w:lang w:val="bg-BG"/>
        </w:rPr>
        <w:t xml:space="preserve">Определението за </w:t>
      </w:r>
      <w:r w:rsidRPr="006F3533">
        <w:rPr>
          <w:rStyle w:val="Strong"/>
          <w:rFonts w:ascii="Aptos" w:hAnsi="Aptos"/>
          <w:lang w:val="bg-BG"/>
        </w:rPr>
        <w:t xml:space="preserve">техническа или икономическа </w:t>
      </w:r>
      <w:proofErr w:type="spellStart"/>
      <w:r w:rsidRPr="006F3533">
        <w:rPr>
          <w:rStyle w:val="Strong"/>
          <w:rFonts w:ascii="Aptos" w:hAnsi="Aptos"/>
          <w:lang w:val="bg-BG"/>
        </w:rPr>
        <w:t>неизпълнимост</w:t>
      </w:r>
      <w:proofErr w:type="spellEnd"/>
      <w:r w:rsidRPr="006F3533">
        <w:rPr>
          <w:rFonts w:ascii="Aptos" w:hAnsi="Aptos"/>
          <w:lang w:val="bg-BG"/>
        </w:rPr>
        <w:t xml:space="preserve"> на изискванията за </w:t>
      </w:r>
      <w:r w:rsidR="00CD0D17" w:rsidRPr="006F3533">
        <w:rPr>
          <w:rFonts w:ascii="Aptos" w:hAnsi="Aptos"/>
          <w:lang w:val="bg-BG"/>
        </w:rPr>
        <w:t>НЕС</w:t>
      </w:r>
      <w:r w:rsidRPr="006F3533">
        <w:rPr>
          <w:rFonts w:ascii="Aptos" w:hAnsi="Aptos"/>
          <w:lang w:val="bg-BG"/>
        </w:rPr>
        <w:t xml:space="preserve"> ще бъде ясно дефинирано в националните насоки, в съответствие с чл. 11(4) и Приложение VII на Директивата. Такива случаи могат да включват:</w:t>
      </w:r>
    </w:p>
    <w:p w14:paraId="1E170053" w14:textId="77777777" w:rsidR="00B572B1" w:rsidRPr="006F3533" w:rsidRDefault="00B572B1">
      <w:pPr>
        <w:pStyle w:val="NormalWeb"/>
        <w:numPr>
          <w:ilvl w:val="0"/>
          <w:numId w:val="32"/>
        </w:numPr>
        <w:jc w:val="both"/>
        <w:rPr>
          <w:rFonts w:ascii="Aptos" w:hAnsi="Aptos"/>
          <w:lang w:val="bg-BG"/>
        </w:rPr>
      </w:pPr>
      <w:r w:rsidRPr="006F3533">
        <w:rPr>
          <w:rFonts w:ascii="Aptos" w:hAnsi="Aptos"/>
          <w:lang w:val="bg-BG"/>
        </w:rPr>
        <w:t>сгради с архитектурна или културна стойност, при които пълното изпълнение би нарушило защитени елементи;</w:t>
      </w:r>
    </w:p>
    <w:p w14:paraId="737426FF" w14:textId="77777777" w:rsidR="00B572B1" w:rsidRPr="006F3533" w:rsidRDefault="00B572B1">
      <w:pPr>
        <w:pStyle w:val="NormalWeb"/>
        <w:numPr>
          <w:ilvl w:val="0"/>
          <w:numId w:val="32"/>
        </w:numPr>
        <w:jc w:val="both"/>
        <w:rPr>
          <w:rFonts w:ascii="Aptos" w:hAnsi="Aptos"/>
          <w:lang w:val="bg-BG"/>
        </w:rPr>
      </w:pPr>
      <w:r w:rsidRPr="006F3533">
        <w:rPr>
          <w:rFonts w:ascii="Aptos" w:hAnsi="Aptos"/>
          <w:lang w:val="bg-BG"/>
        </w:rPr>
        <w:t>ограничени възможности за интегриране на ВЕИ поради конструктивни или пространствени особености;</w:t>
      </w:r>
    </w:p>
    <w:p w14:paraId="4A090357" w14:textId="77777777" w:rsidR="00B572B1" w:rsidRPr="006F3533" w:rsidRDefault="00B572B1">
      <w:pPr>
        <w:pStyle w:val="NormalWeb"/>
        <w:numPr>
          <w:ilvl w:val="0"/>
          <w:numId w:val="32"/>
        </w:numPr>
        <w:jc w:val="both"/>
        <w:rPr>
          <w:rFonts w:ascii="Aptos" w:hAnsi="Aptos"/>
          <w:lang w:val="bg-BG"/>
        </w:rPr>
      </w:pPr>
      <w:r w:rsidRPr="006F3533">
        <w:rPr>
          <w:rFonts w:ascii="Aptos" w:hAnsi="Aptos"/>
          <w:lang w:val="bg-BG"/>
        </w:rPr>
        <w:t>сгради с обществена функция и значимост, за които пълната реновация би била непропорционално скъпа спрямо достъпните финансови ресурси, при доказана липса на алтернативен сценарий.</w:t>
      </w:r>
    </w:p>
    <w:p w14:paraId="56D20070" w14:textId="184993A1" w:rsidR="00B572B1" w:rsidRPr="006F3533" w:rsidRDefault="00B572B1" w:rsidP="00077D42">
      <w:pPr>
        <w:pStyle w:val="NormalWeb"/>
        <w:jc w:val="both"/>
        <w:rPr>
          <w:rFonts w:ascii="Aptos" w:hAnsi="Aptos"/>
          <w:lang w:val="bg-BG"/>
        </w:rPr>
      </w:pPr>
      <w:r w:rsidRPr="006F3533">
        <w:rPr>
          <w:rFonts w:ascii="Aptos" w:hAnsi="Aptos"/>
          <w:lang w:val="bg-BG"/>
        </w:rPr>
        <w:t xml:space="preserve">Дори в тези случаи обаче остават </w:t>
      </w:r>
      <w:r w:rsidRPr="006F3533">
        <w:rPr>
          <w:rStyle w:val="Strong"/>
          <w:rFonts w:ascii="Aptos" w:hAnsi="Aptos"/>
          <w:lang w:val="bg-BG"/>
        </w:rPr>
        <w:t xml:space="preserve">задължителни всички останали условия за </w:t>
      </w:r>
      <w:r w:rsidR="00CD0D17" w:rsidRPr="006F3533">
        <w:rPr>
          <w:rStyle w:val="Strong"/>
          <w:rFonts w:ascii="Aptos" w:hAnsi="Aptos"/>
          <w:lang w:val="bg-BG"/>
        </w:rPr>
        <w:t>НЕС</w:t>
      </w:r>
      <w:r w:rsidRPr="006F3533">
        <w:rPr>
          <w:rFonts w:ascii="Aptos" w:hAnsi="Aptos"/>
          <w:lang w:val="bg-BG"/>
        </w:rPr>
        <w:t xml:space="preserve">, включително </w:t>
      </w:r>
      <w:r w:rsidRPr="006F3533">
        <w:rPr>
          <w:rStyle w:val="Strong"/>
          <w:rFonts w:ascii="Aptos" w:hAnsi="Aptos"/>
          <w:lang w:val="bg-BG"/>
        </w:rPr>
        <w:t>забраната за използване на изкопаеми горива на място</w:t>
      </w:r>
      <w:r w:rsidRPr="006F3533">
        <w:rPr>
          <w:rFonts w:ascii="Aptos" w:hAnsi="Aptos"/>
          <w:lang w:val="bg-BG"/>
        </w:rPr>
        <w:t>, високите стандарти за топлоизолация и ефективност на системите, и изискването за минимален дял от възобновяеми източници в общия енергиен микс.</w:t>
      </w:r>
    </w:p>
    <w:p w14:paraId="5167AEBD" w14:textId="7FC38362" w:rsidR="00B572B1" w:rsidRPr="006F3533" w:rsidRDefault="00B572B1" w:rsidP="00077D42">
      <w:pPr>
        <w:pStyle w:val="NormalWeb"/>
        <w:jc w:val="both"/>
        <w:rPr>
          <w:rFonts w:ascii="Aptos" w:hAnsi="Aptos"/>
          <w:lang w:val="bg-BG"/>
        </w:rPr>
      </w:pPr>
      <w:r w:rsidRPr="006F3533">
        <w:rPr>
          <w:rFonts w:ascii="Aptos" w:hAnsi="Aptos"/>
          <w:lang w:val="bg-BG"/>
        </w:rPr>
        <w:t xml:space="preserve">Националната схема за </w:t>
      </w:r>
      <w:r w:rsidR="00CD0D17" w:rsidRPr="006F3533">
        <w:rPr>
          <w:rFonts w:ascii="Aptos" w:hAnsi="Aptos"/>
          <w:lang w:val="bg-BG"/>
        </w:rPr>
        <w:t xml:space="preserve">паспорти за сградно обновяване </w:t>
      </w:r>
      <w:r w:rsidRPr="006F3533">
        <w:rPr>
          <w:rFonts w:ascii="Aptos" w:hAnsi="Aptos"/>
          <w:lang w:val="bg-BG"/>
        </w:rPr>
        <w:t xml:space="preserve">ще осигури </w:t>
      </w:r>
      <w:r w:rsidRPr="006F3533">
        <w:rPr>
          <w:rStyle w:val="Strong"/>
          <w:rFonts w:ascii="Aptos" w:hAnsi="Aptos"/>
          <w:lang w:val="bg-BG"/>
        </w:rPr>
        <w:t xml:space="preserve">интеграция на </w:t>
      </w:r>
      <w:r w:rsidR="00CD0D17" w:rsidRPr="006F3533">
        <w:rPr>
          <w:rStyle w:val="Strong"/>
          <w:rFonts w:ascii="Aptos" w:hAnsi="Aptos"/>
          <w:lang w:val="bg-BG"/>
        </w:rPr>
        <w:t xml:space="preserve">МСЕХ </w:t>
      </w:r>
      <w:r w:rsidRPr="006F3533">
        <w:rPr>
          <w:rStyle w:val="Strong"/>
          <w:rFonts w:ascii="Aptos" w:hAnsi="Aptos"/>
          <w:lang w:val="bg-BG"/>
        </w:rPr>
        <w:t xml:space="preserve">и </w:t>
      </w:r>
      <w:r w:rsidR="00D8379B" w:rsidRPr="006F3533">
        <w:rPr>
          <w:rStyle w:val="Strong"/>
          <w:rFonts w:ascii="Aptos" w:hAnsi="Aptos"/>
          <w:lang w:val="bg-BG"/>
        </w:rPr>
        <w:t>НЕС</w:t>
      </w:r>
      <w:r w:rsidRPr="006F3533">
        <w:rPr>
          <w:rStyle w:val="Strong"/>
          <w:rFonts w:ascii="Aptos" w:hAnsi="Aptos"/>
          <w:lang w:val="bg-BG"/>
        </w:rPr>
        <w:t xml:space="preserve"> в единна пътна карта</w:t>
      </w:r>
      <w:r w:rsidRPr="006F3533">
        <w:rPr>
          <w:rFonts w:ascii="Aptos" w:hAnsi="Aptos"/>
          <w:lang w:val="bg-BG"/>
        </w:rPr>
        <w:t xml:space="preserve">, в която всеки етап от обновяването ще бъде насочен към постигането на крайната цел – </w:t>
      </w:r>
      <w:r w:rsidR="00D8379B" w:rsidRPr="006F3533">
        <w:rPr>
          <w:rFonts w:ascii="Aptos" w:hAnsi="Aptos"/>
          <w:lang w:val="bg-BG"/>
        </w:rPr>
        <w:t>НЕС</w:t>
      </w:r>
      <w:r w:rsidRPr="006F3533">
        <w:rPr>
          <w:rFonts w:ascii="Aptos" w:hAnsi="Aptos"/>
          <w:lang w:val="bg-BG"/>
        </w:rPr>
        <w:t xml:space="preserve"> или еквивалентен резултат по отношение на емисиите и енергийната ефективност. Така прилагането на </w:t>
      </w:r>
      <w:r w:rsidR="00D8379B" w:rsidRPr="006F3533">
        <w:rPr>
          <w:rFonts w:ascii="Aptos" w:hAnsi="Aptos"/>
          <w:lang w:val="bg-BG"/>
        </w:rPr>
        <w:t xml:space="preserve">МСЕХ </w:t>
      </w:r>
      <w:r w:rsidRPr="006F3533">
        <w:rPr>
          <w:rFonts w:ascii="Aptos" w:hAnsi="Aptos"/>
          <w:lang w:val="bg-BG"/>
        </w:rPr>
        <w:t xml:space="preserve">няма да се разглежда като административна мярка за съответствие, а като </w:t>
      </w:r>
      <w:r w:rsidRPr="006F3533">
        <w:rPr>
          <w:rStyle w:val="Strong"/>
          <w:rFonts w:ascii="Aptos" w:hAnsi="Aptos"/>
          <w:lang w:val="bg-BG"/>
        </w:rPr>
        <w:t xml:space="preserve">механизъм за постепенно въвеждане на стандартите за </w:t>
      </w:r>
      <w:proofErr w:type="spellStart"/>
      <w:r w:rsidR="004854B6" w:rsidRPr="006F3533">
        <w:rPr>
          <w:rStyle w:val="Strong"/>
          <w:rFonts w:ascii="Aptos" w:hAnsi="Aptos"/>
          <w:lang w:val="bg-BG"/>
        </w:rPr>
        <w:t>нулевоемисионни</w:t>
      </w:r>
      <w:proofErr w:type="spellEnd"/>
      <w:r w:rsidR="004854B6" w:rsidRPr="006F3533">
        <w:rPr>
          <w:rStyle w:val="Strong"/>
          <w:rFonts w:ascii="Aptos" w:hAnsi="Aptos"/>
          <w:lang w:val="bg-BG"/>
        </w:rPr>
        <w:t xml:space="preserve"> сгради</w:t>
      </w:r>
      <w:r w:rsidRPr="006F3533">
        <w:rPr>
          <w:rFonts w:ascii="Aptos" w:hAnsi="Aptos"/>
          <w:lang w:val="bg-BG"/>
        </w:rPr>
        <w:t xml:space="preserve"> по икономически устойчив и социално справедлив начин.</w:t>
      </w:r>
    </w:p>
    <w:p w14:paraId="11A771A3" w14:textId="2AD37F3A" w:rsidR="00B572B1" w:rsidRPr="006F3533" w:rsidRDefault="00B572B1" w:rsidP="00077D42">
      <w:pPr>
        <w:pStyle w:val="Heading2"/>
        <w:jc w:val="both"/>
        <w:rPr>
          <w:color w:val="auto"/>
          <w:sz w:val="24"/>
          <w:szCs w:val="24"/>
          <w:lang w:val="bg-BG"/>
        </w:rPr>
      </w:pPr>
      <w:bookmarkStart w:id="239" w:name="_Toc216816104"/>
      <w:bookmarkStart w:id="240" w:name="_Toc216857824"/>
      <w:bookmarkStart w:id="241" w:name="_Toc217888839"/>
      <w:r w:rsidRPr="006F3533">
        <w:rPr>
          <w:color w:val="auto"/>
          <w:sz w:val="24"/>
          <w:szCs w:val="24"/>
          <w:lang w:val="bg-BG"/>
        </w:rPr>
        <w:t>Процедури, качество и капацитет</w:t>
      </w:r>
      <w:bookmarkEnd w:id="239"/>
      <w:bookmarkEnd w:id="240"/>
      <w:bookmarkEnd w:id="241"/>
    </w:p>
    <w:p w14:paraId="5FBF400C" w14:textId="2181F265" w:rsidR="00B572B1" w:rsidRPr="006F3533" w:rsidRDefault="00B572B1" w:rsidP="00077D42">
      <w:pPr>
        <w:pStyle w:val="NormalWeb"/>
        <w:jc w:val="both"/>
        <w:rPr>
          <w:rFonts w:ascii="Aptos" w:hAnsi="Aptos"/>
          <w:lang w:val="bg-BG"/>
        </w:rPr>
      </w:pPr>
      <w:r w:rsidRPr="006F3533">
        <w:rPr>
          <w:rFonts w:ascii="Aptos" w:hAnsi="Aptos"/>
          <w:lang w:val="bg-BG"/>
        </w:rPr>
        <w:lastRenderedPageBreak/>
        <w:t xml:space="preserve">Системата за паспорти за сградно обновяване и свързаните схеми за финансиране ще се основават на ясно определени правила за </w:t>
      </w:r>
      <w:r w:rsidRPr="006F3533">
        <w:rPr>
          <w:rStyle w:val="Strong"/>
          <w:rFonts w:ascii="Aptos" w:hAnsi="Aptos"/>
          <w:lang w:val="bg-BG"/>
        </w:rPr>
        <w:t>квалификация и контрол на качеството</w:t>
      </w:r>
      <w:r w:rsidRPr="006F3533">
        <w:rPr>
          <w:rFonts w:ascii="Aptos" w:hAnsi="Aptos"/>
          <w:lang w:val="bg-BG"/>
        </w:rPr>
        <w:t xml:space="preserve">, съгласно член 25 от Директивата. </w:t>
      </w:r>
      <w:r w:rsidR="005727DC" w:rsidRPr="006F3533">
        <w:rPr>
          <w:rFonts w:ascii="Aptos" w:hAnsi="Aptos"/>
          <w:lang w:val="bg-BG"/>
        </w:rPr>
        <w:t>Енергийните консултанти</w:t>
      </w:r>
      <w:r w:rsidRPr="006F3533">
        <w:rPr>
          <w:rFonts w:ascii="Aptos" w:hAnsi="Aptos"/>
          <w:lang w:val="bg-BG"/>
        </w:rPr>
        <w:t xml:space="preserve">, издаващи </w:t>
      </w:r>
      <w:r w:rsidR="005727DC" w:rsidRPr="006F3533">
        <w:rPr>
          <w:rFonts w:ascii="Aptos" w:hAnsi="Aptos"/>
          <w:lang w:val="bg-BG"/>
        </w:rPr>
        <w:t>сертификати за енергийните характеристики и паспорти за сградно обновяване</w:t>
      </w:r>
      <w:r w:rsidRPr="006F3533">
        <w:rPr>
          <w:rFonts w:ascii="Aptos" w:hAnsi="Aptos"/>
          <w:lang w:val="bg-BG"/>
        </w:rPr>
        <w:t xml:space="preserve">, ще бъдат </w:t>
      </w:r>
      <w:r w:rsidRPr="006F3533">
        <w:rPr>
          <w:rStyle w:val="Strong"/>
          <w:rFonts w:ascii="Aptos" w:hAnsi="Aptos"/>
          <w:lang w:val="bg-BG"/>
        </w:rPr>
        <w:t xml:space="preserve">сертифицирани по </w:t>
      </w:r>
      <w:r w:rsidR="005727DC" w:rsidRPr="006F3533">
        <w:rPr>
          <w:rStyle w:val="Strong"/>
          <w:rFonts w:ascii="Aptos" w:hAnsi="Aptos"/>
          <w:lang w:val="bg-BG"/>
        </w:rPr>
        <w:t xml:space="preserve">съществуващата </w:t>
      </w:r>
      <w:r w:rsidRPr="006F3533">
        <w:rPr>
          <w:rStyle w:val="Strong"/>
          <w:rFonts w:ascii="Aptos" w:hAnsi="Aptos"/>
          <w:lang w:val="bg-BG"/>
        </w:rPr>
        <w:t>националн</w:t>
      </w:r>
      <w:r w:rsidR="005727DC" w:rsidRPr="006F3533">
        <w:rPr>
          <w:rStyle w:val="Strong"/>
          <w:rFonts w:ascii="Aptos" w:hAnsi="Aptos"/>
          <w:lang w:val="bg-BG"/>
        </w:rPr>
        <w:t>а</w:t>
      </w:r>
      <w:r w:rsidRPr="006F3533">
        <w:rPr>
          <w:rStyle w:val="Strong"/>
          <w:rFonts w:ascii="Aptos" w:hAnsi="Aptos"/>
          <w:lang w:val="bg-BG"/>
        </w:rPr>
        <w:t xml:space="preserve"> схем</w:t>
      </w:r>
      <w:r w:rsidR="005727DC" w:rsidRPr="006F3533">
        <w:rPr>
          <w:rStyle w:val="Strong"/>
          <w:rFonts w:ascii="Aptos" w:hAnsi="Aptos"/>
          <w:lang w:val="bg-BG"/>
        </w:rPr>
        <w:t>а</w:t>
      </w:r>
      <w:r w:rsidRPr="006F3533">
        <w:rPr>
          <w:rFonts w:ascii="Aptos" w:hAnsi="Aptos"/>
          <w:lang w:val="bg-BG"/>
        </w:rPr>
        <w:t>, като се осигури съвместимост между двете функции и възможност за продължаващо обучение.</w:t>
      </w:r>
    </w:p>
    <w:p w14:paraId="4708F14A" w14:textId="28534258" w:rsidR="00B572B1" w:rsidRPr="006F3533" w:rsidRDefault="00B572B1" w:rsidP="00077D42">
      <w:pPr>
        <w:pStyle w:val="NormalWeb"/>
        <w:jc w:val="both"/>
        <w:rPr>
          <w:rFonts w:ascii="Aptos" w:hAnsi="Aptos"/>
          <w:lang w:val="bg-BG"/>
        </w:rPr>
      </w:pPr>
      <w:r w:rsidRPr="006F3533">
        <w:rPr>
          <w:rFonts w:ascii="Aptos" w:hAnsi="Aptos"/>
          <w:lang w:val="bg-BG"/>
        </w:rPr>
        <w:t xml:space="preserve">Контролът на качеството ще включва </w:t>
      </w:r>
      <w:r w:rsidRPr="006F3533">
        <w:rPr>
          <w:rStyle w:val="Strong"/>
          <w:rFonts w:ascii="Aptos" w:hAnsi="Aptos"/>
          <w:lang w:val="bg-BG"/>
        </w:rPr>
        <w:t>верификация на енергоспестяванията</w:t>
      </w:r>
      <w:r w:rsidRPr="006F3533">
        <w:rPr>
          <w:rFonts w:ascii="Aptos" w:hAnsi="Aptos"/>
          <w:lang w:val="bg-BG"/>
        </w:rPr>
        <w:t xml:space="preserve">, </w:t>
      </w:r>
      <w:r w:rsidRPr="006F3533">
        <w:rPr>
          <w:rStyle w:val="Strong"/>
          <w:rFonts w:ascii="Aptos" w:hAnsi="Aptos"/>
          <w:lang w:val="bg-BG"/>
        </w:rPr>
        <w:t xml:space="preserve">периодични проверки на издадените </w:t>
      </w:r>
      <w:r w:rsidR="00CD0D17" w:rsidRPr="006F3533">
        <w:rPr>
          <w:rStyle w:val="Strong"/>
          <w:rFonts w:ascii="Aptos" w:hAnsi="Aptos"/>
          <w:lang w:val="bg-BG"/>
        </w:rPr>
        <w:t xml:space="preserve">паспорти за сградно обновяване </w:t>
      </w:r>
      <w:r w:rsidRPr="006F3533">
        <w:rPr>
          <w:rStyle w:val="Strong"/>
          <w:rFonts w:ascii="Aptos" w:hAnsi="Aptos"/>
          <w:lang w:val="bg-BG"/>
        </w:rPr>
        <w:t xml:space="preserve">и </w:t>
      </w:r>
      <w:r w:rsidR="00D8379B" w:rsidRPr="006F3533">
        <w:rPr>
          <w:rStyle w:val="Strong"/>
          <w:rFonts w:ascii="Aptos" w:hAnsi="Aptos"/>
          <w:lang w:val="bg-BG"/>
        </w:rPr>
        <w:t>СЕХ</w:t>
      </w:r>
      <w:r w:rsidRPr="006F3533">
        <w:rPr>
          <w:rFonts w:ascii="Aptos" w:hAnsi="Aptos"/>
          <w:lang w:val="bg-BG"/>
        </w:rPr>
        <w:t xml:space="preserve">, както и централизирана </w:t>
      </w:r>
      <w:r w:rsidRPr="006F3533">
        <w:rPr>
          <w:rStyle w:val="Strong"/>
          <w:rFonts w:ascii="Aptos" w:hAnsi="Aptos"/>
          <w:lang w:val="bg-BG"/>
        </w:rPr>
        <w:t>система</w:t>
      </w:r>
      <w:r w:rsidR="005727DC" w:rsidRPr="006F3533">
        <w:rPr>
          <w:rStyle w:val="Strong"/>
          <w:rFonts w:ascii="Aptos" w:hAnsi="Aptos"/>
          <w:lang w:val="bg-BG"/>
        </w:rPr>
        <w:t xml:space="preserve"> за проследяване и контрол на качеството</w:t>
      </w:r>
      <w:r w:rsidRPr="006F3533">
        <w:rPr>
          <w:rFonts w:ascii="Aptos" w:hAnsi="Aptos"/>
          <w:lang w:val="bg-BG"/>
        </w:rPr>
        <w:t xml:space="preserve">, интегрирана в </w:t>
      </w:r>
      <w:r w:rsidRPr="006F3533">
        <w:rPr>
          <w:rStyle w:val="Strong"/>
          <w:rFonts w:ascii="Aptos" w:hAnsi="Aptos"/>
          <w:lang w:val="bg-BG"/>
        </w:rPr>
        <w:t>националната база данни по член 22</w:t>
      </w:r>
      <w:r w:rsidRPr="006F3533">
        <w:rPr>
          <w:rFonts w:ascii="Aptos" w:hAnsi="Aptos"/>
          <w:lang w:val="bg-BG"/>
        </w:rPr>
        <w:t xml:space="preserve">. Всеки издаден </w:t>
      </w:r>
      <w:r w:rsidR="00CD0D17" w:rsidRPr="006F3533">
        <w:rPr>
          <w:rFonts w:ascii="Aptos" w:hAnsi="Aptos"/>
          <w:lang w:val="bg-BG"/>
        </w:rPr>
        <w:t xml:space="preserve">паспорт за сградно обновяване </w:t>
      </w:r>
      <w:r w:rsidRPr="006F3533">
        <w:rPr>
          <w:rFonts w:ascii="Aptos" w:hAnsi="Aptos"/>
          <w:lang w:val="bg-BG"/>
        </w:rPr>
        <w:t xml:space="preserve">ще се </w:t>
      </w:r>
      <w:r w:rsidRPr="006F3533">
        <w:rPr>
          <w:rStyle w:val="Strong"/>
          <w:rFonts w:ascii="Aptos" w:hAnsi="Aptos"/>
          <w:lang w:val="bg-BG"/>
        </w:rPr>
        <w:t>качва в базата</w:t>
      </w:r>
      <w:r w:rsidRPr="006F3533">
        <w:rPr>
          <w:rFonts w:ascii="Aptos" w:hAnsi="Aptos"/>
          <w:lang w:val="bg-BG"/>
        </w:rPr>
        <w:t xml:space="preserve"> и ще може да бъде </w:t>
      </w:r>
      <w:r w:rsidRPr="006F3533">
        <w:rPr>
          <w:rStyle w:val="Strong"/>
          <w:rFonts w:ascii="Aptos" w:hAnsi="Aptos"/>
          <w:lang w:val="bg-BG"/>
        </w:rPr>
        <w:t>свързан с потенциален цифров дневник на сградата</w:t>
      </w:r>
      <w:r w:rsidRPr="006F3533">
        <w:rPr>
          <w:rFonts w:ascii="Aptos" w:hAnsi="Aptos"/>
          <w:lang w:val="bg-BG"/>
        </w:rPr>
        <w:t xml:space="preserve">. Данните ще се използват за публично </w:t>
      </w:r>
      <w:r w:rsidRPr="006F3533">
        <w:rPr>
          <w:rStyle w:val="Strong"/>
          <w:rFonts w:ascii="Aptos" w:hAnsi="Aptos"/>
          <w:lang w:val="bg-BG"/>
        </w:rPr>
        <w:t>KPI-табло</w:t>
      </w:r>
      <w:r w:rsidRPr="006F3533">
        <w:rPr>
          <w:rFonts w:ascii="Aptos" w:hAnsi="Aptos"/>
          <w:lang w:val="bg-BG"/>
        </w:rPr>
        <w:t xml:space="preserve">, отчитащо: брой и тип </w:t>
      </w:r>
      <w:r w:rsidR="00CD0D17" w:rsidRPr="006F3533">
        <w:rPr>
          <w:rFonts w:ascii="Aptos" w:hAnsi="Aptos"/>
          <w:lang w:val="bg-BG"/>
        </w:rPr>
        <w:t>паспорти за сградно обновяване</w:t>
      </w:r>
      <w:r w:rsidRPr="006F3533">
        <w:rPr>
          <w:rFonts w:ascii="Aptos" w:hAnsi="Aptos"/>
          <w:lang w:val="bg-BG"/>
        </w:rPr>
        <w:t>, дял поетапни, средна дълбочина, реализирани спестявания и проекти, подкрепени чрез ЦКО.</w:t>
      </w:r>
    </w:p>
    <w:p w14:paraId="3D1D710F" w14:textId="1A1CDCB8" w:rsidR="00B572B1" w:rsidRPr="006F3533" w:rsidRDefault="00B572B1" w:rsidP="00077D42">
      <w:pPr>
        <w:pStyle w:val="NormalWeb"/>
        <w:jc w:val="both"/>
        <w:rPr>
          <w:rFonts w:ascii="Aptos" w:hAnsi="Aptos"/>
          <w:lang w:val="bg-BG"/>
        </w:rPr>
      </w:pPr>
      <w:r w:rsidRPr="006F3533">
        <w:rPr>
          <w:rFonts w:ascii="Aptos" w:hAnsi="Aptos"/>
          <w:lang w:val="bg-BG"/>
        </w:rPr>
        <w:t xml:space="preserve">Ще бъде разработен </w:t>
      </w:r>
      <w:r w:rsidRPr="006F3533">
        <w:rPr>
          <w:rStyle w:val="Strong"/>
          <w:rFonts w:ascii="Aptos" w:hAnsi="Aptos"/>
          <w:lang w:val="bg-BG"/>
        </w:rPr>
        <w:t>национален дигитален инструмент</w:t>
      </w:r>
      <w:r w:rsidRPr="006F3533">
        <w:rPr>
          <w:rFonts w:ascii="Aptos" w:hAnsi="Aptos"/>
          <w:lang w:val="bg-BG"/>
        </w:rPr>
        <w:t xml:space="preserve"> за изготвяне на </w:t>
      </w:r>
      <w:r w:rsidR="00CD0D17" w:rsidRPr="006F3533">
        <w:rPr>
          <w:rFonts w:ascii="Aptos" w:hAnsi="Aptos"/>
          <w:lang w:val="bg-BG"/>
        </w:rPr>
        <w:t>паспорти за сградно обновяване</w:t>
      </w:r>
      <w:r w:rsidRPr="006F3533">
        <w:rPr>
          <w:rFonts w:ascii="Aptos" w:hAnsi="Aptos"/>
          <w:lang w:val="bg-BG"/>
        </w:rPr>
        <w:t xml:space="preserve">, както и </w:t>
      </w:r>
      <w:r w:rsidRPr="006F3533">
        <w:rPr>
          <w:rStyle w:val="Strong"/>
          <w:rFonts w:ascii="Aptos" w:hAnsi="Aptos"/>
          <w:lang w:val="bg-BG"/>
        </w:rPr>
        <w:t>отворен симулатор</w:t>
      </w:r>
      <w:r w:rsidRPr="006F3533">
        <w:rPr>
          <w:rFonts w:ascii="Aptos" w:hAnsi="Aptos"/>
          <w:lang w:val="bg-BG"/>
        </w:rPr>
        <w:t xml:space="preserve"> за собственици и домакинства (без официален статут), който ще им позволява да моделират сценарии и намаляват транзакционните разходи при кандидатстване.</w:t>
      </w:r>
    </w:p>
    <w:p w14:paraId="2D8729BD" w14:textId="21BE1FB3" w:rsidR="00B572B1" w:rsidRPr="006F3533" w:rsidRDefault="00B572B1" w:rsidP="00077D42">
      <w:pPr>
        <w:pStyle w:val="Heading2"/>
        <w:jc w:val="both"/>
        <w:rPr>
          <w:sz w:val="24"/>
          <w:szCs w:val="24"/>
          <w:lang w:val="bg-BG"/>
        </w:rPr>
      </w:pPr>
      <w:bookmarkStart w:id="242" w:name="_Toc216816105"/>
      <w:bookmarkStart w:id="243" w:name="_Toc216857825"/>
      <w:bookmarkStart w:id="244" w:name="_Toc217888840"/>
      <w:r w:rsidRPr="006F3533">
        <w:rPr>
          <w:color w:val="auto"/>
          <w:sz w:val="24"/>
          <w:szCs w:val="24"/>
          <w:lang w:val="bg-BG"/>
        </w:rPr>
        <w:t xml:space="preserve">Административни облекчения и </w:t>
      </w:r>
      <w:bookmarkEnd w:id="242"/>
      <w:r w:rsidR="00CD0D17" w:rsidRPr="006F3533">
        <w:rPr>
          <w:color w:val="auto"/>
          <w:sz w:val="24"/>
          <w:szCs w:val="24"/>
          <w:lang w:val="bg-BG"/>
        </w:rPr>
        <w:t>задвижващи фактори</w:t>
      </w:r>
      <w:bookmarkEnd w:id="243"/>
      <w:bookmarkEnd w:id="244"/>
    </w:p>
    <w:p w14:paraId="3558F09B" w14:textId="7C36BD4B" w:rsidR="00B572B1" w:rsidRPr="006F3533" w:rsidRDefault="00B572B1" w:rsidP="00077D42">
      <w:pPr>
        <w:pStyle w:val="NormalWeb"/>
        <w:jc w:val="both"/>
        <w:rPr>
          <w:rFonts w:ascii="Aptos" w:hAnsi="Aptos"/>
          <w:lang w:val="bg-BG"/>
        </w:rPr>
      </w:pPr>
      <w:r w:rsidRPr="006F3533">
        <w:rPr>
          <w:rFonts w:ascii="Aptos" w:hAnsi="Aptos"/>
          <w:lang w:val="bg-BG"/>
        </w:rPr>
        <w:t xml:space="preserve">Процедурите за одобрение, кандидатстване и контрол ще бъдат </w:t>
      </w:r>
      <w:r w:rsidRPr="006F3533">
        <w:rPr>
          <w:rStyle w:val="Strong"/>
          <w:rFonts w:ascii="Aptos" w:hAnsi="Aptos"/>
          <w:lang w:val="bg-BG"/>
        </w:rPr>
        <w:t>дигитализирани и пропорционални</w:t>
      </w:r>
      <w:r w:rsidRPr="006F3533">
        <w:rPr>
          <w:rFonts w:ascii="Aptos" w:hAnsi="Aptos"/>
          <w:lang w:val="bg-BG"/>
        </w:rPr>
        <w:t xml:space="preserve">, с унифицирани онлайн формуляри, стандартизирани спецификации и тръжни документи. Ще се използват </w:t>
      </w:r>
      <w:r w:rsidRPr="006F3533">
        <w:rPr>
          <w:rStyle w:val="Strong"/>
          <w:rFonts w:ascii="Aptos" w:hAnsi="Aptos"/>
          <w:lang w:val="bg-BG"/>
        </w:rPr>
        <w:t>„</w:t>
      </w:r>
      <w:r w:rsidR="00CD0D17" w:rsidRPr="006F3533">
        <w:rPr>
          <w:rStyle w:val="Strong"/>
          <w:rFonts w:ascii="Aptos" w:hAnsi="Aptos"/>
          <w:lang w:val="bg-BG"/>
        </w:rPr>
        <w:t>задвижващи фактори</w:t>
      </w:r>
      <w:r w:rsidRPr="006F3533">
        <w:rPr>
          <w:rStyle w:val="Strong"/>
          <w:rFonts w:ascii="Aptos" w:hAnsi="Aptos"/>
          <w:lang w:val="bg-BG"/>
        </w:rPr>
        <w:t>“</w:t>
      </w:r>
      <w:r w:rsidRPr="006F3533">
        <w:rPr>
          <w:rFonts w:ascii="Aptos" w:hAnsi="Aptos"/>
          <w:lang w:val="bg-BG"/>
        </w:rPr>
        <w:t xml:space="preserve"> – продажба, наем, смяна на предназначение или основен ремонт – като </w:t>
      </w:r>
      <w:r w:rsidRPr="006F3533">
        <w:rPr>
          <w:rStyle w:val="Strong"/>
          <w:rFonts w:ascii="Aptos" w:hAnsi="Aptos"/>
          <w:lang w:val="bg-BG"/>
        </w:rPr>
        <w:t xml:space="preserve">естествени моменти за изискване или насърчаване на изготвяне на </w:t>
      </w:r>
      <w:r w:rsidR="00CD0D17" w:rsidRPr="006F3533">
        <w:rPr>
          <w:rStyle w:val="Strong"/>
          <w:rFonts w:ascii="Aptos" w:hAnsi="Aptos"/>
          <w:lang w:val="bg-BG"/>
        </w:rPr>
        <w:t>паспорти за сградно обновяване</w:t>
      </w:r>
      <w:r w:rsidR="00CD0D17" w:rsidRPr="006F3533">
        <w:rPr>
          <w:rFonts w:ascii="Aptos" w:hAnsi="Aptos"/>
          <w:lang w:val="bg-BG"/>
        </w:rPr>
        <w:t xml:space="preserve"> </w:t>
      </w:r>
      <w:r w:rsidRPr="006F3533">
        <w:rPr>
          <w:rFonts w:ascii="Aptos" w:hAnsi="Aptos"/>
          <w:lang w:val="bg-BG"/>
        </w:rPr>
        <w:t>и за стартиране на дълбоко или поетапно дълбоко обновяване.</w:t>
      </w:r>
    </w:p>
    <w:p w14:paraId="301345F2" w14:textId="433EF45D" w:rsidR="00B572B1" w:rsidRPr="006F3533" w:rsidRDefault="00B572B1" w:rsidP="00077D42">
      <w:pPr>
        <w:pStyle w:val="NormalWeb"/>
        <w:jc w:val="both"/>
        <w:rPr>
          <w:rFonts w:ascii="Aptos" w:hAnsi="Aptos"/>
          <w:lang w:val="bg-BG"/>
        </w:rPr>
      </w:pPr>
      <w:r w:rsidRPr="006F3533">
        <w:rPr>
          <w:rFonts w:ascii="Aptos" w:hAnsi="Aptos"/>
          <w:lang w:val="bg-BG"/>
        </w:rPr>
        <w:t xml:space="preserve">Тези механизми ще бъдат синхронизирани с националната схема за </w:t>
      </w:r>
      <w:r w:rsidR="00D8379B" w:rsidRPr="006F3533">
        <w:rPr>
          <w:rFonts w:ascii="Aptos" w:hAnsi="Aptos"/>
          <w:lang w:val="bg-BG"/>
        </w:rPr>
        <w:t>СЕХ</w:t>
      </w:r>
      <w:r w:rsidRPr="006F3533">
        <w:rPr>
          <w:rFonts w:ascii="Aptos" w:hAnsi="Aptos"/>
          <w:lang w:val="bg-BG"/>
        </w:rPr>
        <w:t xml:space="preserve">, така че </w:t>
      </w:r>
      <w:r w:rsidR="00D8379B" w:rsidRPr="006F3533">
        <w:rPr>
          <w:rFonts w:ascii="Aptos" w:hAnsi="Aptos"/>
          <w:lang w:val="bg-BG"/>
        </w:rPr>
        <w:t>паспортът за сградно обновяване</w:t>
      </w:r>
      <w:r w:rsidRPr="006F3533">
        <w:rPr>
          <w:rFonts w:ascii="Aptos" w:hAnsi="Aptos"/>
          <w:lang w:val="bg-BG"/>
        </w:rPr>
        <w:t xml:space="preserve"> да може да се издава или актуализира при настъпването на съответното събитие, осигурявайки последователност на данните и планиране на мерките във времето.</w:t>
      </w:r>
    </w:p>
    <w:p w14:paraId="6E6F345F" w14:textId="22304299" w:rsidR="00B572B1" w:rsidRPr="006F3533" w:rsidRDefault="00B572B1" w:rsidP="00077D42">
      <w:pPr>
        <w:pStyle w:val="Heading2"/>
        <w:jc w:val="both"/>
        <w:rPr>
          <w:color w:val="auto"/>
          <w:sz w:val="24"/>
          <w:szCs w:val="24"/>
          <w:lang w:val="bg-BG"/>
        </w:rPr>
      </w:pPr>
      <w:bookmarkStart w:id="245" w:name="_Toc216816106"/>
      <w:bookmarkStart w:id="246" w:name="_Toc216857826"/>
      <w:bookmarkStart w:id="247" w:name="_Toc217888841"/>
      <w:r w:rsidRPr="006F3533">
        <w:rPr>
          <w:color w:val="auto"/>
          <w:sz w:val="24"/>
          <w:szCs w:val="24"/>
          <w:lang w:val="bg-BG"/>
        </w:rPr>
        <w:t>Комуникация и поведенчески инструменти</w:t>
      </w:r>
      <w:bookmarkEnd w:id="245"/>
      <w:bookmarkEnd w:id="246"/>
      <w:bookmarkEnd w:id="247"/>
    </w:p>
    <w:p w14:paraId="3B390A16" w14:textId="09BF5ECF" w:rsidR="00B572B1" w:rsidRPr="006F3533" w:rsidRDefault="00B572B1" w:rsidP="00077D42">
      <w:pPr>
        <w:pStyle w:val="NormalWeb"/>
        <w:jc w:val="both"/>
        <w:rPr>
          <w:rFonts w:ascii="Aptos" w:hAnsi="Aptos"/>
          <w:lang w:val="bg-BG"/>
        </w:rPr>
      </w:pPr>
      <w:r w:rsidRPr="006F3533">
        <w:rPr>
          <w:rFonts w:ascii="Aptos" w:hAnsi="Aptos"/>
          <w:lang w:val="bg-BG"/>
        </w:rPr>
        <w:t xml:space="preserve">Ще бъде реализирана </w:t>
      </w:r>
      <w:r w:rsidRPr="006F3533">
        <w:rPr>
          <w:rStyle w:val="Strong"/>
          <w:rFonts w:ascii="Aptos" w:hAnsi="Aptos"/>
          <w:lang w:val="bg-BG"/>
        </w:rPr>
        <w:t>национална информационна кампания</w:t>
      </w:r>
      <w:r w:rsidRPr="006F3533">
        <w:rPr>
          <w:rFonts w:ascii="Aptos" w:hAnsi="Aptos"/>
          <w:lang w:val="bg-BG"/>
        </w:rPr>
        <w:t xml:space="preserve">, насочена първоначално към собственици на сгради в </w:t>
      </w:r>
      <w:r w:rsidRPr="006F3533">
        <w:rPr>
          <w:rStyle w:val="Strong"/>
          <w:rFonts w:ascii="Aptos" w:hAnsi="Aptos"/>
          <w:lang w:val="bg-BG"/>
        </w:rPr>
        <w:t>енергийни класове Е-G</w:t>
      </w:r>
      <w:r w:rsidRPr="006F3533">
        <w:rPr>
          <w:rFonts w:ascii="Aptos" w:hAnsi="Aptos"/>
          <w:lang w:val="bg-BG"/>
        </w:rPr>
        <w:t xml:space="preserve">, съчетаваща персонализирани съобщения (имейл, портал, пощенски известия) с </w:t>
      </w:r>
      <w:r w:rsidR="00175CFE" w:rsidRPr="006F3533">
        <w:rPr>
          <w:rFonts w:ascii="Aptos" w:hAnsi="Aptos"/>
          <w:lang w:val="bg-BG"/>
        </w:rPr>
        <w:t>насочване към калкулатор за о</w:t>
      </w:r>
      <w:r w:rsidRPr="006F3533">
        <w:rPr>
          <w:rFonts w:ascii="Aptos" w:hAnsi="Aptos"/>
          <w:lang w:val="bg-BG"/>
        </w:rPr>
        <w:t>чаквани икономии</w:t>
      </w:r>
      <w:r w:rsidR="00175CFE" w:rsidRPr="006F3533">
        <w:rPr>
          <w:rFonts w:ascii="Aptos" w:hAnsi="Aptos"/>
          <w:lang w:val="bg-BG"/>
        </w:rPr>
        <w:t xml:space="preserve"> и професионална консултация от ЦКО</w:t>
      </w:r>
      <w:r w:rsidRPr="006F3533">
        <w:rPr>
          <w:rFonts w:ascii="Aptos" w:hAnsi="Aptos"/>
          <w:lang w:val="bg-BG"/>
        </w:rPr>
        <w:t>.</w:t>
      </w:r>
    </w:p>
    <w:p w14:paraId="1644C549"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Ще се поддържа </w:t>
      </w:r>
      <w:r w:rsidRPr="006F3533">
        <w:rPr>
          <w:rStyle w:val="Strong"/>
          <w:rFonts w:ascii="Aptos" w:hAnsi="Aptos"/>
          <w:lang w:val="bg-BG"/>
        </w:rPr>
        <w:t>публична карта/регистър на реализирани дълбоки обновявания</w:t>
      </w:r>
      <w:r w:rsidRPr="006F3533">
        <w:rPr>
          <w:rFonts w:ascii="Aptos" w:hAnsi="Aptos"/>
          <w:lang w:val="bg-BG"/>
        </w:rPr>
        <w:t xml:space="preserve">, с </w:t>
      </w:r>
      <w:proofErr w:type="spellStart"/>
      <w:r w:rsidRPr="006F3533">
        <w:rPr>
          <w:rStyle w:val="Strong"/>
          <w:rFonts w:ascii="Aptos" w:hAnsi="Aptos"/>
          <w:lang w:val="bg-BG"/>
        </w:rPr>
        <w:t>анонимизирани</w:t>
      </w:r>
      <w:proofErr w:type="spellEnd"/>
      <w:r w:rsidRPr="006F3533">
        <w:rPr>
          <w:rStyle w:val="Strong"/>
          <w:rFonts w:ascii="Aptos" w:hAnsi="Aptos"/>
          <w:lang w:val="bg-BG"/>
        </w:rPr>
        <w:t xml:space="preserve"> данни</w:t>
      </w:r>
      <w:r w:rsidRPr="006F3533">
        <w:rPr>
          <w:rFonts w:ascii="Aptos" w:hAnsi="Aptos"/>
          <w:lang w:val="bg-BG"/>
        </w:rPr>
        <w:t xml:space="preserve"> за енергийни спестявания, разходи и постигнат клас, така че гражданите и инвеститорите да могат да сравняват резултати и да планират собствени проекти на база реални примери.</w:t>
      </w:r>
    </w:p>
    <w:p w14:paraId="67514C72" w14:textId="45EA344E" w:rsidR="00B572B1" w:rsidRPr="006F3533" w:rsidRDefault="00B572B1" w:rsidP="00077D42">
      <w:pPr>
        <w:pStyle w:val="Heading2"/>
        <w:jc w:val="both"/>
        <w:rPr>
          <w:color w:val="auto"/>
          <w:sz w:val="24"/>
          <w:szCs w:val="24"/>
          <w:lang w:val="bg-BG"/>
        </w:rPr>
      </w:pPr>
      <w:bookmarkStart w:id="248" w:name="_Toc216816107"/>
      <w:bookmarkStart w:id="249" w:name="_Toc216857827"/>
      <w:bookmarkStart w:id="250" w:name="_Toc217888842"/>
      <w:r w:rsidRPr="006F3533">
        <w:rPr>
          <w:color w:val="auto"/>
          <w:sz w:val="24"/>
          <w:szCs w:val="24"/>
          <w:lang w:val="bg-BG"/>
        </w:rPr>
        <w:t>Етапи и график</w:t>
      </w:r>
      <w:bookmarkEnd w:id="248"/>
      <w:bookmarkEnd w:id="249"/>
      <w:bookmarkEnd w:id="250"/>
    </w:p>
    <w:p w14:paraId="7789B141" w14:textId="31BF310C" w:rsidR="00175CFE" w:rsidRPr="006F3533" w:rsidRDefault="00B572B1" w:rsidP="00077D42">
      <w:pPr>
        <w:pStyle w:val="NormalWeb"/>
        <w:jc w:val="both"/>
        <w:rPr>
          <w:rFonts w:ascii="Aptos" w:hAnsi="Aptos"/>
          <w:lang w:val="bg-BG"/>
        </w:rPr>
      </w:pPr>
      <w:r w:rsidRPr="006F3533">
        <w:rPr>
          <w:rStyle w:val="Strong"/>
          <w:rFonts w:ascii="Aptos" w:hAnsi="Aptos"/>
          <w:lang w:val="bg-BG"/>
        </w:rPr>
        <w:lastRenderedPageBreak/>
        <w:t>2026 г.</w:t>
      </w:r>
      <w:r w:rsidRPr="006F3533">
        <w:rPr>
          <w:rFonts w:ascii="Aptos" w:hAnsi="Aptos"/>
          <w:lang w:val="bg-BG"/>
        </w:rPr>
        <w:t xml:space="preserve"> – въвеждане на схемата за </w:t>
      </w:r>
      <w:r w:rsidR="00175CFE" w:rsidRPr="006F3533">
        <w:rPr>
          <w:rFonts w:ascii="Aptos" w:hAnsi="Aptos"/>
          <w:lang w:val="bg-BG"/>
        </w:rPr>
        <w:t>етикетиране и сградни паспорти с пътни карти за обновяване</w:t>
      </w:r>
      <w:r w:rsidRPr="006F3533">
        <w:rPr>
          <w:rFonts w:ascii="Aptos" w:hAnsi="Aptos"/>
          <w:lang w:val="bg-BG"/>
        </w:rPr>
        <w:t>, дигиталния инструмент и пилотно издаване на паспорти, с безвъзмездно финансиране за уязвими домакинства.</w:t>
      </w:r>
    </w:p>
    <w:p w14:paraId="1439C67F" w14:textId="2F5BB038" w:rsidR="00175CFE" w:rsidRPr="006F3533" w:rsidRDefault="00B572B1" w:rsidP="00077D42">
      <w:pPr>
        <w:pStyle w:val="NormalWeb"/>
        <w:jc w:val="both"/>
        <w:rPr>
          <w:rFonts w:ascii="Aptos" w:hAnsi="Aptos"/>
          <w:lang w:val="bg-BG"/>
        </w:rPr>
      </w:pPr>
      <w:r w:rsidRPr="006F3533">
        <w:rPr>
          <w:rStyle w:val="Strong"/>
          <w:rFonts w:ascii="Aptos" w:hAnsi="Aptos"/>
          <w:lang w:val="bg-BG"/>
        </w:rPr>
        <w:t>2027–2028 г.</w:t>
      </w:r>
      <w:r w:rsidRPr="006F3533">
        <w:rPr>
          <w:rFonts w:ascii="Aptos" w:hAnsi="Aptos"/>
          <w:lang w:val="bg-BG"/>
        </w:rPr>
        <w:t xml:space="preserve"> – разширяване на схемата към приоритетни типове сгради; обвързване на високите грантове с наличието на </w:t>
      </w:r>
      <w:r w:rsidR="00CD0D17" w:rsidRPr="006F3533">
        <w:rPr>
          <w:rFonts w:ascii="Aptos" w:hAnsi="Aptos"/>
          <w:lang w:val="bg-BG"/>
        </w:rPr>
        <w:t>паспорти за сградно обновяване</w:t>
      </w:r>
      <w:r w:rsidRPr="006F3533">
        <w:rPr>
          <w:rFonts w:ascii="Aptos" w:hAnsi="Aptos"/>
          <w:lang w:val="bg-BG"/>
        </w:rPr>
        <w:t xml:space="preserve"> и дълбочина; развитие на мрежа от ЦКО с подкрепа от НФД.</w:t>
      </w:r>
    </w:p>
    <w:p w14:paraId="34EEA3D5" w14:textId="15A12B07" w:rsidR="00B572B1" w:rsidRPr="006F3533" w:rsidRDefault="00B572B1" w:rsidP="00077D42">
      <w:pPr>
        <w:pStyle w:val="NormalWeb"/>
        <w:jc w:val="both"/>
        <w:rPr>
          <w:rFonts w:ascii="Aptos" w:hAnsi="Aptos"/>
          <w:lang w:val="bg-BG"/>
        </w:rPr>
      </w:pPr>
      <w:r w:rsidRPr="006F3533">
        <w:rPr>
          <w:rStyle w:val="Strong"/>
          <w:rFonts w:ascii="Aptos" w:hAnsi="Aptos"/>
          <w:lang w:val="bg-BG"/>
        </w:rPr>
        <w:t>2029–2033 г.</w:t>
      </w:r>
      <w:r w:rsidRPr="006F3533">
        <w:rPr>
          <w:rFonts w:ascii="Aptos" w:hAnsi="Aptos"/>
          <w:lang w:val="bg-BG"/>
        </w:rPr>
        <w:t xml:space="preserve"> – пълна интеграция на </w:t>
      </w:r>
      <w:r w:rsidR="00CD0D17" w:rsidRPr="006F3533">
        <w:rPr>
          <w:rFonts w:ascii="Aptos" w:hAnsi="Aptos"/>
          <w:lang w:val="bg-BG"/>
        </w:rPr>
        <w:t>паспорти за сградно обновяване</w:t>
      </w:r>
      <w:r w:rsidRPr="006F3533">
        <w:rPr>
          <w:rFonts w:ascii="Aptos" w:hAnsi="Aptos"/>
          <w:lang w:val="bg-BG"/>
        </w:rPr>
        <w:t xml:space="preserve"> с </w:t>
      </w:r>
      <w:r w:rsidR="00CD0D17" w:rsidRPr="006F3533">
        <w:rPr>
          <w:rFonts w:ascii="Aptos" w:hAnsi="Aptos"/>
          <w:lang w:val="bg-BG"/>
        </w:rPr>
        <w:t>МСЕХ</w:t>
      </w:r>
      <w:r w:rsidRPr="006F3533">
        <w:rPr>
          <w:rFonts w:ascii="Aptos" w:hAnsi="Aptos"/>
          <w:lang w:val="bg-BG"/>
        </w:rPr>
        <w:t xml:space="preserve"> и траекторията към </w:t>
      </w:r>
      <w:r w:rsidR="001E1842" w:rsidRPr="006F3533">
        <w:rPr>
          <w:rFonts w:ascii="Aptos" w:hAnsi="Aptos"/>
          <w:lang w:val="bg-BG"/>
        </w:rPr>
        <w:t>НЕС/</w:t>
      </w:r>
      <w:r w:rsidRPr="006F3533">
        <w:rPr>
          <w:rFonts w:ascii="Aptos" w:hAnsi="Aptos"/>
          <w:lang w:val="bg-BG"/>
        </w:rPr>
        <w:t xml:space="preserve">ZEB; разширена система за </w:t>
      </w:r>
      <w:r w:rsidR="001E1842" w:rsidRPr="006F3533">
        <w:rPr>
          <w:rFonts w:ascii="Aptos" w:hAnsi="Aptos"/>
          <w:lang w:val="bg-BG"/>
        </w:rPr>
        <w:t xml:space="preserve">контрол на </w:t>
      </w:r>
      <w:proofErr w:type="spellStart"/>
      <w:r w:rsidR="001E1842" w:rsidRPr="006F3533">
        <w:rPr>
          <w:rFonts w:ascii="Aptos" w:hAnsi="Aptos"/>
          <w:lang w:val="bg-BG"/>
        </w:rPr>
        <w:t>качаството</w:t>
      </w:r>
      <w:proofErr w:type="spellEnd"/>
      <w:r w:rsidRPr="006F3533">
        <w:rPr>
          <w:rFonts w:ascii="Aptos" w:hAnsi="Aptos"/>
          <w:lang w:val="bg-BG"/>
        </w:rPr>
        <w:t>, публичен мониторинг и ежегоден отчет по KPI.</w:t>
      </w:r>
    </w:p>
    <w:p w14:paraId="420FE3DE" w14:textId="2546BC1A" w:rsidR="00B572B1" w:rsidRPr="006F3533" w:rsidRDefault="00B572B1" w:rsidP="00077D42">
      <w:pPr>
        <w:pStyle w:val="Heading2"/>
        <w:jc w:val="both"/>
        <w:rPr>
          <w:color w:val="auto"/>
          <w:sz w:val="24"/>
          <w:szCs w:val="24"/>
          <w:lang w:val="bg-BG"/>
        </w:rPr>
      </w:pPr>
      <w:bookmarkStart w:id="251" w:name="_Toc216816108"/>
      <w:bookmarkStart w:id="252" w:name="_Toc216857828"/>
      <w:bookmarkStart w:id="253" w:name="_Toc217888843"/>
      <w:r w:rsidRPr="006F3533">
        <w:rPr>
          <w:color w:val="auto"/>
          <w:sz w:val="24"/>
          <w:szCs w:val="24"/>
          <w:lang w:val="bg-BG"/>
        </w:rPr>
        <w:t>Рискове, гаранции и защити</w:t>
      </w:r>
      <w:bookmarkEnd w:id="251"/>
      <w:bookmarkEnd w:id="252"/>
      <w:bookmarkEnd w:id="253"/>
    </w:p>
    <w:p w14:paraId="76A58C0B"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За уязвими домакинства и МСП ще се прилагат </w:t>
      </w:r>
      <w:r w:rsidRPr="006F3533">
        <w:rPr>
          <w:rStyle w:val="Strong"/>
          <w:rFonts w:ascii="Aptos" w:hAnsi="Aptos"/>
          <w:lang w:val="bg-BG"/>
        </w:rPr>
        <w:t>по-високи нива на подкрепа (до 90–100%)</w:t>
      </w:r>
      <w:r w:rsidRPr="006F3533">
        <w:rPr>
          <w:rFonts w:ascii="Aptos" w:hAnsi="Aptos"/>
          <w:lang w:val="bg-BG"/>
        </w:rPr>
        <w:t xml:space="preserve"> и </w:t>
      </w:r>
      <w:r w:rsidRPr="006F3533">
        <w:rPr>
          <w:rStyle w:val="Strong"/>
          <w:rFonts w:ascii="Aptos" w:hAnsi="Aptos"/>
          <w:lang w:val="bg-BG"/>
        </w:rPr>
        <w:t>техническа помощ</w:t>
      </w:r>
      <w:r w:rsidRPr="006F3533">
        <w:rPr>
          <w:rFonts w:ascii="Aptos" w:hAnsi="Aptos"/>
          <w:lang w:val="bg-BG"/>
        </w:rPr>
        <w:t xml:space="preserve">. При доказана административна или финансова невъзможност се допуска </w:t>
      </w:r>
      <w:r w:rsidRPr="006F3533">
        <w:rPr>
          <w:rStyle w:val="Strong"/>
          <w:rFonts w:ascii="Aptos" w:hAnsi="Aptos"/>
          <w:lang w:val="bg-BG"/>
        </w:rPr>
        <w:t>временна дерогация на сроковете</w:t>
      </w:r>
      <w:r w:rsidRPr="006F3533">
        <w:rPr>
          <w:rFonts w:ascii="Aptos" w:hAnsi="Aptos"/>
          <w:lang w:val="bg-BG"/>
        </w:rPr>
        <w:t>, при наличие на реалистичен план за достигане на изискванията.</w:t>
      </w:r>
    </w:p>
    <w:p w14:paraId="47FA7E60"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За гарантиране на качеството се предвиждат </w:t>
      </w:r>
      <w:r w:rsidRPr="006F3533">
        <w:rPr>
          <w:rStyle w:val="Strong"/>
          <w:rFonts w:ascii="Aptos" w:hAnsi="Aptos"/>
          <w:lang w:val="bg-BG"/>
        </w:rPr>
        <w:t>задължителни проверки на критични мерки</w:t>
      </w:r>
      <w:r w:rsidRPr="006F3533">
        <w:rPr>
          <w:rFonts w:ascii="Aptos" w:hAnsi="Aptos"/>
          <w:lang w:val="bg-BG"/>
        </w:rPr>
        <w:t xml:space="preserve"> и </w:t>
      </w:r>
      <w:r w:rsidRPr="006F3533">
        <w:rPr>
          <w:rStyle w:val="Strong"/>
          <w:rFonts w:ascii="Aptos" w:hAnsi="Aptos"/>
          <w:lang w:val="bg-BG"/>
        </w:rPr>
        <w:t>санкции при неизпълнение</w:t>
      </w:r>
      <w:r w:rsidRPr="006F3533">
        <w:rPr>
          <w:rFonts w:ascii="Aptos" w:hAnsi="Aptos"/>
          <w:lang w:val="bg-BG"/>
        </w:rPr>
        <w:t xml:space="preserve"> на мерките по паспорт за сградно обновяване за проекти с публично финансиране, включително задържане или възстановяване на част от субсидията при системни нарушения.</w:t>
      </w:r>
    </w:p>
    <w:p w14:paraId="6FCF16CB" w14:textId="2C325A4B" w:rsidR="00B572B1" w:rsidRPr="006F3533" w:rsidRDefault="00B572B1" w:rsidP="00077D42">
      <w:pPr>
        <w:pStyle w:val="Heading2"/>
        <w:jc w:val="both"/>
        <w:rPr>
          <w:color w:val="auto"/>
          <w:sz w:val="24"/>
          <w:szCs w:val="24"/>
          <w:lang w:val="bg-BG"/>
        </w:rPr>
      </w:pPr>
      <w:bookmarkStart w:id="254" w:name="_Toc216816109"/>
      <w:bookmarkStart w:id="255" w:name="_Toc216857829"/>
      <w:bookmarkStart w:id="256" w:name="_Toc217888844"/>
      <w:r w:rsidRPr="006F3533">
        <w:rPr>
          <w:color w:val="auto"/>
          <w:sz w:val="24"/>
          <w:szCs w:val="24"/>
          <w:lang w:val="bg-BG"/>
        </w:rPr>
        <w:t>Индикатори и отчетност</w:t>
      </w:r>
      <w:bookmarkEnd w:id="254"/>
      <w:bookmarkEnd w:id="255"/>
      <w:bookmarkEnd w:id="256"/>
    </w:p>
    <w:p w14:paraId="76AA557D"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Напредъкът ще се следи чрез </w:t>
      </w:r>
      <w:r w:rsidRPr="006F3533">
        <w:rPr>
          <w:rFonts w:ascii="Aptos" w:hAnsi="Aptos"/>
          <w:b/>
          <w:bCs/>
          <w:lang w:val="bg-BG" w:eastAsia="en-US"/>
        </w:rPr>
        <w:t>стандартен</w:t>
      </w:r>
      <w:r w:rsidRPr="006F3533">
        <w:rPr>
          <w:rFonts w:ascii="Aptos" w:hAnsi="Aptos"/>
          <w:lang w:val="bg-BG"/>
        </w:rPr>
        <w:t xml:space="preserve"> </w:t>
      </w:r>
      <w:r w:rsidRPr="006F3533">
        <w:rPr>
          <w:rStyle w:val="Strong"/>
          <w:rFonts w:ascii="Aptos" w:hAnsi="Aptos"/>
          <w:lang w:val="bg-BG"/>
        </w:rPr>
        <w:t>набор от ключови показатели (KPI)</w:t>
      </w:r>
      <w:r w:rsidRPr="006F3533">
        <w:rPr>
          <w:rFonts w:ascii="Aptos" w:hAnsi="Aptos"/>
          <w:lang w:val="bg-BG"/>
        </w:rPr>
        <w:t>:</w:t>
      </w:r>
    </w:p>
    <w:p w14:paraId="7F9EA467" w14:textId="5915CED0" w:rsidR="00B572B1" w:rsidRPr="006F3533" w:rsidRDefault="00B572B1">
      <w:pPr>
        <w:pStyle w:val="NormalWeb"/>
        <w:numPr>
          <w:ilvl w:val="0"/>
          <w:numId w:val="33"/>
        </w:numPr>
        <w:jc w:val="both"/>
        <w:rPr>
          <w:rFonts w:ascii="Aptos" w:hAnsi="Aptos"/>
          <w:lang w:val="bg-BG"/>
        </w:rPr>
      </w:pPr>
      <w:r w:rsidRPr="006F3533">
        <w:rPr>
          <w:rFonts w:ascii="Aptos" w:hAnsi="Aptos"/>
          <w:lang w:val="bg-BG"/>
        </w:rPr>
        <w:t xml:space="preserve">издадени </w:t>
      </w:r>
      <w:r w:rsidR="00D8379B" w:rsidRPr="006F3533">
        <w:rPr>
          <w:rFonts w:ascii="Aptos" w:hAnsi="Aptos"/>
          <w:lang w:val="bg-BG"/>
        </w:rPr>
        <w:t xml:space="preserve">паспорти за сградно обновяване </w:t>
      </w:r>
      <w:r w:rsidRPr="006F3533">
        <w:rPr>
          <w:rFonts w:ascii="Aptos" w:hAnsi="Aptos"/>
          <w:lang w:val="bg-BG"/>
        </w:rPr>
        <w:t>(общо, по тип и регион);</w:t>
      </w:r>
    </w:p>
    <w:p w14:paraId="0415F756" w14:textId="414901DD" w:rsidR="00B572B1" w:rsidRPr="006F3533" w:rsidRDefault="00B572B1">
      <w:pPr>
        <w:pStyle w:val="NormalWeb"/>
        <w:numPr>
          <w:ilvl w:val="0"/>
          <w:numId w:val="33"/>
        </w:numPr>
        <w:jc w:val="both"/>
        <w:rPr>
          <w:rFonts w:ascii="Aptos" w:hAnsi="Aptos"/>
          <w:lang w:val="bg-BG"/>
        </w:rPr>
      </w:pPr>
      <w:r w:rsidRPr="006F3533">
        <w:rPr>
          <w:rFonts w:ascii="Aptos" w:hAnsi="Aptos"/>
          <w:lang w:val="bg-BG"/>
        </w:rPr>
        <w:t xml:space="preserve">дял </w:t>
      </w:r>
      <w:r w:rsidR="00D8379B" w:rsidRPr="006F3533">
        <w:rPr>
          <w:rFonts w:ascii="Aptos" w:hAnsi="Aptos"/>
          <w:lang w:val="bg-BG"/>
        </w:rPr>
        <w:t>паспорти за сградно обновяване</w:t>
      </w:r>
      <w:r w:rsidRPr="006F3533">
        <w:rPr>
          <w:rFonts w:ascii="Aptos" w:hAnsi="Aptos"/>
          <w:lang w:val="bg-BG"/>
        </w:rPr>
        <w:t>, реализирани като поетапни дълбоки в срок;</w:t>
      </w:r>
    </w:p>
    <w:p w14:paraId="59BE51B7" w14:textId="77777777" w:rsidR="00B572B1" w:rsidRPr="006F3533" w:rsidRDefault="00B572B1">
      <w:pPr>
        <w:pStyle w:val="NormalWeb"/>
        <w:numPr>
          <w:ilvl w:val="0"/>
          <w:numId w:val="33"/>
        </w:numPr>
        <w:jc w:val="both"/>
        <w:rPr>
          <w:rFonts w:ascii="Aptos" w:hAnsi="Aptos"/>
          <w:lang w:val="bg-BG"/>
        </w:rPr>
      </w:pPr>
      <w:r w:rsidRPr="006F3533">
        <w:rPr>
          <w:rFonts w:ascii="Aptos" w:hAnsi="Aptos"/>
          <w:lang w:val="bg-BG"/>
        </w:rPr>
        <w:t>средно намаление на първична енергия (</w:t>
      </w:r>
      <w:proofErr w:type="spellStart"/>
      <w:r w:rsidRPr="006F3533">
        <w:rPr>
          <w:rFonts w:ascii="Aptos" w:hAnsi="Aptos"/>
          <w:lang w:val="bg-BG"/>
        </w:rPr>
        <w:t>kWh</w:t>
      </w:r>
      <w:proofErr w:type="spellEnd"/>
      <w:r w:rsidRPr="006F3533">
        <w:rPr>
          <w:rFonts w:ascii="Aptos" w:hAnsi="Aptos"/>
          <w:lang w:val="bg-BG"/>
        </w:rPr>
        <w:t>/m²/</w:t>
      </w:r>
      <w:proofErr w:type="spellStart"/>
      <w:r w:rsidRPr="006F3533">
        <w:rPr>
          <w:rFonts w:ascii="Aptos" w:hAnsi="Aptos"/>
          <w:lang w:val="bg-BG"/>
        </w:rPr>
        <w:t>год</w:t>
      </w:r>
      <w:proofErr w:type="spellEnd"/>
      <w:r w:rsidRPr="006F3533">
        <w:rPr>
          <w:rFonts w:ascii="Aptos" w:hAnsi="Aptos"/>
          <w:lang w:val="bg-BG"/>
        </w:rPr>
        <w:t xml:space="preserve">) и спестени </w:t>
      </w:r>
      <w:proofErr w:type="spellStart"/>
      <w:r w:rsidRPr="006F3533">
        <w:rPr>
          <w:rFonts w:ascii="Aptos" w:hAnsi="Aptos"/>
          <w:lang w:val="bg-BG"/>
        </w:rPr>
        <w:t>tCO</w:t>
      </w:r>
      <w:proofErr w:type="spellEnd"/>
      <w:r w:rsidRPr="006F3533">
        <w:rPr>
          <w:rFonts w:ascii="Aptos" w:hAnsi="Aptos"/>
          <w:lang w:val="bg-BG"/>
        </w:rPr>
        <w:t>₂;</w:t>
      </w:r>
    </w:p>
    <w:p w14:paraId="7551D183" w14:textId="77777777" w:rsidR="00B572B1" w:rsidRPr="006F3533" w:rsidRDefault="00B572B1">
      <w:pPr>
        <w:pStyle w:val="NormalWeb"/>
        <w:numPr>
          <w:ilvl w:val="0"/>
          <w:numId w:val="33"/>
        </w:numPr>
        <w:jc w:val="both"/>
        <w:rPr>
          <w:rFonts w:ascii="Aptos" w:hAnsi="Aptos"/>
          <w:lang w:val="bg-BG"/>
        </w:rPr>
      </w:pPr>
      <w:r w:rsidRPr="006F3533">
        <w:rPr>
          <w:rFonts w:ascii="Aptos" w:hAnsi="Aptos"/>
          <w:lang w:val="bg-BG"/>
        </w:rPr>
        <w:t>средна инвестиция на m²;</w:t>
      </w:r>
    </w:p>
    <w:p w14:paraId="5EDF8E57" w14:textId="071B1163" w:rsidR="00B572B1" w:rsidRPr="006F3533" w:rsidRDefault="00B572B1">
      <w:pPr>
        <w:pStyle w:val="NormalWeb"/>
        <w:numPr>
          <w:ilvl w:val="0"/>
          <w:numId w:val="33"/>
        </w:numPr>
        <w:jc w:val="both"/>
        <w:rPr>
          <w:rFonts w:ascii="Aptos" w:hAnsi="Aptos"/>
          <w:lang w:val="bg-BG"/>
        </w:rPr>
      </w:pPr>
      <w:r w:rsidRPr="006F3533">
        <w:rPr>
          <w:rFonts w:ascii="Aptos" w:hAnsi="Aptos"/>
          <w:lang w:val="bg-BG"/>
        </w:rPr>
        <w:t xml:space="preserve">бенефициенти, преминали </w:t>
      </w:r>
      <w:r w:rsidR="001E1842" w:rsidRPr="006F3533">
        <w:rPr>
          <w:rFonts w:ascii="Aptos" w:hAnsi="Aptos"/>
          <w:lang w:val="bg-BG"/>
        </w:rPr>
        <w:t>М</w:t>
      </w:r>
      <w:r w:rsidR="00D8379B" w:rsidRPr="006F3533">
        <w:rPr>
          <w:rFonts w:ascii="Aptos" w:hAnsi="Aptos"/>
          <w:lang w:val="bg-BG"/>
        </w:rPr>
        <w:t xml:space="preserve">СЕХ </w:t>
      </w:r>
      <w:r w:rsidRPr="006F3533">
        <w:rPr>
          <w:rFonts w:ascii="Aptos" w:hAnsi="Aptos"/>
          <w:lang w:val="bg-BG"/>
        </w:rPr>
        <w:t xml:space="preserve">праговете чрез </w:t>
      </w:r>
      <w:r w:rsidR="00D8379B" w:rsidRPr="006F3533">
        <w:rPr>
          <w:rFonts w:ascii="Aptos" w:hAnsi="Aptos"/>
          <w:lang w:val="bg-BG"/>
        </w:rPr>
        <w:t>дълбоко или поетапно</w:t>
      </w:r>
      <w:r w:rsidRPr="006F3533">
        <w:rPr>
          <w:rFonts w:ascii="Aptos" w:hAnsi="Aptos"/>
          <w:lang w:val="bg-BG"/>
        </w:rPr>
        <w:t xml:space="preserve"> обновяване;</w:t>
      </w:r>
    </w:p>
    <w:p w14:paraId="41649445" w14:textId="77777777" w:rsidR="00B572B1" w:rsidRPr="006F3533" w:rsidRDefault="00B572B1">
      <w:pPr>
        <w:pStyle w:val="NormalWeb"/>
        <w:numPr>
          <w:ilvl w:val="0"/>
          <w:numId w:val="33"/>
        </w:numPr>
        <w:jc w:val="both"/>
        <w:rPr>
          <w:rFonts w:ascii="Aptos" w:hAnsi="Aptos"/>
          <w:lang w:val="bg-BG"/>
        </w:rPr>
      </w:pPr>
      <w:r w:rsidRPr="006F3533">
        <w:rPr>
          <w:rFonts w:ascii="Aptos" w:hAnsi="Aptos"/>
          <w:lang w:val="bg-BG"/>
        </w:rPr>
        <w:t>дял на уязвими домакинства и публични обекти, получили ≥90% интензивност.</w:t>
      </w:r>
    </w:p>
    <w:p w14:paraId="4A98EDC9"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Данните ще се публикуват ежегодно чрез </w:t>
      </w:r>
      <w:r w:rsidRPr="006F3533">
        <w:rPr>
          <w:rStyle w:val="Strong"/>
          <w:rFonts w:ascii="Aptos" w:hAnsi="Aptos"/>
          <w:lang w:val="bg-BG"/>
        </w:rPr>
        <w:t>националното KPI-табло</w:t>
      </w:r>
      <w:r w:rsidRPr="006F3533">
        <w:rPr>
          <w:rFonts w:ascii="Aptos" w:hAnsi="Aptos"/>
          <w:lang w:val="bg-BG"/>
        </w:rPr>
        <w:t>, интегрирано в базата по член 22, и ще бъдат използвани за докладване към Европейската комисия и за актуализиране на националната стратегия за обновяване.</w:t>
      </w:r>
    </w:p>
    <w:p w14:paraId="372BBFAF" w14:textId="77777777" w:rsidR="00FD00E4" w:rsidRPr="006F3533" w:rsidRDefault="00FD00E4" w:rsidP="00FD00E4">
      <w:pPr>
        <w:pStyle w:val="NormalWeb"/>
        <w:jc w:val="both"/>
        <w:rPr>
          <w:rFonts w:ascii="Aptos" w:hAnsi="Aptos"/>
          <w:lang w:val="bg-BG"/>
        </w:rPr>
        <w:sectPr w:rsidR="00FD00E4" w:rsidRPr="006F3533" w:rsidSect="00B572B1">
          <w:pgSz w:w="11906" w:h="16838"/>
          <w:pgMar w:top="1417" w:right="1417" w:bottom="1417" w:left="1417" w:header="708" w:footer="708" w:gutter="0"/>
          <w:cols w:space="708"/>
          <w:docGrid w:linePitch="360"/>
        </w:sectPr>
      </w:pPr>
    </w:p>
    <w:p w14:paraId="2F2718F6" w14:textId="7F67FE69" w:rsidR="00FD00E4" w:rsidRPr="006F3533" w:rsidRDefault="00FD00E4" w:rsidP="00FD00E4">
      <w:pPr>
        <w:pStyle w:val="NormalWeb"/>
        <w:jc w:val="both"/>
        <w:rPr>
          <w:rFonts w:ascii="Aptos" w:hAnsi="Aptos"/>
          <w:b/>
          <w:bCs/>
          <w:lang w:val="bg-BG"/>
        </w:rPr>
      </w:pPr>
      <w:r w:rsidRPr="006F3533">
        <w:rPr>
          <w:rFonts w:ascii="Aptos" w:hAnsi="Aptos"/>
          <w:b/>
          <w:bCs/>
          <w:lang w:val="bg-BG"/>
        </w:rPr>
        <w:lastRenderedPageBreak/>
        <w:t>Таблица</w:t>
      </w:r>
      <w:r w:rsidR="00480D32">
        <w:rPr>
          <w:rFonts w:ascii="Aptos" w:hAnsi="Aptos"/>
          <w:b/>
          <w:bCs/>
          <w:lang w:val="bg-BG"/>
        </w:rPr>
        <w:t xml:space="preserve">. </w:t>
      </w:r>
      <w:r w:rsidRPr="006F3533">
        <w:rPr>
          <w:rFonts w:ascii="Aptos" w:hAnsi="Aptos"/>
          <w:b/>
          <w:bCs/>
          <w:lang w:val="bg-BG"/>
        </w:rPr>
        <w:t>Ключови нормативни реформи за насърчаване на дълбокото и поетапното дълбоко сградно обновяване</w:t>
      </w:r>
    </w:p>
    <w:p w14:paraId="27CC3506" w14:textId="77777777" w:rsidR="00FD00E4" w:rsidRPr="006F3533" w:rsidRDefault="00FD00E4" w:rsidP="00077D42">
      <w:pPr>
        <w:pStyle w:val="NormalWeb"/>
        <w:jc w:val="both"/>
        <w:rPr>
          <w:rFonts w:ascii="Aptos" w:hAnsi="Aptos"/>
          <w:lang w:val="bg-BG"/>
        </w:rPr>
      </w:pPr>
    </w:p>
    <w:tbl>
      <w:tblPr>
        <w:tblStyle w:val="GridTable5Dark-Accent1"/>
        <w:tblW w:w="0" w:type="auto"/>
        <w:tblLook w:val="04A0" w:firstRow="1" w:lastRow="0" w:firstColumn="1" w:lastColumn="0" w:noHBand="0" w:noVBand="1"/>
      </w:tblPr>
      <w:tblGrid>
        <w:gridCol w:w="447"/>
        <w:gridCol w:w="2217"/>
        <w:gridCol w:w="4240"/>
        <w:gridCol w:w="3296"/>
        <w:gridCol w:w="1367"/>
        <w:gridCol w:w="1595"/>
        <w:gridCol w:w="832"/>
      </w:tblGrid>
      <w:tr w:rsidR="00FD00E4" w:rsidRPr="006F3533" w14:paraId="28E7590B" w14:textId="77777777" w:rsidTr="00FD00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972A961" w14:textId="77777777" w:rsidR="00FD00E4" w:rsidRPr="006F3533" w:rsidRDefault="00FD00E4" w:rsidP="00FD00E4">
            <w:pPr>
              <w:pStyle w:val="NormalWeb"/>
              <w:jc w:val="both"/>
              <w:rPr>
                <w:rFonts w:ascii="Aptos" w:hAnsi="Aptos"/>
                <w:sz w:val="22"/>
                <w:szCs w:val="22"/>
                <w:lang w:val="bg-BG"/>
              </w:rPr>
            </w:pPr>
            <w:r w:rsidRPr="006F3533">
              <w:rPr>
                <w:rFonts w:ascii="Aptos" w:hAnsi="Aptos"/>
                <w:sz w:val="22"/>
                <w:szCs w:val="22"/>
                <w:lang w:val="bg-BG"/>
              </w:rPr>
              <w:t>№</w:t>
            </w:r>
          </w:p>
        </w:tc>
        <w:tc>
          <w:tcPr>
            <w:tcW w:w="0" w:type="auto"/>
            <w:hideMark/>
          </w:tcPr>
          <w:p w14:paraId="7ED8C00E" w14:textId="77777777" w:rsidR="00FD00E4" w:rsidRPr="006F3533" w:rsidRDefault="00FD00E4" w:rsidP="00FD00E4">
            <w:pPr>
              <w:pStyle w:val="NormalWeb"/>
              <w:jc w:val="both"/>
              <w:cnfStyle w:val="100000000000" w:firstRow="1"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Реформа / мярка</w:t>
            </w:r>
          </w:p>
        </w:tc>
        <w:tc>
          <w:tcPr>
            <w:tcW w:w="0" w:type="auto"/>
            <w:hideMark/>
          </w:tcPr>
          <w:p w14:paraId="5C4CE6C6" w14:textId="77777777" w:rsidR="00FD00E4" w:rsidRPr="006F3533" w:rsidRDefault="00FD00E4" w:rsidP="00FD00E4">
            <w:pPr>
              <w:pStyle w:val="NormalWeb"/>
              <w:jc w:val="both"/>
              <w:cnfStyle w:val="100000000000" w:firstRow="1"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Съдържание на реформата</w:t>
            </w:r>
          </w:p>
        </w:tc>
        <w:tc>
          <w:tcPr>
            <w:tcW w:w="0" w:type="auto"/>
            <w:hideMark/>
          </w:tcPr>
          <w:p w14:paraId="0D3E265B" w14:textId="77777777" w:rsidR="00FD00E4" w:rsidRPr="006F3533" w:rsidRDefault="00FD00E4" w:rsidP="00FD00E4">
            <w:pPr>
              <w:pStyle w:val="NormalWeb"/>
              <w:jc w:val="both"/>
              <w:cnfStyle w:val="100000000000" w:firstRow="1"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Нормативни актове за изменение / допълване</w:t>
            </w:r>
          </w:p>
        </w:tc>
        <w:tc>
          <w:tcPr>
            <w:tcW w:w="0" w:type="auto"/>
            <w:hideMark/>
          </w:tcPr>
          <w:p w14:paraId="24521E2B" w14:textId="77777777" w:rsidR="00FD00E4" w:rsidRPr="006F3533" w:rsidRDefault="00FD00E4" w:rsidP="00FD00E4">
            <w:pPr>
              <w:pStyle w:val="NormalWeb"/>
              <w:jc w:val="both"/>
              <w:cnfStyle w:val="100000000000" w:firstRow="1"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Водеща институция</w:t>
            </w:r>
          </w:p>
        </w:tc>
        <w:tc>
          <w:tcPr>
            <w:tcW w:w="0" w:type="auto"/>
            <w:hideMark/>
          </w:tcPr>
          <w:p w14:paraId="7D5C186E" w14:textId="77777777" w:rsidR="00FD00E4" w:rsidRPr="006F3533" w:rsidRDefault="00FD00E4" w:rsidP="00FD00E4">
            <w:pPr>
              <w:pStyle w:val="NormalWeb"/>
              <w:jc w:val="both"/>
              <w:cnfStyle w:val="100000000000" w:firstRow="1"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Участващи институции</w:t>
            </w:r>
          </w:p>
        </w:tc>
        <w:tc>
          <w:tcPr>
            <w:tcW w:w="0" w:type="auto"/>
            <w:hideMark/>
          </w:tcPr>
          <w:p w14:paraId="512238BC" w14:textId="77777777" w:rsidR="00FD00E4" w:rsidRPr="006F3533" w:rsidRDefault="00FD00E4" w:rsidP="00FD00E4">
            <w:pPr>
              <w:pStyle w:val="NormalWeb"/>
              <w:jc w:val="both"/>
              <w:cnfStyle w:val="100000000000" w:firstRow="1"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Срок</w:t>
            </w:r>
          </w:p>
        </w:tc>
      </w:tr>
      <w:tr w:rsidR="00FD00E4" w:rsidRPr="006F3533" w14:paraId="3A0549F7" w14:textId="77777777" w:rsidTr="00FD00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E4FBF2E" w14:textId="77777777" w:rsidR="00FD00E4" w:rsidRPr="006F3533" w:rsidRDefault="00FD00E4" w:rsidP="00FD00E4">
            <w:pPr>
              <w:pStyle w:val="NormalWeb"/>
              <w:jc w:val="both"/>
              <w:rPr>
                <w:rFonts w:ascii="Aptos" w:hAnsi="Aptos"/>
                <w:sz w:val="22"/>
                <w:szCs w:val="22"/>
                <w:lang w:val="bg-BG"/>
              </w:rPr>
            </w:pPr>
            <w:r w:rsidRPr="006F3533">
              <w:rPr>
                <w:rFonts w:ascii="Aptos" w:hAnsi="Aptos"/>
                <w:sz w:val="22"/>
                <w:szCs w:val="22"/>
                <w:lang w:val="bg-BG"/>
              </w:rPr>
              <w:t>1</w:t>
            </w:r>
          </w:p>
        </w:tc>
        <w:tc>
          <w:tcPr>
            <w:tcW w:w="0" w:type="auto"/>
            <w:hideMark/>
          </w:tcPr>
          <w:p w14:paraId="64662CCA"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Национална схема за паспорти за сградно обновяване</w:t>
            </w:r>
          </w:p>
        </w:tc>
        <w:tc>
          <w:tcPr>
            <w:tcW w:w="0" w:type="auto"/>
            <w:hideMark/>
          </w:tcPr>
          <w:p w14:paraId="3ED11C7F"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Въвеждане на паспорт за сградно обновяване като официален документ с нормативно определено съдържание, случаи на приложение (еднократно/поетапно дълбоко обновяване) и връзка със системата за сертифициране</w:t>
            </w:r>
          </w:p>
        </w:tc>
        <w:tc>
          <w:tcPr>
            <w:tcW w:w="0" w:type="auto"/>
            <w:hideMark/>
          </w:tcPr>
          <w:p w14:paraId="773F092D"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b/>
                <w:bCs/>
                <w:sz w:val="22"/>
                <w:szCs w:val="22"/>
                <w:lang w:val="bg-BG"/>
              </w:rPr>
              <w:t>Закон за енергийната ефективност (ЗЕЕ)</w:t>
            </w:r>
            <w:r w:rsidRPr="006F3533">
              <w:rPr>
                <w:rFonts w:ascii="Aptos" w:hAnsi="Aptos"/>
                <w:sz w:val="22"/>
                <w:szCs w:val="22"/>
                <w:lang w:val="bg-BG"/>
              </w:rPr>
              <w:t xml:space="preserve"> – изрично правно основание и делегация; </w:t>
            </w:r>
            <w:r w:rsidRPr="006F3533">
              <w:rPr>
                <w:rFonts w:ascii="Aptos" w:hAnsi="Aptos"/>
                <w:b/>
                <w:bCs/>
                <w:sz w:val="22"/>
                <w:szCs w:val="22"/>
                <w:lang w:val="bg-BG"/>
              </w:rPr>
              <w:t>подзаконов акт към ЗЕЕ</w:t>
            </w:r>
            <w:r w:rsidRPr="006F3533">
              <w:rPr>
                <w:rFonts w:ascii="Aptos" w:hAnsi="Aptos"/>
                <w:sz w:val="22"/>
                <w:szCs w:val="22"/>
                <w:lang w:val="bg-BG"/>
              </w:rPr>
              <w:t xml:space="preserve"> (нова наредба или изменение на действаща) за съдържание и процедура</w:t>
            </w:r>
          </w:p>
        </w:tc>
        <w:tc>
          <w:tcPr>
            <w:tcW w:w="0" w:type="auto"/>
            <w:hideMark/>
          </w:tcPr>
          <w:p w14:paraId="485009C5"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МЕ</w:t>
            </w:r>
          </w:p>
        </w:tc>
        <w:tc>
          <w:tcPr>
            <w:tcW w:w="0" w:type="auto"/>
            <w:hideMark/>
          </w:tcPr>
          <w:p w14:paraId="41939F4F"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АУЕР, МРРБ</w:t>
            </w:r>
          </w:p>
        </w:tc>
        <w:tc>
          <w:tcPr>
            <w:tcW w:w="0" w:type="auto"/>
            <w:hideMark/>
          </w:tcPr>
          <w:p w14:paraId="5753843F"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до май 2026 г.</w:t>
            </w:r>
          </w:p>
        </w:tc>
      </w:tr>
      <w:tr w:rsidR="00FD00E4" w:rsidRPr="006F3533" w14:paraId="425BB063" w14:textId="77777777" w:rsidTr="00FD00E4">
        <w:tc>
          <w:tcPr>
            <w:cnfStyle w:val="001000000000" w:firstRow="0" w:lastRow="0" w:firstColumn="1" w:lastColumn="0" w:oddVBand="0" w:evenVBand="0" w:oddHBand="0" w:evenHBand="0" w:firstRowFirstColumn="0" w:firstRowLastColumn="0" w:lastRowFirstColumn="0" w:lastRowLastColumn="0"/>
            <w:tcW w:w="0" w:type="auto"/>
            <w:hideMark/>
          </w:tcPr>
          <w:p w14:paraId="77F363D7" w14:textId="77777777" w:rsidR="00FD00E4" w:rsidRPr="006F3533" w:rsidRDefault="00FD00E4" w:rsidP="00FD00E4">
            <w:pPr>
              <w:pStyle w:val="NormalWeb"/>
              <w:jc w:val="both"/>
              <w:rPr>
                <w:rFonts w:ascii="Aptos" w:hAnsi="Aptos"/>
                <w:sz w:val="22"/>
                <w:szCs w:val="22"/>
                <w:lang w:val="bg-BG"/>
              </w:rPr>
            </w:pPr>
            <w:r w:rsidRPr="006F3533">
              <w:rPr>
                <w:rFonts w:ascii="Aptos" w:hAnsi="Aptos"/>
                <w:sz w:val="22"/>
                <w:szCs w:val="22"/>
                <w:lang w:val="bg-BG"/>
              </w:rPr>
              <w:t>2</w:t>
            </w:r>
          </w:p>
        </w:tc>
        <w:tc>
          <w:tcPr>
            <w:tcW w:w="0" w:type="auto"/>
            <w:hideMark/>
          </w:tcPr>
          <w:p w14:paraId="4F4A2A83"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Интеграция на паспортите със сертификатите за енергийни характеристики</w:t>
            </w:r>
          </w:p>
        </w:tc>
        <w:tc>
          <w:tcPr>
            <w:tcW w:w="0" w:type="auto"/>
            <w:hideMark/>
          </w:tcPr>
          <w:p w14:paraId="6B4DC3B8"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Правила за недопускане на дублиране: при валиден сертификат паспортът използва данните му; при паспорт без валиден сертификат – данните се интегрират в националната база/регистър по определен ред</w:t>
            </w:r>
          </w:p>
        </w:tc>
        <w:tc>
          <w:tcPr>
            <w:tcW w:w="0" w:type="auto"/>
            <w:hideMark/>
          </w:tcPr>
          <w:p w14:paraId="215A6BC6"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b/>
                <w:bCs/>
                <w:sz w:val="22"/>
                <w:szCs w:val="22"/>
                <w:lang w:val="bg-BG"/>
              </w:rPr>
              <w:t>Наредба № Е-РД-04-2 от 16.12.2022 г.</w:t>
            </w:r>
            <w:r w:rsidRPr="006F3533">
              <w:rPr>
                <w:rFonts w:ascii="Aptos" w:hAnsi="Aptos"/>
                <w:sz w:val="22"/>
                <w:szCs w:val="22"/>
                <w:lang w:val="bg-BG"/>
              </w:rPr>
              <w:t xml:space="preserve"> – допълване с глава/раздел за паспортите (използване на входни данни, проверки, формати)</w:t>
            </w:r>
          </w:p>
        </w:tc>
        <w:tc>
          <w:tcPr>
            <w:tcW w:w="0" w:type="auto"/>
            <w:hideMark/>
          </w:tcPr>
          <w:p w14:paraId="24E53D35"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АУЕР</w:t>
            </w:r>
          </w:p>
        </w:tc>
        <w:tc>
          <w:tcPr>
            <w:tcW w:w="0" w:type="auto"/>
            <w:hideMark/>
          </w:tcPr>
          <w:p w14:paraId="0969EF87"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МЕ, МРРБ</w:t>
            </w:r>
          </w:p>
        </w:tc>
        <w:tc>
          <w:tcPr>
            <w:tcW w:w="0" w:type="auto"/>
            <w:hideMark/>
          </w:tcPr>
          <w:p w14:paraId="4016B648"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2026 г.</w:t>
            </w:r>
          </w:p>
        </w:tc>
      </w:tr>
      <w:tr w:rsidR="00FD00E4" w:rsidRPr="006F3533" w14:paraId="0ACEFB4F" w14:textId="77777777" w:rsidTr="00FD00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28AA3B3" w14:textId="77777777" w:rsidR="00FD00E4" w:rsidRPr="006F3533" w:rsidRDefault="00FD00E4" w:rsidP="00FD00E4">
            <w:pPr>
              <w:pStyle w:val="NormalWeb"/>
              <w:jc w:val="both"/>
              <w:rPr>
                <w:rFonts w:ascii="Aptos" w:hAnsi="Aptos"/>
                <w:sz w:val="22"/>
                <w:szCs w:val="22"/>
                <w:lang w:val="bg-BG"/>
              </w:rPr>
            </w:pPr>
            <w:r w:rsidRPr="006F3533">
              <w:rPr>
                <w:rFonts w:ascii="Aptos" w:hAnsi="Aptos"/>
                <w:sz w:val="22"/>
                <w:szCs w:val="22"/>
                <w:lang w:val="bg-BG"/>
              </w:rPr>
              <w:t>3</w:t>
            </w:r>
          </w:p>
        </w:tc>
        <w:tc>
          <w:tcPr>
            <w:tcW w:w="0" w:type="auto"/>
            <w:hideMark/>
          </w:tcPr>
          <w:p w14:paraId="2BB6ECC9"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Национални дефиниции и прагове за „дълбоко“ и „поетапно дълбоко“ обновяване</w:t>
            </w:r>
          </w:p>
        </w:tc>
        <w:tc>
          <w:tcPr>
            <w:tcW w:w="0" w:type="auto"/>
            <w:hideMark/>
          </w:tcPr>
          <w:p w14:paraId="23A69DEF" w14:textId="2D9A0403"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Нормативно определяне на прага за дълбочина (достигане на равнище СБНПЕ/НЕС или най-малко 60% намаление на първичната енергия) и условия за етапно обновяване (последователни стъпки в рамките на 10–15 години, съвместими с крайната цел)</w:t>
            </w:r>
          </w:p>
        </w:tc>
        <w:tc>
          <w:tcPr>
            <w:tcW w:w="0" w:type="auto"/>
            <w:hideMark/>
          </w:tcPr>
          <w:p w14:paraId="4A05952B" w14:textId="5A07357B"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b/>
                <w:bCs/>
                <w:sz w:val="22"/>
                <w:szCs w:val="22"/>
                <w:lang w:val="bg-BG"/>
              </w:rPr>
              <w:t>Наредба № РД-02-20-3 от 09.11.2022 г.</w:t>
            </w:r>
            <w:r w:rsidRPr="006F3533">
              <w:rPr>
                <w:rFonts w:ascii="Aptos" w:hAnsi="Aptos"/>
                <w:sz w:val="22"/>
                <w:szCs w:val="22"/>
                <w:lang w:val="bg-BG"/>
              </w:rPr>
              <w:t xml:space="preserve"> – допълване с дефиниции/прагове и връзка към паспорта като инструмент за етапно обновяване</w:t>
            </w:r>
          </w:p>
        </w:tc>
        <w:tc>
          <w:tcPr>
            <w:tcW w:w="0" w:type="auto"/>
            <w:hideMark/>
          </w:tcPr>
          <w:p w14:paraId="53386710" w14:textId="20DA9E62"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АУЕР</w:t>
            </w:r>
          </w:p>
        </w:tc>
        <w:tc>
          <w:tcPr>
            <w:tcW w:w="0" w:type="auto"/>
            <w:hideMark/>
          </w:tcPr>
          <w:p w14:paraId="35D6C5DA" w14:textId="2C89E854"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МЕ, МРРБ</w:t>
            </w:r>
          </w:p>
        </w:tc>
        <w:tc>
          <w:tcPr>
            <w:tcW w:w="0" w:type="auto"/>
            <w:hideMark/>
          </w:tcPr>
          <w:p w14:paraId="0B710B66"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2026 г.</w:t>
            </w:r>
          </w:p>
        </w:tc>
      </w:tr>
      <w:tr w:rsidR="00FD00E4" w:rsidRPr="006F3533" w14:paraId="7FA30390" w14:textId="77777777" w:rsidTr="00FD00E4">
        <w:tc>
          <w:tcPr>
            <w:cnfStyle w:val="001000000000" w:firstRow="0" w:lastRow="0" w:firstColumn="1" w:lastColumn="0" w:oddVBand="0" w:evenVBand="0" w:oddHBand="0" w:evenHBand="0" w:firstRowFirstColumn="0" w:firstRowLastColumn="0" w:lastRowFirstColumn="0" w:lastRowLastColumn="0"/>
            <w:tcW w:w="0" w:type="auto"/>
            <w:hideMark/>
          </w:tcPr>
          <w:p w14:paraId="418BC277" w14:textId="77777777" w:rsidR="00FD00E4" w:rsidRPr="006F3533" w:rsidRDefault="00FD00E4" w:rsidP="00FD00E4">
            <w:pPr>
              <w:pStyle w:val="NormalWeb"/>
              <w:jc w:val="both"/>
              <w:rPr>
                <w:rFonts w:ascii="Aptos" w:hAnsi="Aptos"/>
                <w:sz w:val="22"/>
                <w:szCs w:val="22"/>
                <w:lang w:val="bg-BG"/>
              </w:rPr>
            </w:pPr>
            <w:r w:rsidRPr="006F3533">
              <w:rPr>
                <w:rFonts w:ascii="Aptos" w:hAnsi="Aptos"/>
                <w:sz w:val="22"/>
                <w:szCs w:val="22"/>
                <w:lang w:val="bg-BG"/>
              </w:rPr>
              <w:t>4</w:t>
            </w:r>
          </w:p>
        </w:tc>
        <w:tc>
          <w:tcPr>
            <w:tcW w:w="0" w:type="auto"/>
            <w:hideMark/>
          </w:tcPr>
          <w:p w14:paraId="29B034FC"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Дигитална регистрация на паспортите и уникален идентификатор</w:t>
            </w:r>
          </w:p>
        </w:tc>
        <w:tc>
          <w:tcPr>
            <w:tcW w:w="0" w:type="auto"/>
            <w:hideMark/>
          </w:tcPr>
          <w:p w14:paraId="67ED74A5" w14:textId="2EBC6322"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Разширяване на националния регистър на сертификатите за енергийните характеристики с паспортите за сградно обновяване (уникален идентификатор, правила за достъп, проследимост и актуализация)</w:t>
            </w:r>
          </w:p>
        </w:tc>
        <w:tc>
          <w:tcPr>
            <w:tcW w:w="0" w:type="auto"/>
            <w:hideMark/>
          </w:tcPr>
          <w:p w14:paraId="1BA0DAA0"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b/>
                <w:bCs/>
                <w:sz w:val="22"/>
                <w:szCs w:val="22"/>
                <w:lang w:val="bg-BG"/>
              </w:rPr>
              <w:t>Наредба № Е-РД-04-1 от 03.01.2018 г.</w:t>
            </w:r>
            <w:r w:rsidRPr="006F3533">
              <w:rPr>
                <w:rFonts w:ascii="Aptos" w:hAnsi="Aptos"/>
                <w:sz w:val="22"/>
                <w:szCs w:val="22"/>
                <w:lang w:val="bg-BG"/>
              </w:rPr>
              <w:t xml:space="preserve"> (за регистрите по ЗЕЕ) – допълване с паспортите като нов тип вписване и минимален набор данни</w:t>
            </w:r>
          </w:p>
        </w:tc>
        <w:tc>
          <w:tcPr>
            <w:tcW w:w="0" w:type="auto"/>
            <w:hideMark/>
          </w:tcPr>
          <w:p w14:paraId="04EFE932"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АУЕР</w:t>
            </w:r>
          </w:p>
        </w:tc>
        <w:tc>
          <w:tcPr>
            <w:tcW w:w="0" w:type="auto"/>
            <w:hideMark/>
          </w:tcPr>
          <w:p w14:paraId="02D1D811"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МЕ</w:t>
            </w:r>
          </w:p>
        </w:tc>
        <w:tc>
          <w:tcPr>
            <w:tcW w:w="0" w:type="auto"/>
            <w:hideMark/>
          </w:tcPr>
          <w:p w14:paraId="475AC0CB"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2026–2028 г.</w:t>
            </w:r>
          </w:p>
        </w:tc>
      </w:tr>
      <w:tr w:rsidR="00FD00E4" w:rsidRPr="006F3533" w14:paraId="439A5ADE" w14:textId="77777777" w:rsidTr="00FD00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BCC97A9" w14:textId="77777777" w:rsidR="00FD00E4" w:rsidRPr="006F3533" w:rsidRDefault="00FD00E4" w:rsidP="00FD00E4">
            <w:pPr>
              <w:pStyle w:val="NormalWeb"/>
              <w:jc w:val="both"/>
              <w:rPr>
                <w:rFonts w:ascii="Aptos" w:hAnsi="Aptos"/>
                <w:sz w:val="22"/>
                <w:szCs w:val="22"/>
                <w:lang w:val="bg-BG"/>
              </w:rPr>
            </w:pPr>
            <w:r w:rsidRPr="006F3533">
              <w:rPr>
                <w:rFonts w:ascii="Aptos" w:hAnsi="Aptos"/>
                <w:sz w:val="22"/>
                <w:szCs w:val="22"/>
                <w:lang w:val="bg-BG"/>
              </w:rPr>
              <w:lastRenderedPageBreak/>
              <w:t>5</w:t>
            </w:r>
          </w:p>
        </w:tc>
        <w:tc>
          <w:tcPr>
            <w:tcW w:w="0" w:type="auto"/>
            <w:hideMark/>
          </w:tcPr>
          <w:p w14:paraId="62E2FB0B"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Изисквания към експерти и контрол на качеството за паспорти</w:t>
            </w:r>
          </w:p>
        </w:tc>
        <w:tc>
          <w:tcPr>
            <w:tcW w:w="0" w:type="auto"/>
            <w:hideMark/>
          </w:tcPr>
          <w:p w14:paraId="38C5CE3B" w14:textId="24A10E04"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Въвеждане/прецизиране на изисквания към правоспособност, промени в програмата за сертифициране, възможности за продължаващо обучение, проверки и санкции при системно некачествени документи</w:t>
            </w:r>
          </w:p>
        </w:tc>
        <w:tc>
          <w:tcPr>
            <w:tcW w:w="0" w:type="auto"/>
            <w:hideMark/>
          </w:tcPr>
          <w:p w14:paraId="1785833B"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b/>
                <w:bCs/>
                <w:sz w:val="22"/>
                <w:szCs w:val="22"/>
                <w:lang w:val="bg-BG"/>
              </w:rPr>
              <w:t>Наредба № Е-РД-04-2 от 16.12.2022 г.</w:t>
            </w:r>
            <w:r w:rsidRPr="006F3533">
              <w:rPr>
                <w:rFonts w:ascii="Aptos" w:hAnsi="Aptos"/>
                <w:sz w:val="22"/>
                <w:szCs w:val="22"/>
                <w:lang w:val="bg-BG"/>
              </w:rPr>
              <w:t xml:space="preserve"> – допълване на правила за квалификация и контрол на качеството, приложими и за паспортите</w:t>
            </w:r>
          </w:p>
        </w:tc>
        <w:tc>
          <w:tcPr>
            <w:tcW w:w="0" w:type="auto"/>
            <w:hideMark/>
          </w:tcPr>
          <w:p w14:paraId="78082115"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АУЕР</w:t>
            </w:r>
          </w:p>
        </w:tc>
        <w:tc>
          <w:tcPr>
            <w:tcW w:w="0" w:type="auto"/>
            <w:hideMark/>
          </w:tcPr>
          <w:p w14:paraId="6AEA1ABD" w14:textId="6A019041"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Лицензирани университети</w:t>
            </w:r>
          </w:p>
        </w:tc>
        <w:tc>
          <w:tcPr>
            <w:tcW w:w="0" w:type="auto"/>
            <w:hideMark/>
          </w:tcPr>
          <w:p w14:paraId="3210A518" w14:textId="77777777" w:rsidR="00FD00E4" w:rsidRPr="006F3533" w:rsidRDefault="00FD00E4" w:rsidP="00FD00E4">
            <w:pPr>
              <w:pStyle w:val="NormalWeb"/>
              <w:jc w:val="both"/>
              <w:cnfStyle w:val="000000100000" w:firstRow="0" w:lastRow="0" w:firstColumn="0" w:lastColumn="0" w:oddVBand="0" w:evenVBand="0" w:oddHBand="1"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2026–2027 г.</w:t>
            </w:r>
          </w:p>
        </w:tc>
      </w:tr>
      <w:tr w:rsidR="00FD00E4" w:rsidRPr="006F3533" w14:paraId="505E6156" w14:textId="77777777" w:rsidTr="00FD00E4">
        <w:tc>
          <w:tcPr>
            <w:cnfStyle w:val="001000000000" w:firstRow="0" w:lastRow="0" w:firstColumn="1" w:lastColumn="0" w:oddVBand="0" w:evenVBand="0" w:oddHBand="0" w:evenHBand="0" w:firstRowFirstColumn="0" w:firstRowLastColumn="0" w:lastRowFirstColumn="0" w:lastRowLastColumn="0"/>
            <w:tcW w:w="0" w:type="auto"/>
            <w:hideMark/>
          </w:tcPr>
          <w:p w14:paraId="139CC5A0" w14:textId="77777777" w:rsidR="00FD00E4" w:rsidRPr="006F3533" w:rsidRDefault="00FD00E4" w:rsidP="00FD00E4">
            <w:pPr>
              <w:pStyle w:val="NormalWeb"/>
              <w:jc w:val="both"/>
              <w:rPr>
                <w:rFonts w:ascii="Aptos" w:hAnsi="Aptos"/>
                <w:sz w:val="22"/>
                <w:szCs w:val="22"/>
                <w:lang w:val="bg-BG"/>
              </w:rPr>
            </w:pPr>
            <w:r w:rsidRPr="006F3533">
              <w:rPr>
                <w:rFonts w:ascii="Aptos" w:hAnsi="Aptos"/>
                <w:sz w:val="22"/>
                <w:szCs w:val="22"/>
                <w:lang w:val="bg-BG"/>
              </w:rPr>
              <w:t>6</w:t>
            </w:r>
          </w:p>
        </w:tc>
        <w:tc>
          <w:tcPr>
            <w:tcW w:w="0" w:type="auto"/>
            <w:hideMark/>
          </w:tcPr>
          <w:p w14:paraId="00564FD7"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Съвместимост между паспорта за сградно обновяване и техническия паспорт на строежа</w:t>
            </w:r>
          </w:p>
        </w:tc>
        <w:tc>
          <w:tcPr>
            <w:tcW w:w="0" w:type="auto"/>
            <w:hideMark/>
          </w:tcPr>
          <w:p w14:paraId="0A418DE0"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Регламентиране на съвместимост/препратки между паспорта за сградно обновяване и техническия паспорт (за да се използват налични данни и да се избегне дублиране при поетапно обновяване)</w:t>
            </w:r>
          </w:p>
        </w:tc>
        <w:tc>
          <w:tcPr>
            <w:tcW w:w="0" w:type="auto"/>
            <w:hideMark/>
          </w:tcPr>
          <w:p w14:paraId="0FEC88A5"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b/>
                <w:bCs/>
                <w:sz w:val="22"/>
                <w:szCs w:val="22"/>
                <w:lang w:val="bg-BG"/>
              </w:rPr>
              <w:t>Наредба № 5 от 28.12.2006 г. за техническите паспорти на строежите</w:t>
            </w:r>
            <w:r w:rsidRPr="006F3533">
              <w:rPr>
                <w:rFonts w:ascii="Aptos" w:hAnsi="Aptos"/>
                <w:sz w:val="22"/>
                <w:szCs w:val="22"/>
                <w:lang w:val="bg-BG"/>
              </w:rPr>
              <w:t xml:space="preserve"> – допълване с препратки/полета за енергийни данни и връзка с паспорта за сградно обновяване</w:t>
            </w:r>
          </w:p>
        </w:tc>
        <w:tc>
          <w:tcPr>
            <w:tcW w:w="0" w:type="auto"/>
            <w:hideMark/>
          </w:tcPr>
          <w:p w14:paraId="0042E1A0"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МРРБ</w:t>
            </w:r>
          </w:p>
        </w:tc>
        <w:tc>
          <w:tcPr>
            <w:tcW w:w="0" w:type="auto"/>
            <w:hideMark/>
          </w:tcPr>
          <w:p w14:paraId="20D66A7E"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АУЕР</w:t>
            </w:r>
          </w:p>
        </w:tc>
        <w:tc>
          <w:tcPr>
            <w:tcW w:w="0" w:type="auto"/>
            <w:hideMark/>
          </w:tcPr>
          <w:p w14:paraId="5CC017D0" w14:textId="77777777" w:rsidR="00FD00E4" w:rsidRPr="006F3533" w:rsidRDefault="00FD00E4" w:rsidP="00FD00E4">
            <w:pPr>
              <w:pStyle w:val="NormalWeb"/>
              <w:jc w:val="both"/>
              <w:cnfStyle w:val="000000000000" w:firstRow="0" w:lastRow="0" w:firstColumn="0" w:lastColumn="0" w:oddVBand="0" w:evenVBand="0" w:oddHBand="0" w:evenHBand="0" w:firstRowFirstColumn="0" w:firstRowLastColumn="0" w:lastRowFirstColumn="0" w:lastRowLastColumn="0"/>
              <w:rPr>
                <w:rFonts w:ascii="Aptos" w:hAnsi="Aptos"/>
                <w:sz w:val="22"/>
                <w:szCs w:val="22"/>
                <w:lang w:val="bg-BG"/>
              </w:rPr>
            </w:pPr>
            <w:r w:rsidRPr="006F3533">
              <w:rPr>
                <w:rFonts w:ascii="Aptos" w:hAnsi="Aptos"/>
                <w:sz w:val="22"/>
                <w:szCs w:val="22"/>
                <w:lang w:val="bg-BG"/>
              </w:rPr>
              <w:t>2027 г.</w:t>
            </w:r>
          </w:p>
        </w:tc>
      </w:tr>
    </w:tbl>
    <w:p w14:paraId="289E2054" w14:textId="12ACBF99" w:rsidR="00FD00E4" w:rsidRPr="006F3533" w:rsidRDefault="00FD00E4" w:rsidP="00FD00E4">
      <w:pPr>
        <w:tabs>
          <w:tab w:val="left" w:pos="11528"/>
        </w:tabs>
        <w:rPr>
          <w:rFonts w:eastAsia="Times New Roman" w:cs="Times New Roman"/>
          <w:szCs w:val="24"/>
          <w:lang w:val="bg-BG" w:eastAsia="en-GB"/>
        </w:rPr>
      </w:pPr>
    </w:p>
    <w:p w14:paraId="77968212" w14:textId="449CBCCB" w:rsidR="00FD00E4" w:rsidRPr="006F3533" w:rsidRDefault="00FD00E4" w:rsidP="00FD00E4">
      <w:pPr>
        <w:tabs>
          <w:tab w:val="left" w:pos="11528"/>
        </w:tabs>
        <w:rPr>
          <w:rFonts w:eastAsia="Times New Roman" w:cs="Times New Roman"/>
          <w:i/>
          <w:iCs/>
          <w:szCs w:val="24"/>
          <w:lang w:val="bg-BG" w:eastAsia="en-GB"/>
        </w:rPr>
      </w:pPr>
      <w:r w:rsidRPr="006F3533">
        <w:rPr>
          <w:rFonts w:eastAsia="Times New Roman" w:cs="Times New Roman"/>
          <w:i/>
          <w:iCs/>
          <w:szCs w:val="24"/>
          <w:lang w:val="bg-BG" w:eastAsia="en-GB"/>
        </w:rPr>
        <w:t xml:space="preserve">Забележка: финансиране в рамките на бюджета на отговорните институции, с изкл. на т.4, за която е необходимо допълнително финансиране по линия на техническа помощ от ЕС или външни проекти. </w:t>
      </w:r>
    </w:p>
    <w:p w14:paraId="24655AEB" w14:textId="554AFFB8" w:rsidR="00FD00E4" w:rsidRPr="006F3533" w:rsidRDefault="00FD00E4" w:rsidP="00FD00E4">
      <w:pPr>
        <w:tabs>
          <w:tab w:val="left" w:pos="11528"/>
        </w:tabs>
        <w:rPr>
          <w:lang w:val="bg-BG" w:eastAsia="en-GB"/>
        </w:rPr>
        <w:sectPr w:rsidR="00FD00E4" w:rsidRPr="006F3533" w:rsidSect="00FD00E4">
          <w:pgSz w:w="16838" w:h="11906" w:orient="landscape"/>
          <w:pgMar w:top="1417" w:right="1417" w:bottom="1417" w:left="1417" w:header="708" w:footer="708" w:gutter="0"/>
          <w:cols w:space="708"/>
          <w:docGrid w:linePitch="360"/>
        </w:sectPr>
      </w:pPr>
      <w:r w:rsidRPr="006F3533">
        <w:rPr>
          <w:lang w:val="bg-BG" w:eastAsia="en-GB"/>
        </w:rPr>
        <w:tab/>
      </w:r>
    </w:p>
    <w:p w14:paraId="238A4F2D" w14:textId="77777777" w:rsidR="00494258" w:rsidRPr="006F3533" w:rsidRDefault="00494258" w:rsidP="00494258">
      <w:pPr>
        <w:pStyle w:val="Heading2"/>
        <w:rPr>
          <w:rStyle w:val="Strong"/>
          <w:b/>
          <w:bCs/>
          <w:lang w:val="bg-BG"/>
        </w:rPr>
      </w:pPr>
      <w:bookmarkStart w:id="257" w:name="_Toc217837195"/>
      <w:bookmarkStart w:id="258" w:name="_Toc217888845"/>
      <w:r w:rsidRPr="006F3533">
        <w:rPr>
          <w:rStyle w:val="Strong"/>
          <w:b/>
          <w:bCs/>
          <w:lang w:val="bg-BG"/>
        </w:rPr>
        <w:lastRenderedPageBreak/>
        <w:t>(d) Овластяване и защита на уязвимите клиенти и намаляване на енергийната бедност, включително политики и мерки (чл. 24)</w:t>
      </w:r>
      <w:bookmarkEnd w:id="257"/>
      <w:bookmarkEnd w:id="258"/>
    </w:p>
    <w:p w14:paraId="0C0C4532" w14:textId="16A9BD56" w:rsidR="00494258" w:rsidRPr="006F3533" w:rsidRDefault="00494258" w:rsidP="00AB1EDD">
      <w:pPr>
        <w:jc w:val="both"/>
        <w:rPr>
          <w:lang w:val="bg-BG"/>
        </w:rPr>
      </w:pPr>
      <w:bookmarkStart w:id="259" w:name="_Toc217837196"/>
      <w:r w:rsidRPr="006F3533">
        <w:rPr>
          <w:lang w:val="bg-BG"/>
        </w:rPr>
        <w:t>Както бе описано по-горе, с цел опосредстване процеса на обновяване на жилищния сграден фонд и преодоляване на ключови бариери, са необходими целенасочени мерки за най-уязвимите целеви групи. Това включва принципно осигуряване на възможности и адекватна подкрепа за домакинствата, с фокус върху енергийно бедните, чрез :</w:t>
      </w:r>
      <w:bookmarkEnd w:id="259"/>
      <w:r w:rsidRPr="006F3533">
        <w:rPr>
          <w:lang w:val="bg-BG"/>
        </w:rPr>
        <w:t xml:space="preserve"> </w:t>
      </w:r>
    </w:p>
    <w:p w14:paraId="4DC74C74" w14:textId="35CE013E" w:rsidR="00494258" w:rsidRPr="00AB1EDD" w:rsidRDefault="00494258" w:rsidP="00551FED">
      <w:pPr>
        <w:pStyle w:val="ListParagraph"/>
        <w:numPr>
          <w:ilvl w:val="0"/>
          <w:numId w:val="118"/>
        </w:numPr>
        <w:jc w:val="both"/>
        <w:rPr>
          <w:lang w:val="bg-BG"/>
        </w:rPr>
      </w:pPr>
      <w:bookmarkStart w:id="260" w:name="_Toc217837197"/>
      <w:r w:rsidRPr="00AB1EDD">
        <w:rPr>
          <w:lang w:val="bg-BG"/>
        </w:rPr>
        <w:t>подобряване на енергийните характеристики на сградите, в които живеят,</w:t>
      </w:r>
      <w:bookmarkEnd w:id="260"/>
      <w:r w:rsidRPr="00AB1EDD">
        <w:rPr>
          <w:lang w:val="bg-BG"/>
        </w:rPr>
        <w:t xml:space="preserve"> </w:t>
      </w:r>
    </w:p>
    <w:p w14:paraId="71CCEE4E" w14:textId="1FFBC8E2" w:rsidR="00494258" w:rsidRPr="00AB1EDD" w:rsidRDefault="00494258" w:rsidP="00551FED">
      <w:pPr>
        <w:pStyle w:val="ListParagraph"/>
        <w:numPr>
          <w:ilvl w:val="0"/>
          <w:numId w:val="118"/>
        </w:numPr>
        <w:jc w:val="both"/>
        <w:rPr>
          <w:lang w:val="bg-BG"/>
        </w:rPr>
      </w:pPr>
      <w:bookmarkStart w:id="261" w:name="_Toc217837198"/>
      <w:r w:rsidRPr="00AB1EDD">
        <w:rPr>
          <w:lang w:val="bg-BG"/>
        </w:rPr>
        <w:t>модернизация на отоплителни инсталации;</w:t>
      </w:r>
      <w:bookmarkEnd w:id="261"/>
      <w:r w:rsidRPr="00AB1EDD">
        <w:rPr>
          <w:lang w:val="bg-BG"/>
        </w:rPr>
        <w:t xml:space="preserve"> </w:t>
      </w:r>
    </w:p>
    <w:p w14:paraId="5DDF2351" w14:textId="34448CB1" w:rsidR="00494258" w:rsidRPr="00AB1EDD" w:rsidRDefault="00494258" w:rsidP="00551FED">
      <w:pPr>
        <w:pStyle w:val="ListParagraph"/>
        <w:numPr>
          <w:ilvl w:val="0"/>
          <w:numId w:val="118"/>
        </w:numPr>
        <w:jc w:val="both"/>
        <w:rPr>
          <w:lang w:val="bg-BG"/>
        </w:rPr>
      </w:pPr>
      <w:bookmarkStart w:id="262" w:name="_Toc217837199"/>
      <w:r w:rsidRPr="00AB1EDD">
        <w:rPr>
          <w:lang w:val="bg-BG"/>
        </w:rPr>
        <w:t>насърчаване използването на енергия от възобновяеми източници.</w:t>
      </w:r>
      <w:bookmarkEnd w:id="262"/>
      <w:r w:rsidRPr="00AB1EDD">
        <w:rPr>
          <w:lang w:val="bg-BG"/>
        </w:rPr>
        <w:t xml:space="preserve"> </w:t>
      </w:r>
    </w:p>
    <w:p w14:paraId="545AB35D" w14:textId="11A86D49" w:rsidR="00494258" w:rsidRPr="00AB1EDD" w:rsidRDefault="00494258" w:rsidP="00551FED">
      <w:pPr>
        <w:pStyle w:val="ListParagraph"/>
        <w:numPr>
          <w:ilvl w:val="0"/>
          <w:numId w:val="118"/>
        </w:numPr>
        <w:jc w:val="both"/>
        <w:rPr>
          <w:lang w:val="bg-BG"/>
        </w:rPr>
      </w:pPr>
      <w:bookmarkStart w:id="263" w:name="_Toc217837200"/>
      <w:r w:rsidRPr="00AB1EDD">
        <w:rPr>
          <w:lang w:val="bg-BG"/>
        </w:rPr>
        <w:t>повишаване информираността с цел промяна на поведението на потребителите и насърчаване на разходно-ефективна консумация на енергия.</w:t>
      </w:r>
      <w:bookmarkEnd w:id="263"/>
    </w:p>
    <w:p w14:paraId="369FE7EE" w14:textId="77777777" w:rsidR="00494258" w:rsidRPr="006F3533" w:rsidRDefault="00494258" w:rsidP="00AB1EDD">
      <w:pPr>
        <w:jc w:val="both"/>
        <w:rPr>
          <w:noProof/>
          <w:lang w:val="bg-BG" w:eastAsia="en-GB"/>
        </w:rPr>
      </w:pPr>
      <w:r w:rsidRPr="006F3533">
        <w:rPr>
          <w:noProof/>
          <w:lang w:val="bg-BG" w:eastAsia="en-GB"/>
        </w:rPr>
        <w:t xml:space="preserve">При планирането на политики и мерки за подобряване на енергийната ефективност на сградите следва да се отчете спецификата на жилищния фонд, обитаван от енергийно бедните домакинства. </w:t>
      </w:r>
      <w:r w:rsidRPr="006F3533">
        <w:rPr>
          <w:b/>
          <w:bCs/>
          <w:noProof/>
          <w:lang w:val="bg-BG" w:eastAsia="en-GB"/>
        </w:rPr>
        <w:t>Над 76% от тях живеят в еднофамилни жилища</w:t>
      </w:r>
      <w:r w:rsidRPr="006F3533">
        <w:rPr>
          <w:noProof/>
          <w:lang w:val="bg-BG" w:eastAsia="en-GB"/>
        </w:rPr>
        <w:t xml:space="preserve"> – самостоятелни къщи, къщи близнаци или части от къщи, като се характеризират с нисък социално-икономически статус, маломерен състав (средно около 1,4 души) и ограничени финансови и административни възможности за участие в комплексни програми за обновяване.</w:t>
      </w:r>
    </w:p>
    <w:p w14:paraId="2F915394" w14:textId="77777777" w:rsidR="00494258" w:rsidRPr="006F3533" w:rsidRDefault="00494258" w:rsidP="00AB1EDD">
      <w:pPr>
        <w:jc w:val="both"/>
        <w:rPr>
          <w:noProof/>
          <w:lang w:val="bg-BG" w:eastAsia="en-GB"/>
        </w:rPr>
      </w:pPr>
      <w:r w:rsidRPr="006F3533">
        <w:rPr>
          <w:noProof/>
          <w:lang w:val="bg-BG" w:eastAsia="en-GB"/>
        </w:rPr>
        <w:t xml:space="preserve">В този контекст мерките за дълбоко енергийно обновяване не винаги са икономически обосновани или социално приложими, тъй като значителна част от тези домакинства не отопляват цялата жилищна площ. Това налага </w:t>
      </w:r>
      <w:r w:rsidRPr="006F3533">
        <w:rPr>
          <w:b/>
          <w:bCs/>
          <w:noProof/>
          <w:lang w:val="bg-BG" w:eastAsia="en-GB"/>
        </w:rPr>
        <w:t>прилагането на по-гъвкав и диференциран подход,</w:t>
      </w:r>
      <w:r w:rsidRPr="006F3533">
        <w:rPr>
          <w:noProof/>
          <w:lang w:val="bg-BG" w:eastAsia="en-GB"/>
        </w:rPr>
        <w:t xml:space="preserve"> насочен към реалните им нужди и възможности, чрез приоритизиране на единични, целенасочени мерки с доказан ефект върху енергийните разходи и комфорта. Такива мерки включват подмяна на неефективни отоплителни уреди, локална топлоизолация на най-интензивно използваните помещения, подобряване на дограма или въвеждане на малки ВЕИ решения за собствено потребление, подкрепени с безвъзмездно финансиране и адекватна техническа помощ.</w:t>
      </w:r>
    </w:p>
    <w:p w14:paraId="6F404C81" w14:textId="08D1444B" w:rsidR="00FD00E4" w:rsidRPr="006F3533" w:rsidRDefault="00494258" w:rsidP="00AB1EDD">
      <w:pPr>
        <w:jc w:val="both"/>
        <w:rPr>
          <w:noProof/>
          <w:lang w:val="bg-BG" w:eastAsia="en-GB"/>
        </w:rPr>
      </w:pPr>
      <w:r w:rsidRPr="006F3533">
        <w:rPr>
          <w:noProof/>
          <w:lang w:val="bg-BG" w:eastAsia="en-GB"/>
        </w:rPr>
        <w:t xml:space="preserve">По отношение на </w:t>
      </w:r>
      <w:r w:rsidRPr="006F3533">
        <w:rPr>
          <w:b/>
          <w:bCs/>
          <w:noProof/>
          <w:lang w:val="bg-BG" w:eastAsia="en-GB"/>
        </w:rPr>
        <w:t>енергийно бедните домакинства в многофамилни жилищни сгради</w:t>
      </w:r>
      <w:r w:rsidRPr="006F3533">
        <w:rPr>
          <w:noProof/>
          <w:lang w:val="bg-BG" w:eastAsia="en-GB"/>
        </w:rPr>
        <w:t xml:space="preserve">, опитът от предходни програми и проведените анализи показват, че макар около една трета от енергийно бедните да обитават такива сгради, те не са териториално концентрирани, а </w:t>
      </w:r>
      <w:r w:rsidRPr="006F3533">
        <w:rPr>
          <w:b/>
          <w:bCs/>
          <w:noProof/>
          <w:lang w:val="bg-BG" w:eastAsia="en-GB"/>
        </w:rPr>
        <w:t>присъстват в практически всички типове многофамилни сгради</w:t>
      </w:r>
      <w:r w:rsidRPr="006F3533">
        <w:rPr>
          <w:noProof/>
          <w:lang w:val="bg-BG" w:eastAsia="en-GB"/>
        </w:rPr>
        <w:t>. Тази разпокъсаност създава предизвикателства при вземането на колективни решения за обновяване и налага довършване на реформите, свързани с ясно дефиниране и прилагане на механизми за идентифициране на енергийно бедните домакинства, имащи право на 100% безвъзмездна финансова помощ. Осигуряването на функциониращ механизъм за подкрепа на енергийно бедните домакинства в многофамилни сгради е ключово условие за предотвратяване на социалното изключване и за гарантиране, че уязвимите клиенти не се превръщат в бариера пред изпълнението на националните политики за енергийна ефективност и декарбонизация.</w:t>
      </w:r>
    </w:p>
    <w:p w14:paraId="734786C4" w14:textId="77777777" w:rsidR="00B572B1" w:rsidRPr="006F3533" w:rsidRDefault="00B572B1" w:rsidP="00494258">
      <w:pPr>
        <w:pStyle w:val="Heading2"/>
        <w:rPr>
          <w:lang w:val="bg-BG"/>
        </w:rPr>
      </w:pPr>
      <w:bookmarkStart w:id="264" w:name="_Toc217888846"/>
      <w:r w:rsidRPr="006F3533">
        <w:rPr>
          <w:rStyle w:val="Strong"/>
          <w:b/>
          <w:bCs/>
          <w:lang w:val="bg-BG"/>
        </w:rPr>
        <w:t>(е) Създаване на центрове за комплексно обслужване (ЦКО) и сходни механизми (чл. 18)</w:t>
      </w:r>
      <w:bookmarkEnd w:id="264"/>
    </w:p>
    <w:p w14:paraId="333EC222" w14:textId="77777777" w:rsidR="00494258" w:rsidRPr="00AB1EDD" w:rsidRDefault="00494258" w:rsidP="00EA1E95">
      <w:pPr>
        <w:jc w:val="both"/>
        <w:rPr>
          <w:b/>
          <w:bCs/>
          <w:lang w:val="bg-BG"/>
        </w:rPr>
      </w:pPr>
      <w:bookmarkStart w:id="265" w:name="_Toc216857831"/>
      <w:bookmarkStart w:id="266" w:name="_Toc216816111"/>
      <w:bookmarkStart w:id="267" w:name="_Toc217837202"/>
      <w:r w:rsidRPr="00AB1EDD">
        <w:rPr>
          <w:b/>
          <w:bCs/>
          <w:lang w:val="bg-BG"/>
        </w:rPr>
        <w:lastRenderedPageBreak/>
        <w:t>Обща логика и политическа рамка</w:t>
      </w:r>
      <w:bookmarkEnd w:id="265"/>
      <w:bookmarkEnd w:id="266"/>
      <w:bookmarkEnd w:id="267"/>
    </w:p>
    <w:p w14:paraId="09AA61C7" w14:textId="77777777" w:rsidR="00494258" w:rsidRPr="006F3533" w:rsidRDefault="00494258" w:rsidP="00EA1E95">
      <w:pPr>
        <w:jc w:val="both"/>
        <w:rPr>
          <w:lang w:val="bg-BG"/>
        </w:rPr>
      </w:pPr>
      <w:bookmarkStart w:id="268" w:name="_Toc217837203"/>
      <w:bookmarkStart w:id="269" w:name="_Toc216816112"/>
      <w:bookmarkStart w:id="270" w:name="_Toc216857832"/>
      <w:r w:rsidRPr="006F3533">
        <w:rPr>
          <w:lang w:val="bg-BG"/>
        </w:rPr>
        <w:t>В съответствие с член 18 от преработената Директива за енергийните характеристики на сградите (ЕС) 2024/1275 и свързаните разпоредби на Директивата за енергийната ефективност (чл. 18) (ЕС) 2023/1791, България следва да създаде национална мрежа от структури за техническа помощ (</w:t>
      </w:r>
      <w:proofErr w:type="spellStart"/>
      <w:r w:rsidRPr="006F3533">
        <w:rPr>
          <w:lang w:val="bg-BG"/>
        </w:rPr>
        <w:t>technical</w:t>
      </w:r>
      <w:proofErr w:type="spellEnd"/>
      <w:r w:rsidRPr="006F3533">
        <w:rPr>
          <w:lang w:val="bg-BG"/>
        </w:rPr>
        <w:t xml:space="preserve"> </w:t>
      </w:r>
      <w:proofErr w:type="spellStart"/>
      <w:r w:rsidRPr="006F3533">
        <w:rPr>
          <w:lang w:val="bg-BG"/>
        </w:rPr>
        <w:t>assistance</w:t>
      </w:r>
      <w:proofErr w:type="spellEnd"/>
      <w:r w:rsidRPr="006F3533">
        <w:rPr>
          <w:lang w:val="bg-BG"/>
        </w:rPr>
        <w:t xml:space="preserve"> </w:t>
      </w:r>
      <w:proofErr w:type="spellStart"/>
      <w:r w:rsidRPr="006F3533">
        <w:rPr>
          <w:lang w:val="bg-BG"/>
        </w:rPr>
        <w:t>facilities</w:t>
      </w:r>
      <w:proofErr w:type="spellEnd"/>
      <w:r w:rsidRPr="006F3533">
        <w:rPr>
          <w:lang w:val="bg-BG"/>
        </w:rPr>
        <w:t>), които в настоящия документ се обозначават като „Центрове за комплексно обслужване“ (ЦКО) и ще предоставят услуги тип „обслужване на едно гише“ (</w:t>
      </w:r>
      <w:proofErr w:type="spellStart"/>
      <w:r w:rsidRPr="006F3533">
        <w:rPr>
          <w:lang w:val="bg-BG"/>
        </w:rPr>
        <w:t>One-Stop</w:t>
      </w:r>
      <w:proofErr w:type="spellEnd"/>
      <w:r w:rsidRPr="006F3533">
        <w:rPr>
          <w:lang w:val="bg-BG"/>
        </w:rPr>
        <w:t xml:space="preserve"> </w:t>
      </w:r>
      <w:proofErr w:type="spellStart"/>
      <w:r w:rsidRPr="006F3533">
        <w:rPr>
          <w:lang w:val="bg-BG"/>
        </w:rPr>
        <w:t>Shops</w:t>
      </w:r>
      <w:proofErr w:type="spellEnd"/>
      <w:r w:rsidRPr="006F3533">
        <w:rPr>
          <w:lang w:val="bg-BG"/>
        </w:rPr>
        <w:t xml:space="preserve"> – OSS). Наименованието ЦКО подчертава амбицията за пълноценна, достъпна и персонализирана подкрепа, обхващаща техническите, административните и финансовите аспекти на целия инвестиционен цикъл.</w:t>
      </w:r>
      <w:bookmarkEnd w:id="268"/>
    </w:p>
    <w:p w14:paraId="6875D772" w14:textId="77777777" w:rsidR="00494258" w:rsidRPr="006F3533" w:rsidRDefault="00494258" w:rsidP="00EA1E95">
      <w:pPr>
        <w:jc w:val="both"/>
        <w:rPr>
          <w:lang w:val="bg-BG"/>
        </w:rPr>
      </w:pPr>
      <w:bookmarkStart w:id="271" w:name="_Toc217837204"/>
      <w:r w:rsidRPr="006F3533">
        <w:rPr>
          <w:lang w:val="bg-BG"/>
        </w:rPr>
        <w:t>Използването на термина ЦКО цели ясно разграничение от съществуващите 28 областни информационни центрове (ОИЦ), определени по линия на Националния план за възстановяване и устойчивост (НПВУ) да изпълняват функции на бюра за енергийно обновяване „на едно гише“. Тези структури обаче нямат необходимия капацитет и експертиза в областта на енергийната ефективност, финансирането, техническите стандарти и управлението на инвестиции в строителството, като мандатът им е ограничен основно до информиране по отворени схеми с европейско финансиране.</w:t>
      </w:r>
      <w:bookmarkEnd w:id="271"/>
    </w:p>
    <w:p w14:paraId="0BD72D8C" w14:textId="77777777" w:rsidR="00494258" w:rsidRPr="006F3533" w:rsidRDefault="00494258" w:rsidP="00EA1E95">
      <w:pPr>
        <w:jc w:val="both"/>
        <w:rPr>
          <w:lang w:val="bg-BG"/>
        </w:rPr>
      </w:pPr>
      <w:bookmarkStart w:id="272" w:name="_Toc217837205"/>
      <w:r w:rsidRPr="006F3533">
        <w:rPr>
          <w:lang w:val="bg-BG"/>
        </w:rPr>
        <w:t>Еднозначно разграничение е необходимо и спрямо административните структури, създадени в резултат на реформата за учредяване на общински бюра за възобновяеми енергийни източници. С измененията в Закона за енергията от възобновяеми източници (ЗЕВИ) (чл. 22, изм. ДВ, бр. 86 от 2023 г., в сила от 13.10.2023 г.) към общините се създават центрове за административно обслужване (ЦАО), чиито задачи са предоставяне на административни услуги, свързани с издаване на разрешения за строеж, ползване и въвеждане в експлоатация на енергийни обекти и съоръжения за производство на енергия от възобновяеми източници. Видно от законовата уредба, общинските ЦАО изпълняват функции по административно обслужване и контрол при реализацията на проекти за производство на енергия от ВЕИ. Тези дейности се различават по своята специфика и цел от услугите, които центровете за OSS обслужване следва да предоставят на собствениците за подобряване на енергийната ефективност на сградите, включително чрез внедряване на ВЕИ.</w:t>
      </w:r>
      <w:bookmarkEnd w:id="272"/>
      <w:r w:rsidRPr="006F3533">
        <w:rPr>
          <w:lang w:val="bg-BG"/>
        </w:rPr>
        <w:t xml:space="preserve"> </w:t>
      </w:r>
    </w:p>
    <w:p w14:paraId="58FB145F" w14:textId="77777777" w:rsidR="00494258" w:rsidRPr="006F3533" w:rsidRDefault="00494258" w:rsidP="00EA1E95">
      <w:pPr>
        <w:jc w:val="both"/>
        <w:rPr>
          <w:lang w:val="bg-BG"/>
        </w:rPr>
      </w:pPr>
      <w:bookmarkStart w:id="273" w:name="_Toc217837206"/>
      <w:r w:rsidRPr="006F3533">
        <w:rPr>
          <w:lang w:val="bg-BG"/>
        </w:rPr>
        <w:t xml:space="preserve">По същество, мрежата от ЦКО ще представлява </w:t>
      </w:r>
      <w:proofErr w:type="spellStart"/>
      <w:r w:rsidRPr="006F3533">
        <w:rPr>
          <w:lang w:val="bg-BG"/>
        </w:rPr>
        <w:t>професионализирани</w:t>
      </w:r>
      <w:proofErr w:type="spellEnd"/>
      <w:r w:rsidRPr="006F3533">
        <w:rPr>
          <w:lang w:val="bg-BG"/>
        </w:rPr>
        <w:t xml:space="preserve"> и специализирани структури, които предоставят реални консултантски, инженерни и финансови услуги,  както беше демонстрирано от успеха на специализираните ЦКО по проектите </w:t>
      </w:r>
      <w:proofErr w:type="spellStart"/>
      <w:r w:rsidRPr="006F3533">
        <w:rPr>
          <w:lang w:val="bg-BG"/>
        </w:rPr>
        <w:t>SHEERenov</w:t>
      </w:r>
      <w:proofErr w:type="spellEnd"/>
      <w:r w:rsidRPr="006F3533">
        <w:rPr>
          <w:lang w:val="bg-BG"/>
        </w:rPr>
        <w:t xml:space="preserve">+ (София, Пловдив, Стара Загора, Бургас, Русе, Габрово) и MULTIHOME (Пловдив). В този смисъл настоящият Национален план предвижда разширяване и институционализиране на професионалния модел на ЦКО с подкрепата на Националния фонд за </w:t>
      </w:r>
      <w:proofErr w:type="spellStart"/>
      <w:r w:rsidRPr="006F3533">
        <w:rPr>
          <w:lang w:val="bg-BG"/>
        </w:rPr>
        <w:t>декарбонизация</w:t>
      </w:r>
      <w:proofErr w:type="spellEnd"/>
      <w:r w:rsidRPr="006F3533">
        <w:rPr>
          <w:lang w:val="bg-BG"/>
        </w:rPr>
        <w:t xml:space="preserve"> (НФД), като част от цялостната рамка за прилагане на членове 17–18 от EPBD.</w:t>
      </w:r>
      <w:bookmarkEnd w:id="273"/>
      <w:r w:rsidRPr="006F3533">
        <w:rPr>
          <w:lang w:val="bg-BG"/>
        </w:rPr>
        <w:t xml:space="preserve"> </w:t>
      </w:r>
    </w:p>
    <w:p w14:paraId="3349696A" w14:textId="77777777" w:rsidR="00494258" w:rsidRPr="006F3533" w:rsidRDefault="00494258" w:rsidP="00EA1E95">
      <w:pPr>
        <w:jc w:val="both"/>
        <w:rPr>
          <w:lang w:val="bg-BG"/>
        </w:rPr>
      </w:pPr>
      <w:bookmarkStart w:id="274" w:name="_Toc217837207"/>
      <w:r w:rsidRPr="006F3533">
        <w:rPr>
          <w:lang w:val="bg-BG"/>
        </w:rPr>
        <w:t xml:space="preserve">Избраният модел на ЦКО е хибриден - комбинира публична рамка и контрол с частно предоставяне на услуги. В този модел публичният сектор дефинира минималния обхват на услугите, изискванията за  качество, докато реалното обслужване и изпълнение се </w:t>
      </w:r>
      <w:r w:rsidRPr="006F3533">
        <w:rPr>
          <w:lang w:val="bg-BG"/>
        </w:rPr>
        <w:lastRenderedPageBreak/>
        <w:t xml:space="preserve">осъществяват от акредитирани частни или смесени OSS доставчици. Ефективността на модела беше защитена с участието на различни бизнес оператори в ЦКО мрежата на проект </w:t>
      </w:r>
      <w:proofErr w:type="spellStart"/>
      <w:r w:rsidRPr="006F3533">
        <w:rPr>
          <w:lang w:val="bg-BG"/>
        </w:rPr>
        <w:t>SHEERenov</w:t>
      </w:r>
      <w:proofErr w:type="spellEnd"/>
      <w:r w:rsidRPr="006F3533">
        <w:rPr>
          <w:lang w:val="bg-BG"/>
        </w:rPr>
        <w:t>+ и постигнатите резултати.</w:t>
      </w:r>
      <w:bookmarkEnd w:id="274"/>
      <w:r w:rsidRPr="006F3533">
        <w:rPr>
          <w:lang w:val="bg-BG"/>
        </w:rPr>
        <w:t xml:space="preserve"> </w:t>
      </w:r>
    </w:p>
    <w:p w14:paraId="225DC660" w14:textId="77777777" w:rsidR="00494258" w:rsidRPr="00AB1EDD" w:rsidRDefault="00494258" w:rsidP="00EA1E95">
      <w:pPr>
        <w:jc w:val="both"/>
        <w:rPr>
          <w:b/>
          <w:bCs/>
          <w:lang w:val="bg-BG"/>
        </w:rPr>
      </w:pPr>
      <w:bookmarkStart w:id="275" w:name="_Toc217837208"/>
      <w:r w:rsidRPr="00AB1EDD">
        <w:rPr>
          <w:b/>
          <w:bCs/>
          <w:lang w:val="bg-BG"/>
        </w:rPr>
        <w:t>Функции и предоставяни услуги</w:t>
      </w:r>
      <w:bookmarkEnd w:id="269"/>
      <w:bookmarkEnd w:id="270"/>
      <w:bookmarkEnd w:id="275"/>
    </w:p>
    <w:p w14:paraId="02901391" w14:textId="77777777" w:rsidR="00494258" w:rsidRPr="006F3533" w:rsidRDefault="00494258" w:rsidP="00EA1E95">
      <w:pPr>
        <w:jc w:val="both"/>
        <w:rPr>
          <w:lang w:val="bg-BG" w:eastAsia="en-GB"/>
        </w:rPr>
      </w:pPr>
      <w:r w:rsidRPr="006F3533">
        <w:rPr>
          <w:lang w:val="bg-BG" w:eastAsia="en-GB"/>
        </w:rPr>
        <w:t>ЦКО ще бъдат централен инструмент за подкрепа на собствениците и ще осигуряват както физически достъп (на регионално и общинско ниво), така и дигитална платформа с национално покритие. Обхватът на предоставяните услуги ще включва, съгласно насоките на Европейската комисия и член 18 от Директивата:</w:t>
      </w:r>
    </w:p>
    <w:p w14:paraId="6C4B481D" w14:textId="77777777" w:rsidR="00494258" w:rsidRPr="00AB1EDD" w:rsidRDefault="00494258" w:rsidP="00551FED">
      <w:pPr>
        <w:pStyle w:val="ListParagraph"/>
        <w:numPr>
          <w:ilvl w:val="0"/>
          <w:numId w:val="145"/>
        </w:numPr>
        <w:jc w:val="both"/>
        <w:rPr>
          <w:lang w:val="bg-BG" w:eastAsia="en-GB"/>
        </w:rPr>
      </w:pPr>
      <w:r w:rsidRPr="00AB1EDD">
        <w:rPr>
          <w:lang w:val="bg-BG" w:eastAsia="en-GB"/>
        </w:rPr>
        <w:t>Първоначална информация и ориентация – консултации относно възможностите за обновяване, достъпните програми и основните изисквания; помощ при избор на подходящ сценарий (еднократен или поетапен).</w:t>
      </w:r>
    </w:p>
    <w:p w14:paraId="1F1A6159" w14:textId="77777777" w:rsidR="00494258" w:rsidRPr="00AB1EDD" w:rsidRDefault="00494258" w:rsidP="00551FED">
      <w:pPr>
        <w:pStyle w:val="ListParagraph"/>
        <w:numPr>
          <w:ilvl w:val="0"/>
          <w:numId w:val="145"/>
        </w:numPr>
        <w:jc w:val="both"/>
        <w:rPr>
          <w:lang w:val="bg-BG" w:eastAsia="en-GB"/>
        </w:rPr>
      </w:pPr>
      <w:r w:rsidRPr="00AB1EDD">
        <w:rPr>
          <w:lang w:val="bg-BG" w:eastAsia="en-GB"/>
        </w:rPr>
        <w:t>Техническа помощ и оценка – „етикетиране“ (определяне на енергиен клас), организиране на обследване, технически паспорт, изготвяне на паспорт за сградно обновяване (BRP) или индивидуална пътна карта, съвместими с изискванията за МСЕХ и НЕС.</w:t>
      </w:r>
    </w:p>
    <w:p w14:paraId="52155199" w14:textId="77777777" w:rsidR="00494258" w:rsidRPr="00AB1EDD" w:rsidRDefault="00494258" w:rsidP="00551FED">
      <w:pPr>
        <w:pStyle w:val="ListParagraph"/>
        <w:numPr>
          <w:ilvl w:val="0"/>
          <w:numId w:val="145"/>
        </w:numPr>
        <w:jc w:val="both"/>
        <w:rPr>
          <w:lang w:val="bg-BG" w:eastAsia="en-GB"/>
        </w:rPr>
      </w:pPr>
      <w:r w:rsidRPr="00AB1EDD">
        <w:rPr>
          <w:lang w:val="bg-BG" w:eastAsia="en-GB"/>
        </w:rPr>
        <w:t xml:space="preserve">Финансово и административно посредничество – съдействие при кандидатстване за грантове, кредити и гаранции, прилагане на смесено финансиране и обяснение на условията на Националния фонд за </w:t>
      </w:r>
      <w:proofErr w:type="spellStart"/>
      <w:r w:rsidRPr="00AB1EDD">
        <w:rPr>
          <w:lang w:val="bg-BG" w:eastAsia="en-GB"/>
        </w:rPr>
        <w:t>декарбонизация</w:t>
      </w:r>
      <w:proofErr w:type="spellEnd"/>
      <w:r w:rsidRPr="00AB1EDD">
        <w:rPr>
          <w:lang w:val="bg-BG" w:eastAsia="en-GB"/>
        </w:rPr>
        <w:t xml:space="preserve"> и другите текущи програми.</w:t>
      </w:r>
    </w:p>
    <w:p w14:paraId="16E83240" w14:textId="77777777" w:rsidR="00494258" w:rsidRPr="00AB1EDD" w:rsidRDefault="00494258" w:rsidP="00551FED">
      <w:pPr>
        <w:pStyle w:val="ListParagraph"/>
        <w:numPr>
          <w:ilvl w:val="0"/>
          <w:numId w:val="145"/>
        </w:numPr>
        <w:jc w:val="both"/>
        <w:rPr>
          <w:lang w:val="bg-BG" w:eastAsia="en-GB"/>
        </w:rPr>
      </w:pPr>
      <w:r w:rsidRPr="00AB1EDD">
        <w:rPr>
          <w:lang w:val="bg-BG" w:eastAsia="en-GB"/>
        </w:rPr>
        <w:t>Проектен мениджмънт – помощ при подготовка на тръжна документация, избор на изпълнители и контрол на качеството по време на изпълнение.</w:t>
      </w:r>
    </w:p>
    <w:p w14:paraId="64DC88A8" w14:textId="77777777" w:rsidR="00494258" w:rsidRPr="00AB1EDD" w:rsidRDefault="00494258" w:rsidP="00551FED">
      <w:pPr>
        <w:pStyle w:val="ListParagraph"/>
        <w:numPr>
          <w:ilvl w:val="0"/>
          <w:numId w:val="145"/>
        </w:numPr>
        <w:jc w:val="both"/>
        <w:rPr>
          <w:lang w:val="bg-BG" w:eastAsia="en-GB"/>
        </w:rPr>
      </w:pPr>
      <w:r w:rsidRPr="00AB1EDD">
        <w:rPr>
          <w:lang w:val="bg-BG" w:eastAsia="en-GB"/>
        </w:rPr>
        <w:t>Формиране на общности от доверени изпълнители – поддържане на регистри на сертифицирани архитекти, проектанти, строителни фирми и доставчици, с които ЦКО работят съвместно.</w:t>
      </w:r>
    </w:p>
    <w:p w14:paraId="7B7372D7" w14:textId="77777777" w:rsidR="00494258" w:rsidRPr="00AB1EDD" w:rsidRDefault="00494258" w:rsidP="00551FED">
      <w:pPr>
        <w:pStyle w:val="ListParagraph"/>
        <w:numPr>
          <w:ilvl w:val="0"/>
          <w:numId w:val="145"/>
        </w:numPr>
        <w:jc w:val="both"/>
        <w:rPr>
          <w:lang w:val="bg-BG" w:eastAsia="en-GB"/>
        </w:rPr>
      </w:pPr>
      <w:r w:rsidRPr="00AB1EDD">
        <w:rPr>
          <w:lang w:val="bg-BG" w:eastAsia="en-GB"/>
        </w:rPr>
        <w:t>Подкрепа за уязвими и енергийно бедни домакинства – специализирана социална и техническа помощ, улесняваща достъпа до висок процент безвъзмездно финансиране.</w:t>
      </w:r>
    </w:p>
    <w:p w14:paraId="17098BD5" w14:textId="77777777" w:rsidR="00494258" w:rsidRPr="00AB1EDD" w:rsidRDefault="00494258" w:rsidP="00551FED">
      <w:pPr>
        <w:pStyle w:val="ListParagraph"/>
        <w:numPr>
          <w:ilvl w:val="0"/>
          <w:numId w:val="145"/>
        </w:numPr>
        <w:jc w:val="both"/>
        <w:rPr>
          <w:lang w:val="bg-BG" w:eastAsia="en-GB"/>
        </w:rPr>
      </w:pPr>
      <w:r w:rsidRPr="00AB1EDD">
        <w:rPr>
          <w:lang w:val="bg-BG" w:eastAsia="en-GB"/>
        </w:rPr>
        <w:t>Услуги за публични и стопански сгради – подготовка на общински програми, групирани проекти и схеми за ЕСКО и договори за енергийни услуги.</w:t>
      </w:r>
    </w:p>
    <w:p w14:paraId="6446293E" w14:textId="77777777" w:rsidR="00494258" w:rsidRPr="006F3533" w:rsidRDefault="00494258" w:rsidP="00EA1E95">
      <w:pPr>
        <w:jc w:val="both"/>
        <w:rPr>
          <w:lang w:val="bg-BG" w:eastAsia="en-GB"/>
        </w:rPr>
      </w:pPr>
      <w:r w:rsidRPr="006F3533">
        <w:rPr>
          <w:lang w:val="bg-BG" w:eastAsia="en-GB"/>
        </w:rPr>
        <w:t>По този начин ЦКО ще бъдат реални посредници, а не просто информационни пунктове, като ще предлагат пакети от услуги с добавена стойност – консултации, техническа документация, правна и финансова помощ, и контрол на изпълнението.</w:t>
      </w:r>
    </w:p>
    <w:p w14:paraId="72A91892" w14:textId="77777777" w:rsidR="00494258" w:rsidRPr="00EA1E95" w:rsidRDefault="00494258" w:rsidP="00EA1E95">
      <w:pPr>
        <w:jc w:val="both"/>
        <w:rPr>
          <w:b/>
          <w:bCs/>
          <w:lang w:val="bg-BG"/>
        </w:rPr>
      </w:pPr>
      <w:bookmarkStart w:id="276" w:name="_Toc216857833"/>
      <w:bookmarkStart w:id="277" w:name="_Toc216816113"/>
      <w:bookmarkStart w:id="278" w:name="_Toc217837209"/>
      <w:r w:rsidRPr="00EA1E95">
        <w:rPr>
          <w:b/>
          <w:bCs/>
          <w:lang w:val="bg-BG"/>
        </w:rPr>
        <w:t>Организационен модел и териториално покритие</w:t>
      </w:r>
      <w:bookmarkEnd w:id="276"/>
      <w:bookmarkEnd w:id="277"/>
      <w:bookmarkEnd w:id="278"/>
    </w:p>
    <w:p w14:paraId="5C208C34" w14:textId="77777777" w:rsidR="00494258" w:rsidRPr="006F3533" w:rsidRDefault="00494258" w:rsidP="00EA1E95">
      <w:pPr>
        <w:jc w:val="both"/>
        <w:rPr>
          <w:lang w:val="bg-BG" w:eastAsia="en-GB"/>
        </w:rPr>
      </w:pPr>
      <w:r w:rsidRPr="006F3533">
        <w:rPr>
          <w:lang w:val="bg-BG" w:eastAsia="en-GB"/>
        </w:rPr>
        <w:t>Мрежата от ЦКО ще бъде организирана на териториален принцип с цел изпълнение на изискването за едно ЦКО на приблизително 80 000 жители или еквивалентно регионално покритие. В градовете и районите с по-висока гъстота на населението това предполага наличие на повече от един център, докато в по-слабо населените територии се предвижда създаване на съвместни ЦКО структури, обслужващи няколко общини.</w:t>
      </w:r>
    </w:p>
    <w:p w14:paraId="67AF87C5" w14:textId="77777777" w:rsidR="00494258" w:rsidRPr="006F3533" w:rsidRDefault="00494258" w:rsidP="00EA1E95">
      <w:pPr>
        <w:jc w:val="both"/>
        <w:rPr>
          <w:lang w:val="bg-BG" w:eastAsia="en-GB"/>
        </w:rPr>
      </w:pPr>
      <w:r w:rsidRPr="006F3533">
        <w:rPr>
          <w:lang w:val="bg-BG" w:eastAsia="en-GB"/>
        </w:rPr>
        <w:t xml:space="preserve">С оглед на наличния към момента експертен капацитет и сравнително ниските темпове на обновителните процеси, постигането на пълния териториален обхват следва да се </w:t>
      </w:r>
      <w:r w:rsidRPr="006F3533">
        <w:rPr>
          <w:lang w:val="bg-BG" w:eastAsia="en-GB"/>
        </w:rPr>
        <w:lastRenderedPageBreak/>
        <w:t>реализира поетапно. В началната фаза се предвижда изграждане на по- ограничен брой ЦКО с по-широк регионален обхват, които да акумулират експертиза, да тестват и оптимизират моделите на обслужване и да стимулират търсенето на услуги.</w:t>
      </w:r>
    </w:p>
    <w:p w14:paraId="53F88B73" w14:textId="77777777" w:rsidR="00494258" w:rsidRPr="006F3533" w:rsidRDefault="00494258" w:rsidP="00EA1E95">
      <w:pPr>
        <w:jc w:val="both"/>
        <w:rPr>
          <w:lang w:val="bg-BG" w:eastAsia="en-GB"/>
        </w:rPr>
      </w:pPr>
      <w:r w:rsidRPr="006F3533">
        <w:rPr>
          <w:lang w:val="bg-BG" w:eastAsia="en-GB"/>
        </w:rPr>
        <w:t>В последващи фази, при нарастване на търсенето и развитието на пазара на услуги за енергийно обновяване, мрежата от ЦКО може да бъде разширявана чрез създаване на допълнителни центрове или чрез териториално разделяне на съществуващите структури. По този начин се постига баланс между ефективното използване на ресурсите и необходимостта да се осигури достатъчен избор за собствениците и реална конкуренция по отношение на количеството и качеството на предлаганите услуги.</w:t>
      </w:r>
    </w:p>
    <w:p w14:paraId="010A906D" w14:textId="77777777" w:rsidR="00494258" w:rsidRPr="006F3533" w:rsidRDefault="00494258" w:rsidP="00EA1E95">
      <w:pPr>
        <w:jc w:val="both"/>
        <w:rPr>
          <w:lang w:val="bg-BG" w:eastAsia="en-GB"/>
        </w:rPr>
      </w:pPr>
      <w:r w:rsidRPr="006F3533">
        <w:rPr>
          <w:lang w:val="bg-BG" w:eastAsia="en-GB"/>
        </w:rPr>
        <w:t>Териториалното покритие ще бъде реализирано чрез регионални центрове, които осигуряват физически прием и консултации, подкрепени от национална дигитална платформа за онлайн информация, калкулатори, симулатори и предварителни оценки. Тази комбинация гарантира както личен контакт, така и достъпност и прозрачност за потребителите.</w:t>
      </w:r>
    </w:p>
    <w:p w14:paraId="0D534A51" w14:textId="77777777" w:rsidR="00494258" w:rsidRPr="006F3533" w:rsidRDefault="00494258" w:rsidP="00EA1E95">
      <w:pPr>
        <w:jc w:val="both"/>
        <w:rPr>
          <w:lang w:val="bg-BG" w:eastAsia="en-GB"/>
        </w:rPr>
      </w:pPr>
      <w:r w:rsidRPr="006F3533">
        <w:rPr>
          <w:lang w:val="bg-BG" w:eastAsia="en-GB"/>
        </w:rPr>
        <w:t>Функциите на ЦКО включват не само обслужване на крайни ползватели, но и подпомагане на локални администрации и общини при подготовката и изпълнението на проекти за обществените сгради, включително чрез техническа координация, подготовка на тръжни процедури и съвместно привличане на ресурси.</w:t>
      </w:r>
    </w:p>
    <w:p w14:paraId="4F56B90D" w14:textId="77777777" w:rsidR="00494258" w:rsidRPr="00EA1E95" w:rsidRDefault="00494258" w:rsidP="00EA1E95">
      <w:pPr>
        <w:jc w:val="both"/>
        <w:rPr>
          <w:b/>
          <w:bCs/>
          <w:lang w:val="bg-BG"/>
        </w:rPr>
      </w:pPr>
      <w:bookmarkStart w:id="279" w:name="_Toc216816114"/>
      <w:bookmarkStart w:id="280" w:name="_Toc216857834"/>
      <w:bookmarkStart w:id="281" w:name="_Toc217837210"/>
      <w:r w:rsidRPr="00EA1E95">
        <w:rPr>
          <w:b/>
          <w:bCs/>
          <w:lang w:val="bg-BG"/>
        </w:rPr>
        <w:t>Капацитет, обучение и стандартизация</w:t>
      </w:r>
      <w:bookmarkEnd w:id="279"/>
      <w:bookmarkEnd w:id="280"/>
      <w:bookmarkEnd w:id="281"/>
    </w:p>
    <w:p w14:paraId="4D0612D5" w14:textId="77777777" w:rsidR="00494258" w:rsidRPr="006F3533" w:rsidRDefault="00494258" w:rsidP="00EA1E95">
      <w:pPr>
        <w:jc w:val="both"/>
        <w:rPr>
          <w:lang w:val="bg-BG" w:eastAsia="en-GB"/>
        </w:rPr>
      </w:pPr>
      <w:r w:rsidRPr="006F3533">
        <w:rPr>
          <w:lang w:val="bg-BG" w:eastAsia="en-GB"/>
        </w:rPr>
        <w:t>Служителите в ЦКО ще бъдат обучени по стандартизирани програми, които включват енергийно обследване, паспорти за сградно обновяване и EPC процедури, управление на проекти, правни изисквания и финансови аспекти на сградното обновяване. Обучителните програми ще бъдат одобрени от Агенцията за устойчиво енергийно развитие (АУЕР), като целта е да се изгради база от квалифицирани консултанти и посредници, способни да работят с технически, административни и финансови елементи на комплекса от схеми, описани в този план.</w:t>
      </w:r>
    </w:p>
    <w:p w14:paraId="7D0D5522" w14:textId="77777777" w:rsidR="00494258" w:rsidRPr="006F3533" w:rsidRDefault="00494258" w:rsidP="00EA1E95">
      <w:pPr>
        <w:jc w:val="both"/>
        <w:rPr>
          <w:lang w:val="bg-BG" w:eastAsia="en-GB"/>
        </w:rPr>
      </w:pPr>
      <w:r w:rsidRPr="006F3533">
        <w:rPr>
          <w:lang w:val="bg-BG" w:eastAsia="en-GB"/>
        </w:rPr>
        <w:t>В рамките на обучението се предвижда обмен на добри практики с други OSS модели в ЕС и адаптиране на европейски стандарти към българския контекст. Освен това, ЦКО ще сътрудничат с професионални организации и сектори (архитекти, инженери, строителни организации) за поддържане на регистър на доверени изпълнители и улесняване на свързаността между клиентите и пазара.</w:t>
      </w:r>
    </w:p>
    <w:p w14:paraId="0387FECE" w14:textId="77777777" w:rsidR="00494258" w:rsidRPr="00EA1E95" w:rsidRDefault="00494258" w:rsidP="00EA1E95">
      <w:pPr>
        <w:jc w:val="both"/>
        <w:rPr>
          <w:b/>
          <w:bCs/>
          <w:lang w:val="bg-BG"/>
        </w:rPr>
      </w:pPr>
      <w:bookmarkStart w:id="282" w:name="_Toc216816115"/>
      <w:bookmarkStart w:id="283" w:name="_Toc216857835"/>
      <w:bookmarkStart w:id="284" w:name="_Toc217837211"/>
      <w:r w:rsidRPr="00EA1E95">
        <w:rPr>
          <w:b/>
          <w:bCs/>
          <w:lang w:val="bg-BG"/>
        </w:rPr>
        <w:t>Методи за ангажиране и комуникация с потребителите</w:t>
      </w:r>
      <w:bookmarkEnd w:id="282"/>
      <w:bookmarkEnd w:id="283"/>
      <w:bookmarkEnd w:id="284"/>
    </w:p>
    <w:p w14:paraId="1346C548" w14:textId="3C21E533" w:rsidR="00494258" w:rsidRPr="006F3533" w:rsidRDefault="00494258" w:rsidP="00EA1E95">
      <w:pPr>
        <w:jc w:val="both"/>
        <w:rPr>
          <w:lang w:val="bg-BG" w:eastAsia="en-GB"/>
        </w:rPr>
      </w:pPr>
      <w:r w:rsidRPr="006F3533">
        <w:rPr>
          <w:lang w:val="bg-BG" w:eastAsia="en-GB"/>
        </w:rPr>
        <w:t xml:space="preserve">За да се гарантира, че Центровете за комплексно обслужване достигат до всички целеви групи, ще бъдат приложени активни комуникационни </w:t>
      </w:r>
      <w:r w:rsidR="00EA1E95">
        <w:rPr>
          <w:lang w:val="bg-BG" w:eastAsia="en-GB"/>
        </w:rPr>
        <w:t>подходи</w:t>
      </w:r>
      <w:r w:rsidRPr="006F3533">
        <w:rPr>
          <w:lang w:val="bg-BG" w:eastAsia="en-GB"/>
        </w:rPr>
        <w:t>:</w:t>
      </w:r>
    </w:p>
    <w:p w14:paraId="1D0B2796" w14:textId="77777777" w:rsidR="00494258" w:rsidRPr="00EA1E95" w:rsidRDefault="00494258" w:rsidP="00551FED">
      <w:pPr>
        <w:pStyle w:val="ListParagraph"/>
        <w:numPr>
          <w:ilvl w:val="0"/>
          <w:numId w:val="146"/>
        </w:numPr>
        <w:jc w:val="both"/>
        <w:rPr>
          <w:lang w:val="bg-BG" w:eastAsia="en-GB"/>
        </w:rPr>
      </w:pPr>
      <w:r w:rsidRPr="00EA1E95">
        <w:rPr>
          <w:lang w:val="bg-BG" w:eastAsia="en-GB"/>
        </w:rPr>
        <w:t>персонализирани покани към собственици на сгради, подлежащи на изискванията за МСЕХ, чрез националните EPC/BRP бази данни и дигиталния дневник на сградите;</w:t>
      </w:r>
    </w:p>
    <w:p w14:paraId="4FFA6375" w14:textId="77777777" w:rsidR="00494258" w:rsidRPr="00EA1E95" w:rsidRDefault="00494258" w:rsidP="00551FED">
      <w:pPr>
        <w:pStyle w:val="ListParagraph"/>
        <w:numPr>
          <w:ilvl w:val="0"/>
          <w:numId w:val="146"/>
        </w:numPr>
        <w:jc w:val="both"/>
        <w:rPr>
          <w:lang w:val="bg-BG" w:eastAsia="en-GB"/>
        </w:rPr>
      </w:pPr>
      <w:r w:rsidRPr="00EA1E95">
        <w:rPr>
          <w:lang w:val="bg-BG" w:eastAsia="en-GB"/>
        </w:rPr>
        <w:lastRenderedPageBreak/>
        <w:t>информационни кампании в медиите и цифрови платформи с примери и калкулатори за икономии, които мотивират собствениците да използват услугите на ЦКО;</w:t>
      </w:r>
    </w:p>
    <w:p w14:paraId="53C661A9" w14:textId="77777777" w:rsidR="00494258" w:rsidRPr="00EA1E95" w:rsidRDefault="00494258" w:rsidP="00551FED">
      <w:pPr>
        <w:pStyle w:val="ListParagraph"/>
        <w:numPr>
          <w:ilvl w:val="0"/>
          <w:numId w:val="146"/>
        </w:numPr>
        <w:jc w:val="both"/>
        <w:rPr>
          <w:lang w:val="bg-BG" w:eastAsia="en-GB"/>
        </w:rPr>
      </w:pPr>
      <w:r w:rsidRPr="00EA1E95">
        <w:rPr>
          <w:lang w:val="bg-BG" w:eastAsia="en-GB"/>
        </w:rPr>
        <w:t xml:space="preserve">сътрудничество с общини и социални служби, които да идентифицират уязвими домакинства и да ги насочват към специализирани услуги. </w:t>
      </w:r>
    </w:p>
    <w:p w14:paraId="7C9D6848" w14:textId="7B62B655" w:rsidR="00494258" w:rsidRPr="00EA1E95" w:rsidRDefault="00494258" w:rsidP="00551FED">
      <w:pPr>
        <w:pStyle w:val="ListParagraph"/>
        <w:numPr>
          <w:ilvl w:val="0"/>
          <w:numId w:val="146"/>
        </w:numPr>
        <w:jc w:val="both"/>
        <w:rPr>
          <w:lang w:val="bg-BG"/>
        </w:rPr>
      </w:pPr>
      <w:bookmarkStart w:id="285" w:name="_Toc216816116"/>
      <w:bookmarkStart w:id="286" w:name="_Toc216857836"/>
      <w:bookmarkStart w:id="287" w:name="_Toc217837212"/>
      <w:r w:rsidRPr="00EA1E95">
        <w:rPr>
          <w:lang w:val="bg-BG"/>
        </w:rPr>
        <w:t>Финансиране на ЦКО и връзка с НФД</w:t>
      </w:r>
      <w:bookmarkEnd w:id="285"/>
      <w:bookmarkEnd w:id="286"/>
      <w:bookmarkEnd w:id="287"/>
      <w:r w:rsidR="00EA1E95">
        <w:rPr>
          <w:lang w:val="bg-BG"/>
        </w:rPr>
        <w:t>.</w:t>
      </w:r>
    </w:p>
    <w:p w14:paraId="6498820A" w14:textId="3DB694D5" w:rsidR="00B572B1" w:rsidRPr="006F3533" w:rsidRDefault="00494258" w:rsidP="00EA1E95">
      <w:pPr>
        <w:jc w:val="both"/>
        <w:rPr>
          <w:i/>
          <w:iCs/>
          <w:color w:val="0070C0"/>
          <w:lang w:val="bg-BG"/>
        </w:rPr>
      </w:pPr>
      <w:r w:rsidRPr="006F3533">
        <w:rPr>
          <w:lang w:val="bg-BG"/>
        </w:rPr>
        <w:t xml:space="preserve">Основното финансиране на ЦКО следва да бъде чрез пазарно реализиране на комплексни услуги, подпомагащи сградното обновяване и заплатени от собствениците на сградите. В допълнение, Националният фонд за </w:t>
      </w:r>
      <w:proofErr w:type="spellStart"/>
      <w:r w:rsidRPr="006F3533">
        <w:rPr>
          <w:lang w:val="bg-BG"/>
        </w:rPr>
        <w:t>декарбонизация</w:t>
      </w:r>
      <w:proofErr w:type="spellEnd"/>
      <w:r w:rsidRPr="006F3533">
        <w:rPr>
          <w:lang w:val="bg-BG"/>
        </w:rPr>
        <w:t xml:space="preserve"> (НФД) ще финансира програмни дейности на ЦКО, които подпомагат подготовката и реализирането на проекти, за които фондът осигурява подкрепа (подготовка на паспорти за сградно обновяване, техническа помощ, кандидатстване за финансиране и т.н.). Финансовите ресурси за дейности на ЦКО ще бъдат включени в плана за инвестиции и управленски разходи, съобразени с раздел (d) на НПС. Този модел осигурява публично финансиране на оперативни услуги, без НФД да изпълнява административни функции, като същевременно повишава капацитета на регионалните и местни структури за техническа и административна поддръжка.</w:t>
      </w:r>
    </w:p>
    <w:p w14:paraId="4D769FEF" w14:textId="6D73A0F6" w:rsidR="00B572B1" w:rsidRPr="006F3533" w:rsidRDefault="00B572B1" w:rsidP="00077D42">
      <w:pPr>
        <w:pStyle w:val="Heading2"/>
        <w:jc w:val="both"/>
        <w:rPr>
          <w:lang w:val="bg-BG" w:eastAsia="bg-BG"/>
        </w:rPr>
      </w:pPr>
      <w:bookmarkStart w:id="288" w:name="_Toc217888847"/>
      <w:bookmarkStart w:id="289" w:name="_Hlk198659399"/>
      <w:r w:rsidRPr="006F3533">
        <w:rPr>
          <w:lang w:val="bg-BG" w:eastAsia="bg-BG"/>
        </w:rPr>
        <w:t xml:space="preserve">f) </w:t>
      </w:r>
      <w:proofErr w:type="spellStart"/>
      <w:r w:rsidRPr="006F3533">
        <w:rPr>
          <w:lang w:val="bg-BG" w:eastAsia="bg-BG"/>
        </w:rPr>
        <w:t>Декарбонизация</w:t>
      </w:r>
      <w:proofErr w:type="spellEnd"/>
      <w:r w:rsidRPr="006F3533">
        <w:rPr>
          <w:lang w:val="bg-BG" w:eastAsia="bg-BG"/>
        </w:rPr>
        <w:t xml:space="preserve"> на отоплението и охлаждането, включително чрез централ</w:t>
      </w:r>
      <w:r w:rsidR="003D5BB9" w:rsidRPr="006F3533">
        <w:rPr>
          <w:lang w:val="bg-BG" w:eastAsia="bg-BG"/>
        </w:rPr>
        <w:t>изирани</w:t>
      </w:r>
      <w:r w:rsidRPr="006F3533">
        <w:rPr>
          <w:lang w:val="bg-BG" w:eastAsia="bg-BG"/>
        </w:rPr>
        <w:t xml:space="preserve"> системи за </w:t>
      </w:r>
      <w:r w:rsidR="003D5BB9" w:rsidRPr="006F3533">
        <w:rPr>
          <w:lang w:val="bg-BG" w:eastAsia="bg-BG"/>
        </w:rPr>
        <w:t>отопление</w:t>
      </w:r>
      <w:r w:rsidRPr="006F3533">
        <w:rPr>
          <w:lang w:val="bg-BG" w:eastAsia="bg-BG"/>
        </w:rPr>
        <w:t xml:space="preserve"> и охлаждане, и поетапно извеждане от употреба на изкопаемите горива до пълна замяна на котлите на изкопаеми горива до 2040 г.</w:t>
      </w:r>
      <w:bookmarkEnd w:id="288"/>
    </w:p>
    <w:p w14:paraId="752DBFF0" w14:textId="77777777" w:rsidR="003D5BB9" w:rsidRPr="006F3533" w:rsidRDefault="003D5BB9" w:rsidP="00077D42">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Цели и обхват</w:t>
      </w:r>
    </w:p>
    <w:p w14:paraId="77294B1A" w14:textId="63CE3468"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Националната политика за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xml:space="preserve"> на отоплението и охлаждането има за цел да постигне постепенно, предвидимо и необратимо преминаване към нисковъглеродни и климатично неутрални високотехнологични системи, основани на възобновяеми енергийни източници, отпадна топлина, електрификация и високоефективни преходни технологии, осигуряващи енергийна сигурност, гъвкавост на системите и устойчивост спрямо ценови и геополитически рискове. Тя обхваща както решения за индивидуално отопление и охлаждане в жилищни и нежилищни сгради, така и централизирани системи за отопление и охлаждане. Основните стратегически ориентири са:</w:t>
      </w:r>
    </w:p>
    <w:p w14:paraId="06331A76" w14:textId="77777777" w:rsidR="003D5BB9" w:rsidRPr="006F3533" w:rsidRDefault="003D5BB9">
      <w:pPr>
        <w:numPr>
          <w:ilvl w:val="0"/>
          <w:numId w:val="34"/>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Пълното извеждане от експлоатация на котлите на изкопаеми горива до 2040 г., в съответствие с изискванията на член 13, параграф 7 и приложение II на Директива (ЕС) 2024/1275 относно енергийните характеристики на сградите (ДЕХС);</w:t>
      </w:r>
    </w:p>
    <w:p w14:paraId="718AD7A3" w14:textId="3F9EDBA3" w:rsidR="003D5BB9" w:rsidRPr="006F3533" w:rsidRDefault="003D5BB9">
      <w:pPr>
        <w:numPr>
          <w:ilvl w:val="0"/>
          <w:numId w:val="34"/>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Трансформация на централизираните системи за отопление и охлаждане в ефективни, нискотемпературни и гъвкави енергийни системи, достигащи 100% дял възобновяема енергия и отпадна топлина до 2050 г., в съотве</w:t>
      </w:r>
      <w:r w:rsidR="00D8379B" w:rsidRPr="006F3533">
        <w:rPr>
          <w:rFonts w:eastAsia="Times New Roman" w:cs="Times New Roman"/>
          <w:szCs w:val="24"/>
          <w:lang w:val="bg-BG" w:eastAsia="bg-BG"/>
        </w:rPr>
        <w:t>т</w:t>
      </w:r>
      <w:r w:rsidRPr="006F3533">
        <w:rPr>
          <w:rFonts w:eastAsia="Times New Roman" w:cs="Times New Roman"/>
          <w:szCs w:val="24"/>
          <w:lang w:val="bg-BG" w:eastAsia="bg-BG"/>
        </w:rPr>
        <w:t>ствие с член 26, параграф 1 от Директива (ЕС) 2023/1791 за енергийна ефективност (ДЕЕ).</w:t>
      </w:r>
    </w:p>
    <w:p w14:paraId="79A179E1" w14:textId="39B5F3F6" w:rsidR="0087670F" w:rsidRPr="006F3533" w:rsidRDefault="0087670F" w:rsidP="0087670F">
      <w:pPr>
        <w:pStyle w:val="ListParagraph"/>
        <w:numPr>
          <w:ilvl w:val="0"/>
          <w:numId w:val="34"/>
        </w:numPr>
        <w:rPr>
          <w:rFonts w:eastAsia="Times New Roman" w:cs="Times New Roman"/>
          <w:szCs w:val="24"/>
          <w:lang w:val="bg-BG" w:eastAsia="bg-BG"/>
        </w:rPr>
      </w:pPr>
      <w:r w:rsidRPr="006F3533">
        <w:rPr>
          <w:rFonts w:eastAsia="Times New Roman" w:cs="Times New Roman"/>
          <w:szCs w:val="24"/>
          <w:lang w:val="bg-BG" w:eastAsia="bg-BG"/>
        </w:rPr>
        <w:t xml:space="preserve">Въвеждане на изискване при енергийно обновяване на съществуващи многофамилни жилищни сгради, в които са налични системи за централно отопление и/или битова гореща вода, те задължително да бъдат обект на </w:t>
      </w:r>
      <w:r w:rsidRPr="006F3533">
        <w:rPr>
          <w:rFonts w:eastAsia="Times New Roman" w:cs="Times New Roman"/>
          <w:szCs w:val="24"/>
          <w:lang w:val="bg-BG" w:eastAsia="bg-BG"/>
        </w:rPr>
        <w:lastRenderedPageBreak/>
        <w:t xml:space="preserve">интервенция, включително чрез изнасяне на вертикалните щрангове в общите части, трансформация на вертикалните в хоризонтални </w:t>
      </w:r>
      <w:proofErr w:type="spellStart"/>
      <w:r w:rsidRPr="006F3533">
        <w:rPr>
          <w:rFonts w:eastAsia="Times New Roman" w:cs="Times New Roman"/>
          <w:szCs w:val="24"/>
          <w:lang w:val="bg-BG" w:eastAsia="bg-BG"/>
        </w:rPr>
        <w:t>разводки</w:t>
      </w:r>
      <w:proofErr w:type="spellEnd"/>
      <w:r w:rsidRPr="006F3533">
        <w:rPr>
          <w:rFonts w:eastAsia="Times New Roman" w:cs="Times New Roman"/>
          <w:szCs w:val="24"/>
          <w:lang w:val="bg-BG" w:eastAsia="bg-BG"/>
        </w:rPr>
        <w:t>, подмяна и топлоизолация на инсталациите в общите части, с цел намаляване на техническите загуби, повишаване на енергийната ефективност и осигуряване на условия за индивидуално отчитане и интеграция на възобновяеми енергийни източници на ниво сграда.</w:t>
      </w:r>
    </w:p>
    <w:p w14:paraId="767F7FF3" w14:textId="77777777"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proofErr w:type="spellStart"/>
      <w:r w:rsidRPr="006F3533">
        <w:rPr>
          <w:rFonts w:eastAsia="Times New Roman" w:cs="Times New Roman"/>
          <w:szCs w:val="24"/>
          <w:lang w:val="bg-BG" w:eastAsia="bg-BG"/>
        </w:rPr>
        <w:t>Декарбонизацията</w:t>
      </w:r>
      <w:proofErr w:type="spellEnd"/>
      <w:r w:rsidRPr="006F3533">
        <w:rPr>
          <w:rFonts w:eastAsia="Times New Roman" w:cs="Times New Roman"/>
          <w:szCs w:val="24"/>
          <w:lang w:val="bg-BG" w:eastAsia="bg-BG"/>
        </w:rPr>
        <w:t xml:space="preserve"> на отоплението и охлаждането е тясно свързана с изискванията на Директивата за енергийната ефективност (членове 25 и 26) относно националните и местни планове за отопление и охлаждане, както и с Директивата за насърчаване на използването на енергия от възобновяеми източници (членове 23 и 24), която определя целите за нарастване на дела на възобновяемите енергийни източници в сектора. Настоящата рамка гарантира съгласуваност между трите директиви и осигурява цялостен подход към трансформацията на топлинната енергетика в страната.</w:t>
      </w:r>
    </w:p>
    <w:p w14:paraId="145C714F" w14:textId="77777777" w:rsidR="003D5BB9" w:rsidRPr="006F3533" w:rsidRDefault="003D5BB9" w:rsidP="00077D42">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Законодателна и институционална рамка</w:t>
      </w:r>
    </w:p>
    <w:p w14:paraId="3973AA0F" w14:textId="77777777"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Координацията на политиките за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xml:space="preserve"> на отоплението и охлаждането се осъществява чрез ясно разпределени отговорности и координирани действия между Министерството на енергетиката (МЕ), Министерството на регионалното развитие и благоустройството (МРРБ) и Агенцията за устойчиво енергийно развитие (АУЕР). МЕ отговаря за стратегическото планиране, определянето на дългосрочните цели и интеграцията на мерките в общата енергийна политика, МРРБ – за разработването и прилагането на нормативната уредба, устройственото планиране и изискванията към сградните системи, а АУЕР – за събирането, обработката и анализа на данни, методическата подкрепа, сертифицирането и наблюдението на напредъка по изпълнението на политиките.</w:t>
      </w:r>
    </w:p>
    <w:p w14:paraId="254FCA6E" w14:textId="77777777"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Националната рамка се допълва от местни планове за отопление и охлаждане, които общините с население над 45 000 жители ще разработват в съответствие с член 25, параграф 6 от ДЕЕ. Тези планове ще идентифицират икономически и технически обоснования потенциал за използване на възобновяема енергия и отпадна топлина, възможностите за внедряване на краткосрочни и сезонни топлинни/</w:t>
      </w:r>
      <w:proofErr w:type="spellStart"/>
      <w:r w:rsidRPr="006F3533">
        <w:rPr>
          <w:rFonts w:eastAsia="Times New Roman" w:cs="Times New Roman"/>
          <w:szCs w:val="24"/>
          <w:lang w:val="bg-BG" w:eastAsia="bg-BG"/>
        </w:rPr>
        <w:t>студови</w:t>
      </w:r>
      <w:proofErr w:type="spellEnd"/>
      <w:r w:rsidRPr="006F3533">
        <w:rPr>
          <w:rFonts w:eastAsia="Times New Roman" w:cs="Times New Roman"/>
          <w:szCs w:val="24"/>
          <w:lang w:val="bg-BG" w:eastAsia="bg-BG"/>
        </w:rPr>
        <w:t xml:space="preserve"> акумулатори, както и вариантите за развитие и разширяване на централизираните системи, електрификацията на индивидуалното отопление и преминаването към нискотемпературни решения.</w:t>
      </w:r>
    </w:p>
    <w:p w14:paraId="0115B4A8" w14:textId="77777777"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 цел осигуряване на дългосрочна съгласуваност и последователност на политиките ще бъде създаден постоянен междуведомствен координационен механизъм, включващ МЕ, МРРБ, АУЕР и Националното сдружение на общините в България (НСОРБ). Този механизъм ще подпомага хармонизирането на законодателните инициативи, инвестиционните програми и местните планове, както и обмена на добри практики и натрупан опит, включително от други държави членки с развити системи за централно отопление и охлаждане.</w:t>
      </w:r>
    </w:p>
    <w:p w14:paraId="38C04A94" w14:textId="77777777" w:rsidR="003D5BB9" w:rsidRPr="006F3533" w:rsidRDefault="003D5BB9" w:rsidP="00077D42">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Непосредствени промени в подзаконовата нормативна рамка през 2026 г.</w:t>
      </w:r>
    </w:p>
    <w:p w14:paraId="43F9D66D" w14:textId="77777777" w:rsidR="003D5BB9" w:rsidRPr="006F3533" w:rsidRDefault="003D5BB9" w:rsidP="00551FED">
      <w:pPr>
        <w:numPr>
          <w:ilvl w:val="0"/>
          <w:numId w:val="3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 xml:space="preserve">Въвеждане на изискване за изграждане на обща вътрешна инсталация за отопление и охлаждане за всички нови многофамилни жилищни сгради, с цел осигуряване на съвместимост с нискотемпературни системи, централно отопление и бъдеща електрификация (на следващ етап изискването ще обхване и съществуващите многофамилни сгради при тяхното енергийно обновяване); </w:t>
      </w:r>
    </w:p>
    <w:p w14:paraId="62A3DD8D" w14:textId="77777777" w:rsidR="003D5BB9" w:rsidRPr="006F3533" w:rsidRDefault="003D5BB9" w:rsidP="00551FED">
      <w:pPr>
        <w:numPr>
          <w:ilvl w:val="0"/>
          <w:numId w:val="3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Ясно регламентиране на условията за използване на подземни води за отопление и охлаждане с цел стимулиране на използването на геотермална енергия и избягване на дискриминационни такси;</w:t>
      </w:r>
    </w:p>
    <w:p w14:paraId="43774EC7" w14:textId="77777777" w:rsidR="003D5BB9" w:rsidRPr="006F3533" w:rsidRDefault="003D5BB9" w:rsidP="00551FED">
      <w:pPr>
        <w:numPr>
          <w:ilvl w:val="0"/>
          <w:numId w:val="3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Задължение към топлофикационните дружества за разработване и периодично актуализиране на петгодишни планове за поетапно увеличаване дела на възобновяемите енергийни източници и отпадната топлина при производството на топлинна енергия. </w:t>
      </w:r>
    </w:p>
    <w:p w14:paraId="5315F8FD" w14:textId="77777777" w:rsidR="003D5BB9" w:rsidRPr="006F3533" w:rsidRDefault="003D5BB9" w:rsidP="00077D42">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План за поетапно извеждане от употреба на котлите на изкопаеми горива</w:t>
      </w:r>
    </w:p>
    <w:p w14:paraId="0CFDF3CE" w14:textId="77777777"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Националният план за поетапно извеждане от употреба на котлите на изкопаеми горива до 2040 г. ще се реализира чрез комбиниран подход от регулаторни, финансови и технически мерки, насочени към ускорена подмяна на съществуващите системи и предотвратяване на нови инвестиции във фосилни технологии. Основните етапи включват:</w:t>
      </w:r>
    </w:p>
    <w:p w14:paraId="057EDCEA" w14:textId="77777777" w:rsidR="003D5BB9" w:rsidRPr="006F3533" w:rsidRDefault="003D5BB9" w:rsidP="00551FED">
      <w:pPr>
        <w:numPr>
          <w:ilvl w:val="0"/>
          <w:numId w:val="3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До 2025 г. – прекратяване на всички публични програми и финансови стимули за закупуване и монтаж на индивидуални котли, работещи на изкопаеми горива, в съответствие с член 17, параграф 15 от ДЕХС.</w:t>
      </w:r>
    </w:p>
    <w:p w14:paraId="6EED9D86" w14:textId="77777777" w:rsidR="003D5BB9" w:rsidRPr="006F3533" w:rsidRDefault="003D5BB9" w:rsidP="00551FED">
      <w:pPr>
        <w:numPr>
          <w:ilvl w:val="0"/>
          <w:numId w:val="3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До 2028 г. – забрана за монтирането на нови котли, използващи въглища (лигнитни, кафяви, каменни, антрацит), кокс и други брикетирани твърди изкопаеми горива, с акцент върху опазването на качеството на въздуха и здравето на населението.</w:t>
      </w:r>
    </w:p>
    <w:p w14:paraId="2CC11771" w14:textId="77777777" w:rsidR="003D5BB9" w:rsidRPr="006F3533" w:rsidRDefault="003D5BB9" w:rsidP="00551FED">
      <w:pPr>
        <w:numPr>
          <w:ilvl w:val="0"/>
          <w:numId w:val="3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До 2032 г. – ограничаване на инсталирането на газови котли в зони, където е технически и икономически възможно използването на термопомпи или присъединяване към ефективна система за централно отопление, като се осигурява адекватна инфраструктура и подкрепа за прехода.</w:t>
      </w:r>
    </w:p>
    <w:p w14:paraId="06AD03F9" w14:textId="77777777" w:rsidR="003D5BB9" w:rsidRPr="006F3533" w:rsidRDefault="003D5BB9" w:rsidP="00551FED">
      <w:pPr>
        <w:numPr>
          <w:ilvl w:val="0"/>
          <w:numId w:val="3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До 2035 г. – въвеждане на задължителен минимален дял на от 50% възобновяема енергия при всяка подмяна на отоплителни източници в сградния сектор, което да стимулира инвестициите в термопомпи, термични соларни системи и използване на отпадна топлина.</w:t>
      </w:r>
    </w:p>
    <w:p w14:paraId="367E2A98" w14:textId="77777777" w:rsidR="003D5BB9" w:rsidRPr="006F3533" w:rsidRDefault="003D5BB9" w:rsidP="00551FED">
      <w:pPr>
        <w:numPr>
          <w:ilvl w:val="0"/>
          <w:numId w:val="35"/>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До 2040 г. – пълно извеждане от употреба на индивидуалните и централни котли, работещи на изкопаеми горива, и тяхната замяна с високоефективни, нисковъглеродни технологии като термопомпи, термични соларни системи, системи за оползотворяване на отпадна топлина или присъединяване към ефективни системи за централизирано отопление.</w:t>
      </w:r>
    </w:p>
    <w:p w14:paraId="2134D978" w14:textId="77777777" w:rsidR="003D5BB9" w:rsidRPr="006F3533" w:rsidRDefault="003D5BB9" w:rsidP="00077D42">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Развитие на централизираните системи за отопление и охлаждане</w:t>
      </w:r>
    </w:p>
    <w:p w14:paraId="038798AE" w14:textId="77777777"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Централните системи за топлоснабдяване имат ключова роля за </w:t>
      </w:r>
      <w:proofErr w:type="spellStart"/>
      <w:r w:rsidRPr="006F3533">
        <w:rPr>
          <w:rFonts w:eastAsia="Times New Roman" w:cs="Times New Roman"/>
          <w:szCs w:val="24"/>
          <w:lang w:val="bg-BG" w:eastAsia="bg-BG"/>
        </w:rPr>
        <w:t>декарбонизацията</w:t>
      </w:r>
      <w:proofErr w:type="spellEnd"/>
      <w:r w:rsidRPr="006F3533">
        <w:rPr>
          <w:rFonts w:eastAsia="Times New Roman" w:cs="Times New Roman"/>
          <w:szCs w:val="24"/>
          <w:lang w:val="bg-BG" w:eastAsia="bg-BG"/>
        </w:rPr>
        <w:t xml:space="preserve"> на градската енергия. България предвижда до 2050 г. постепенното им превръщане в “ефективни системи за централно отопление и охлаждане” по смисъла на член 26 от ДЕЕ, </w:t>
      </w:r>
      <w:r w:rsidRPr="006F3533">
        <w:rPr>
          <w:rFonts w:eastAsia="Times New Roman" w:cs="Times New Roman"/>
          <w:szCs w:val="24"/>
          <w:lang w:val="bg-BG" w:eastAsia="bg-BG"/>
        </w:rPr>
        <w:lastRenderedPageBreak/>
        <w:t>чрез увеличаване на дела на възобновяемите енергийни източници и отпадната топлина в системите за централизирано отопление и охлаждане, както следва:</w:t>
      </w:r>
    </w:p>
    <w:p w14:paraId="03F8F4A6" w14:textId="77777777" w:rsidR="003D5BB9" w:rsidRPr="006F3533" w:rsidRDefault="003D5BB9" w:rsidP="00551FED">
      <w:pPr>
        <w:numPr>
          <w:ilvl w:val="0"/>
          <w:numId w:val="3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минимум 5% от 01.01.2028 г.,</w:t>
      </w:r>
    </w:p>
    <w:p w14:paraId="00CE48F1" w14:textId="77777777" w:rsidR="003D5BB9" w:rsidRPr="006F3533" w:rsidRDefault="003D5BB9" w:rsidP="00551FED">
      <w:pPr>
        <w:numPr>
          <w:ilvl w:val="0"/>
          <w:numId w:val="3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минимум 35% от 01.01.2035 г.,</w:t>
      </w:r>
    </w:p>
    <w:p w14:paraId="04D107B7" w14:textId="77777777" w:rsidR="003D5BB9" w:rsidRPr="006F3533" w:rsidRDefault="003D5BB9" w:rsidP="00551FED">
      <w:pPr>
        <w:numPr>
          <w:ilvl w:val="0"/>
          <w:numId w:val="3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минимум 75% от 01.01.2045 г., </w:t>
      </w:r>
    </w:p>
    <w:p w14:paraId="6221B9DE" w14:textId="77777777" w:rsidR="003D5BB9" w:rsidRPr="006F3533" w:rsidRDefault="003D5BB9" w:rsidP="00551FED">
      <w:pPr>
        <w:numPr>
          <w:ilvl w:val="0"/>
          <w:numId w:val="3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100% от 01.01.2050 г.</w:t>
      </w:r>
    </w:p>
    <w:p w14:paraId="42E45C70" w14:textId="32C1C513"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Постигането на горните цели ще се гарантира чрез поощряване на следните мерки: </w:t>
      </w:r>
    </w:p>
    <w:p w14:paraId="4DBB06A9" w14:textId="77777777" w:rsidR="003D5BB9" w:rsidRPr="006F3533" w:rsidRDefault="003D5BB9" w:rsidP="00551FED">
      <w:pPr>
        <w:numPr>
          <w:ilvl w:val="0"/>
          <w:numId w:val="3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намаляване на температурата на топлоносителя и загубите в мрежите;</w:t>
      </w:r>
    </w:p>
    <w:p w14:paraId="1AFB504C" w14:textId="3F27FBE6" w:rsidR="003D5BB9" w:rsidRPr="006F3533" w:rsidRDefault="003D5BB9" w:rsidP="00551FED">
      <w:pPr>
        <w:numPr>
          <w:ilvl w:val="0"/>
          <w:numId w:val="3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интеграция на високоефективни </w:t>
      </w:r>
      <w:proofErr w:type="spellStart"/>
      <w:r w:rsidRPr="006F3533">
        <w:rPr>
          <w:rFonts w:eastAsia="Times New Roman" w:cs="Times New Roman"/>
          <w:szCs w:val="24"/>
          <w:lang w:val="bg-BG" w:eastAsia="bg-BG"/>
        </w:rPr>
        <w:t>термопомпени</w:t>
      </w:r>
      <w:proofErr w:type="spellEnd"/>
      <w:r w:rsidRPr="006F3533">
        <w:rPr>
          <w:rFonts w:eastAsia="Times New Roman" w:cs="Times New Roman"/>
          <w:szCs w:val="24"/>
          <w:lang w:val="bg-BG" w:eastAsia="bg-BG"/>
        </w:rPr>
        <w:t xml:space="preserve"> инсталации използващи отпадна топлина и/или гео</w:t>
      </w:r>
      <w:r w:rsidR="001F3912" w:rsidRPr="006F3533">
        <w:rPr>
          <w:rFonts w:eastAsia="Times New Roman" w:cs="Times New Roman"/>
          <w:szCs w:val="24"/>
          <w:lang w:val="bg-BG" w:eastAsia="bg-BG"/>
        </w:rPr>
        <w:t>т</w:t>
      </w:r>
      <w:r w:rsidRPr="006F3533">
        <w:rPr>
          <w:rFonts w:eastAsia="Times New Roman" w:cs="Times New Roman"/>
          <w:szCs w:val="24"/>
          <w:lang w:val="bg-BG" w:eastAsia="bg-BG"/>
        </w:rPr>
        <w:t>ермална енергия, термично соларни инсталации и системи за оползотворяване на отпадна топлина;</w:t>
      </w:r>
    </w:p>
    <w:p w14:paraId="3644315A" w14:textId="7BF76C89" w:rsidR="003D5BB9" w:rsidRPr="006F3533" w:rsidRDefault="003D5BB9" w:rsidP="00551FED">
      <w:pPr>
        <w:numPr>
          <w:ilvl w:val="0"/>
          <w:numId w:val="3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въвеждане на вис</w:t>
      </w:r>
      <w:r w:rsidR="001F3912" w:rsidRPr="006F3533">
        <w:rPr>
          <w:rFonts w:eastAsia="Times New Roman" w:cs="Times New Roman"/>
          <w:szCs w:val="24"/>
          <w:lang w:val="bg-BG" w:eastAsia="bg-BG"/>
        </w:rPr>
        <w:t>о</w:t>
      </w:r>
      <w:r w:rsidRPr="006F3533">
        <w:rPr>
          <w:rFonts w:eastAsia="Times New Roman" w:cs="Times New Roman"/>
          <w:szCs w:val="24"/>
          <w:lang w:val="bg-BG" w:eastAsia="bg-BG"/>
        </w:rPr>
        <w:t xml:space="preserve">коефективни газотурбинни инсталации с </w:t>
      </w:r>
      <w:proofErr w:type="spellStart"/>
      <w:r w:rsidRPr="006F3533">
        <w:rPr>
          <w:rFonts w:eastAsia="Times New Roman" w:cs="Times New Roman"/>
          <w:szCs w:val="24"/>
          <w:lang w:val="bg-BG" w:eastAsia="bg-BG"/>
        </w:rPr>
        <w:t>паро</w:t>
      </w:r>
      <w:proofErr w:type="spellEnd"/>
      <w:r w:rsidRPr="006F3533">
        <w:rPr>
          <w:rFonts w:eastAsia="Times New Roman" w:cs="Times New Roman"/>
          <w:szCs w:val="24"/>
          <w:lang w:val="bg-BG" w:eastAsia="bg-BG"/>
        </w:rPr>
        <w:t xml:space="preserve">-газов цикъл (CCGT) като преходна мярка, с приоритетно използване на биогаз, произведен от отпадъци от селското стопанство и животновъдството и ясно дефинирани срокове за поетапно извеждане на природния газ като гориво; </w:t>
      </w:r>
    </w:p>
    <w:p w14:paraId="712616F2" w14:textId="77777777" w:rsidR="003D5BB9" w:rsidRPr="006F3533" w:rsidRDefault="003D5BB9" w:rsidP="00551FED">
      <w:pPr>
        <w:numPr>
          <w:ilvl w:val="0"/>
          <w:numId w:val="36"/>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прилагане на цифрово управление и интелигентни системи за балансиране на натоварването и оптимизация на мрежите, включително внедряване на сензорни мрежи, системи за управление в реално време, прогнозни алгоритми и дигитални двойници на мрежите.</w:t>
      </w:r>
    </w:p>
    <w:p w14:paraId="5D4B262B" w14:textId="131F91E4"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Операторите на съществуващите топлофикационни дружества ще бъдат задължени да разработват петгодишни планове за модернизация и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xml:space="preserve">, които ще бъдат одобрявани от АУЕР и общинските власти. В плановете трябва ясно да се демонстрира как ще се постигат националните цели за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xml:space="preserve"> на отоплението и охлаждането, чрез прилагането на описаните по-горе мерки. Също така, следва да бъдат насърчавани пилотни проекти, които да демонстрират възможностите за внедряване на иновативни решения с ниски емисии и повишена ефективност, включително оползотворяване на биомаса, отпадна топлина и възобновяеми газове.</w:t>
      </w:r>
    </w:p>
    <w:p w14:paraId="27041AF6" w14:textId="77777777" w:rsidR="003D5BB9" w:rsidRPr="006F3533" w:rsidRDefault="003D5BB9" w:rsidP="00077D42">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Финансова и социална подкрепа</w:t>
      </w:r>
    </w:p>
    <w:p w14:paraId="638B12F3" w14:textId="77777777"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Прилагането на мерките за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xml:space="preserve"> ще бъде подкрепено от целенасочени финансови инструменти:</w:t>
      </w:r>
    </w:p>
    <w:p w14:paraId="6962EE55" w14:textId="77777777" w:rsidR="003D5BB9" w:rsidRPr="006F3533" w:rsidRDefault="003D5BB9" w:rsidP="00551FED">
      <w:pPr>
        <w:numPr>
          <w:ilvl w:val="0"/>
          <w:numId w:val="37"/>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Грантове и нисколихвени кредити за замяна на котли с термопомпи и ВЕИ системи, както и за присъединяване към централизирани мрежи.</w:t>
      </w:r>
    </w:p>
    <w:p w14:paraId="135E2EF7" w14:textId="77777777" w:rsidR="003D5BB9" w:rsidRPr="006F3533" w:rsidRDefault="003D5BB9" w:rsidP="00551FED">
      <w:pPr>
        <w:numPr>
          <w:ilvl w:val="0"/>
          <w:numId w:val="37"/>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Схеми за енергийно бедни домакинства, включващи стандартни пакети от мерки (термопомпа, изолация, слънчев бойлер), с висока интензивност на безвъзмездното финансиране.</w:t>
      </w:r>
    </w:p>
    <w:p w14:paraId="1F3C656A" w14:textId="77777777" w:rsidR="003D5BB9" w:rsidRPr="006F3533" w:rsidRDefault="003D5BB9" w:rsidP="00551FED">
      <w:pPr>
        <w:numPr>
          <w:ilvl w:val="0"/>
          <w:numId w:val="37"/>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Данъчни облекчения и премии за сгради, преминали към възобновяемо отопление или присъединили се към ефективна система.</w:t>
      </w:r>
    </w:p>
    <w:p w14:paraId="6B0B6960" w14:textId="3EB9AB81" w:rsidR="003D5BB9" w:rsidRPr="006F3533" w:rsidRDefault="003D5BB9" w:rsidP="00551FED">
      <w:pPr>
        <w:numPr>
          <w:ilvl w:val="0"/>
          <w:numId w:val="37"/>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Подкрепа за общините и топлофикационните дружества за модернизация на мрежите</w:t>
      </w:r>
      <w:r w:rsidR="0087670F" w:rsidRPr="006F3533">
        <w:rPr>
          <w:rFonts w:eastAsia="Times New Roman" w:cs="Times New Roman"/>
          <w:szCs w:val="24"/>
          <w:lang w:val="bg-BG" w:eastAsia="bg-BG"/>
        </w:rPr>
        <w:t>, на вътрешните сградни инсталации</w:t>
      </w:r>
      <w:r w:rsidR="007939F6" w:rsidRPr="006F3533">
        <w:rPr>
          <w:rFonts w:eastAsia="Times New Roman" w:cs="Times New Roman"/>
          <w:szCs w:val="24"/>
          <w:lang w:val="bg-BG" w:eastAsia="bg-BG"/>
        </w:rPr>
        <w:t xml:space="preserve"> (</w:t>
      </w:r>
      <w:r w:rsidR="0087670F" w:rsidRPr="006F3533">
        <w:rPr>
          <w:rFonts w:eastAsia="Times New Roman" w:cs="Times New Roman"/>
          <w:szCs w:val="24"/>
          <w:lang w:val="bg-BG" w:eastAsia="bg-BG"/>
        </w:rPr>
        <w:t>включително чрез трансформация от вертикални в хоризонтални</w:t>
      </w:r>
      <w:r w:rsidR="007939F6" w:rsidRPr="006F3533">
        <w:rPr>
          <w:rFonts w:eastAsia="Times New Roman" w:cs="Times New Roman"/>
          <w:szCs w:val="24"/>
          <w:lang w:val="bg-BG" w:eastAsia="bg-BG"/>
        </w:rPr>
        <w:t>)</w:t>
      </w:r>
      <w:r w:rsidR="0087670F" w:rsidRPr="006F3533">
        <w:rPr>
          <w:rFonts w:eastAsia="Times New Roman" w:cs="Times New Roman"/>
          <w:szCs w:val="24"/>
          <w:lang w:val="bg-BG" w:eastAsia="bg-BG"/>
        </w:rPr>
        <w:t xml:space="preserve">, </w:t>
      </w:r>
      <w:r w:rsidRPr="006F3533">
        <w:rPr>
          <w:rFonts w:eastAsia="Times New Roman" w:cs="Times New Roman"/>
          <w:szCs w:val="24"/>
          <w:lang w:val="bg-BG" w:eastAsia="bg-BG"/>
        </w:rPr>
        <w:t xml:space="preserve">и </w:t>
      </w:r>
      <w:r w:rsidR="0087670F" w:rsidRPr="006F3533">
        <w:rPr>
          <w:rFonts w:eastAsia="Times New Roman" w:cs="Times New Roman"/>
          <w:szCs w:val="24"/>
          <w:lang w:val="bg-BG" w:eastAsia="bg-BG"/>
        </w:rPr>
        <w:t xml:space="preserve">за </w:t>
      </w:r>
      <w:r w:rsidRPr="006F3533">
        <w:rPr>
          <w:rFonts w:eastAsia="Times New Roman" w:cs="Times New Roman"/>
          <w:szCs w:val="24"/>
          <w:lang w:val="bg-BG" w:eastAsia="bg-BG"/>
        </w:rPr>
        <w:t>внедряване на цифрови решения.</w:t>
      </w:r>
    </w:p>
    <w:p w14:paraId="2FD667DC" w14:textId="77777777"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Финансовите инструменти ще подкрепят решения, които осигуряват дългосрочна ценова конкурентоспособност спрямо изкопаемите горива и защита на домакинствата от ценови шокове. Особено внимание ще се отделя на уязвимите групи и наемните жилища, за които ще се прилагат диференцирани форми на подпомагане и специални механизми за колективно кандидатстване чрез етажната собственост или местните центрове за комплексно обслужване (ЦКО/OSS).</w:t>
      </w:r>
    </w:p>
    <w:p w14:paraId="4F5B309F" w14:textId="77777777" w:rsidR="003D5BB9" w:rsidRPr="006F3533" w:rsidRDefault="003D5BB9" w:rsidP="00077D42">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Местно планиране и демонстрационни проекти</w:t>
      </w:r>
    </w:p>
    <w:p w14:paraId="78652B76" w14:textId="4B8128A2"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В изпълнение на член 25, параграф 6 от ДЕЕ общините ще изготвят местни планове за отопление и охлаждане, основани на оценка на потенциала за използване на възобновяема и отпадна топлина, възможностите за изграждане на нискотемпературни мрежи и прилагането на квартални решения. Един от демонстрационните примери е проектът за централизирана микромрежа за отопление и охлаждане в Габрово, който предвижда изграждане на локална система за централно отопление на биомаса с възможност за разширяване и участие на граждани като инвеститори. Този модел ще служи като основа за прилагане и в други градове със сходен мащаб и характеристики, като се предвиждат задължителни обществени обсъждания и активна комуникация с потенциалните потребители още в ранните етапи.</w:t>
      </w:r>
    </w:p>
    <w:p w14:paraId="5C4136B1" w14:textId="77777777" w:rsidR="003D5BB9" w:rsidRPr="006F3533" w:rsidRDefault="003D5BB9" w:rsidP="00077D42">
      <w:pPr>
        <w:spacing w:before="100" w:beforeAutospacing="1" w:after="100" w:afterAutospacing="1"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Мониторинг и индикатори</w:t>
      </w:r>
    </w:p>
    <w:p w14:paraId="4CDC02A3" w14:textId="77777777" w:rsidR="003D5BB9" w:rsidRPr="006F3533" w:rsidRDefault="003D5BB9" w:rsidP="00077D42">
      <w:p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Напредъкът по изпълнението на мерките за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xml:space="preserve"> на отоплението и охлаждането ще се проследява чрез система от количествени и качествени индикатори, включваща:</w:t>
      </w:r>
    </w:p>
    <w:p w14:paraId="2F5DF4FE" w14:textId="77777777" w:rsidR="003D5BB9" w:rsidRPr="006F3533" w:rsidRDefault="003D5BB9" w:rsidP="00551FED">
      <w:pPr>
        <w:numPr>
          <w:ilvl w:val="0"/>
          <w:numId w:val="3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дял на ВЕИ в общото крайно потребление за отопление и охлаждане;</w:t>
      </w:r>
    </w:p>
    <w:p w14:paraId="428C7C94" w14:textId="77777777" w:rsidR="003D5BB9" w:rsidRPr="006F3533" w:rsidRDefault="003D5BB9" w:rsidP="00551FED">
      <w:pPr>
        <w:numPr>
          <w:ilvl w:val="0"/>
          <w:numId w:val="3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брой и мощност на инсталираните </w:t>
      </w:r>
      <w:proofErr w:type="spellStart"/>
      <w:r w:rsidRPr="006F3533">
        <w:rPr>
          <w:rFonts w:eastAsia="Times New Roman" w:cs="Times New Roman"/>
          <w:szCs w:val="24"/>
          <w:lang w:val="bg-BG" w:eastAsia="bg-BG"/>
        </w:rPr>
        <w:t>термопомпени</w:t>
      </w:r>
      <w:proofErr w:type="spellEnd"/>
      <w:r w:rsidRPr="006F3533">
        <w:rPr>
          <w:rFonts w:eastAsia="Times New Roman" w:cs="Times New Roman"/>
          <w:szCs w:val="24"/>
          <w:lang w:val="bg-BG" w:eastAsia="bg-BG"/>
        </w:rPr>
        <w:t xml:space="preserve"> агрегати и термично соларни системи;</w:t>
      </w:r>
    </w:p>
    <w:p w14:paraId="22941E79" w14:textId="77777777" w:rsidR="003D5BB9" w:rsidRPr="006F3533" w:rsidRDefault="003D5BB9" w:rsidP="00551FED">
      <w:pPr>
        <w:numPr>
          <w:ilvl w:val="0"/>
          <w:numId w:val="3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дял на сградите, преминали към възобновяемо отопление или присъединени към ефективни топлофикационни мрежи;</w:t>
      </w:r>
    </w:p>
    <w:p w14:paraId="2761C03B" w14:textId="77777777" w:rsidR="003D5BB9" w:rsidRPr="006F3533" w:rsidRDefault="003D5BB9" w:rsidP="00551FED">
      <w:pPr>
        <w:numPr>
          <w:ilvl w:val="0"/>
          <w:numId w:val="3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обем на спестените емисии CO₂;</w:t>
      </w:r>
    </w:p>
    <w:p w14:paraId="6C185AB8" w14:textId="77777777" w:rsidR="003D5BB9" w:rsidRPr="006F3533" w:rsidRDefault="003D5BB9" w:rsidP="00551FED">
      <w:pPr>
        <w:numPr>
          <w:ilvl w:val="0"/>
          <w:numId w:val="3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ниво на загубите през топлопреносните мрежи на топлофикационните дружества;</w:t>
      </w:r>
    </w:p>
    <w:p w14:paraId="7D5D2306" w14:textId="16B067BD" w:rsidR="003D5BB9" w:rsidRPr="006F3533" w:rsidRDefault="003D5BB9" w:rsidP="00551FED">
      <w:pPr>
        <w:numPr>
          <w:ilvl w:val="0"/>
          <w:numId w:val="3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дял на енергията от въ</w:t>
      </w:r>
      <w:r w:rsidR="00A04D2E" w:rsidRPr="006F3533">
        <w:rPr>
          <w:rFonts w:eastAsia="Times New Roman" w:cs="Times New Roman"/>
          <w:szCs w:val="24"/>
          <w:lang w:val="bg-BG" w:eastAsia="bg-BG"/>
        </w:rPr>
        <w:t>з</w:t>
      </w:r>
      <w:r w:rsidRPr="006F3533">
        <w:rPr>
          <w:rFonts w:eastAsia="Times New Roman" w:cs="Times New Roman"/>
          <w:szCs w:val="24"/>
          <w:lang w:val="bg-BG" w:eastAsia="bg-BG"/>
        </w:rPr>
        <w:t>обновяеми източници и отпадна топлина в микса на всяко топлофикационно дружество;</w:t>
      </w:r>
    </w:p>
    <w:p w14:paraId="7915A9D1" w14:textId="77777777" w:rsidR="003D5BB9" w:rsidRPr="006F3533" w:rsidRDefault="003D5BB9" w:rsidP="00551FED">
      <w:pPr>
        <w:numPr>
          <w:ilvl w:val="0"/>
          <w:numId w:val="3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средна крайна цена на топлинната енергия за домакинствата;</w:t>
      </w:r>
    </w:p>
    <w:p w14:paraId="4F20B4E1" w14:textId="77777777" w:rsidR="003D5BB9" w:rsidRPr="006F3533" w:rsidRDefault="003D5BB9" w:rsidP="00551FED">
      <w:pPr>
        <w:numPr>
          <w:ilvl w:val="0"/>
          <w:numId w:val="38"/>
        </w:numPr>
        <w:spacing w:before="100" w:beforeAutospacing="1" w:after="100" w:afterAutospacing="1" w:line="240" w:lineRule="auto"/>
        <w:jc w:val="both"/>
        <w:rPr>
          <w:rFonts w:eastAsia="Times New Roman" w:cs="Times New Roman"/>
          <w:szCs w:val="24"/>
          <w:lang w:val="bg-BG" w:eastAsia="bg-BG"/>
        </w:rPr>
      </w:pPr>
      <w:r w:rsidRPr="006F3533">
        <w:rPr>
          <w:rFonts w:eastAsia="Times New Roman" w:cs="Times New Roman"/>
          <w:szCs w:val="24"/>
          <w:lang w:val="bg-BG" w:eastAsia="bg-BG"/>
        </w:rPr>
        <w:t>степен на зависимост от вносни енергийни ресурси.</w:t>
      </w:r>
    </w:p>
    <w:p w14:paraId="43C8FEFE" w14:textId="5D2FBC82" w:rsidR="00855103" w:rsidRPr="006F3533" w:rsidRDefault="00855103" w:rsidP="00855103">
      <w:pPr>
        <w:spacing w:before="100" w:beforeAutospacing="1" w:after="100" w:afterAutospacing="1" w:line="240" w:lineRule="auto"/>
        <w:jc w:val="both"/>
        <w:rPr>
          <w:rFonts w:eastAsia="Times New Roman" w:cs="Times New Roman"/>
          <w:szCs w:val="24"/>
          <w:lang w:val="bg-BG" w:eastAsia="bg-BG"/>
        </w:rPr>
        <w:sectPr w:rsidR="00855103" w:rsidRPr="006F3533" w:rsidSect="00855103">
          <w:pgSz w:w="11906" w:h="16838"/>
          <w:pgMar w:top="1417" w:right="1417" w:bottom="1417" w:left="1417" w:header="708" w:footer="708" w:gutter="0"/>
          <w:cols w:space="708"/>
          <w:docGrid w:linePitch="360"/>
        </w:sectPr>
      </w:pPr>
      <w:r w:rsidRPr="006F3533">
        <w:rPr>
          <w:rFonts w:eastAsia="Times New Roman" w:cs="Times New Roman"/>
          <w:szCs w:val="24"/>
          <w:lang w:val="bg-BG" w:eastAsia="bg-BG"/>
        </w:rPr>
        <w:t>АУЕР ще изготвя годишен доклад за изпълнението на националния план, включващ оценка на постигнатите резултати, трудностите при прилагането и предложения за актуализиране на мерките.</w:t>
      </w:r>
    </w:p>
    <w:p w14:paraId="294E3DF6" w14:textId="77777777" w:rsidR="00855103" w:rsidRPr="006F3533" w:rsidRDefault="00855103" w:rsidP="00855103">
      <w:pPr>
        <w:spacing w:before="100" w:beforeAutospacing="1" w:after="100" w:afterAutospacing="1" w:line="240" w:lineRule="auto"/>
        <w:jc w:val="both"/>
        <w:rPr>
          <w:rFonts w:eastAsia="Times New Roman" w:cs="Times New Roman"/>
          <w:i/>
          <w:iCs/>
          <w:szCs w:val="24"/>
          <w:lang w:val="bg-BG" w:eastAsia="bg-BG"/>
        </w:rPr>
      </w:pPr>
    </w:p>
    <w:tbl>
      <w:tblPr>
        <w:tblStyle w:val="GridTable5Dark-Accent1"/>
        <w:tblW w:w="14029" w:type="dxa"/>
        <w:tblLayout w:type="fixed"/>
        <w:tblLook w:val="04A0" w:firstRow="1" w:lastRow="0" w:firstColumn="1" w:lastColumn="0" w:noHBand="0" w:noVBand="1"/>
      </w:tblPr>
      <w:tblGrid>
        <w:gridCol w:w="481"/>
        <w:gridCol w:w="2491"/>
        <w:gridCol w:w="2835"/>
        <w:gridCol w:w="2126"/>
        <w:gridCol w:w="1560"/>
        <w:gridCol w:w="1701"/>
        <w:gridCol w:w="1842"/>
        <w:gridCol w:w="993"/>
      </w:tblGrid>
      <w:tr w:rsidR="00855103" w:rsidRPr="006F3533" w14:paraId="672C78A0" w14:textId="77777777" w:rsidTr="002C1F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39ABBDD1"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w:t>
            </w:r>
          </w:p>
        </w:tc>
        <w:tc>
          <w:tcPr>
            <w:tcW w:w="2491" w:type="dxa"/>
            <w:hideMark/>
          </w:tcPr>
          <w:p w14:paraId="0C9DBE4A"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Реформа / мярка</w:t>
            </w:r>
          </w:p>
        </w:tc>
        <w:tc>
          <w:tcPr>
            <w:tcW w:w="2835" w:type="dxa"/>
            <w:hideMark/>
          </w:tcPr>
          <w:p w14:paraId="1A99DBAD"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Съдържание на реформата</w:t>
            </w:r>
          </w:p>
        </w:tc>
        <w:tc>
          <w:tcPr>
            <w:tcW w:w="2126" w:type="dxa"/>
            <w:hideMark/>
          </w:tcPr>
          <w:p w14:paraId="1B8D3791"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Нормативни актове за изменение / допълване</w:t>
            </w:r>
          </w:p>
        </w:tc>
        <w:tc>
          <w:tcPr>
            <w:tcW w:w="1560" w:type="dxa"/>
            <w:hideMark/>
          </w:tcPr>
          <w:p w14:paraId="1399869A"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Водеща институция</w:t>
            </w:r>
          </w:p>
        </w:tc>
        <w:tc>
          <w:tcPr>
            <w:tcW w:w="1701" w:type="dxa"/>
            <w:hideMark/>
          </w:tcPr>
          <w:p w14:paraId="03CD7C05"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Участващи институции</w:t>
            </w:r>
          </w:p>
        </w:tc>
        <w:tc>
          <w:tcPr>
            <w:tcW w:w="1842" w:type="dxa"/>
            <w:hideMark/>
          </w:tcPr>
          <w:p w14:paraId="7D1B7686"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Източници на финансиране</w:t>
            </w:r>
          </w:p>
        </w:tc>
        <w:tc>
          <w:tcPr>
            <w:tcW w:w="993" w:type="dxa"/>
            <w:hideMark/>
          </w:tcPr>
          <w:p w14:paraId="219EE10D"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Срок</w:t>
            </w:r>
          </w:p>
        </w:tc>
      </w:tr>
      <w:tr w:rsidR="00855103" w:rsidRPr="006F3533" w14:paraId="7DB63C49"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301C8837"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1</w:t>
            </w:r>
          </w:p>
        </w:tc>
        <w:tc>
          <w:tcPr>
            <w:tcW w:w="2491" w:type="dxa"/>
          </w:tcPr>
          <w:p w14:paraId="51A263A5"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 xml:space="preserve">Национална рамка за </w:t>
            </w:r>
            <w:proofErr w:type="spellStart"/>
            <w:r w:rsidRPr="006F3533">
              <w:rPr>
                <w:rFonts w:eastAsia="Times New Roman" w:cs="Times New Roman"/>
                <w:sz w:val="22"/>
                <w:lang w:eastAsia="en-GB"/>
              </w:rPr>
              <w:t>декарбонизация</w:t>
            </w:r>
            <w:proofErr w:type="spellEnd"/>
            <w:r w:rsidRPr="006F3533">
              <w:rPr>
                <w:rFonts w:eastAsia="Times New Roman" w:cs="Times New Roman"/>
                <w:sz w:val="22"/>
                <w:lang w:eastAsia="en-GB"/>
              </w:rPr>
              <w:t xml:space="preserve"> на отоплението и охлаждането</w:t>
            </w:r>
          </w:p>
        </w:tc>
        <w:tc>
          <w:tcPr>
            <w:tcW w:w="2835" w:type="dxa"/>
          </w:tcPr>
          <w:p w14:paraId="5DD59D96"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Въвеждане на цялостна национална политика за поетапен преход към нисковъглеродни и климатично неутрални системи за отопление и охлаждане, обхващаща индивидуални и централизирани решения</w:t>
            </w:r>
          </w:p>
        </w:tc>
        <w:tc>
          <w:tcPr>
            <w:tcW w:w="2126" w:type="dxa"/>
          </w:tcPr>
          <w:p w14:paraId="670B6BDE"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Закон за енергетиката; Закон за енергийната ефективност; подзаконови актове</w:t>
            </w:r>
          </w:p>
        </w:tc>
        <w:tc>
          <w:tcPr>
            <w:tcW w:w="1560" w:type="dxa"/>
          </w:tcPr>
          <w:p w14:paraId="3C35FE76"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МЕ</w:t>
            </w:r>
          </w:p>
        </w:tc>
        <w:tc>
          <w:tcPr>
            <w:tcW w:w="1701" w:type="dxa"/>
          </w:tcPr>
          <w:p w14:paraId="7E6FD466"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МРРБ, АУЕР</w:t>
            </w:r>
          </w:p>
        </w:tc>
        <w:tc>
          <w:tcPr>
            <w:tcW w:w="1842" w:type="dxa"/>
          </w:tcPr>
          <w:p w14:paraId="23343D99"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Държавен бюджет, ЕС фондове</w:t>
            </w:r>
          </w:p>
        </w:tc>
        <w:tc>
          <w:tcPr>
            <w:tcW w:w="993" w:type="dxa"/>
          </w:tcPr>
          <w:p w14:paraId="262BE9D4"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2026 г.</w:t>
            </w:r>
          </w:p>
        </w:tc>
      </w:tr>
      <w:tr w:rsidR="00855103" w:rsidRPr="006F3533" w14:paraId="7F687F83" w14:textId="77777777" w:rsidTr="002C1F20">
        <w:tc>
          <w:tcPr>
            <w:cnfStyle w:val="001000000000" w:firstRow="0" w:lastRow="0" w:firstColumn="1" w:lastColumn="0" w:oddVBand="0" w:evenVBand="0" w:oddHBand="0" w:evenHBand="0" w:firstRowFirstColumn="0" w:firstRowLastColumn="0" w:lastRowFirstColumn="0" w:lastRowLastColumn="0"/>
            <w:tcW w:w="481" w:type="dxa"/>
            <w:hideMark/>
          </w:tcPr>
          <w:p w14:paraId="5333A74B"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2</w:t>
            </w:r>
          </w:p>
        </w:tc>
        <w:tc>
          <w:tcPr>
            <w:tcW w:w="2491" w:type="dxa"/>
          </w:tcPr>
          <w:p w14:paraId="7FA5BBF0"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План за поетапно извеждане от употреба на котли на изкопаеми горива</w:t>
            </w:r>
          </w:p>
        </w:tc>
        <w:tc>
          <w:tcPr>
            <w:tcW w:w="2835" w:type="dxa"/>
          </w:tcPr>
          <w:p w14:paraId="1427E246"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Забрана на нови инвестиции в котли на изкопаеми горива, прекратяване на субсидиите и пълна подмяна с ВЕИ и нисковъглеродни технологии до 2040 г.</w:t>
            </w:r>
          </w:p>
        </w:tc>
        <w:tc>
          <w:tcPr>
            <w:tcW w:w="2126" w:type="dxa"/>
          </w:tcPr>
          <w:p w14:paraId="5920431D"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 xml:space="preserve">Наредби към ЗЕ и ЗЕЕ </w:t>
            </w:r>
          </w:p>
        </w:tc>
        <w:tc>
          <w:tcPr>
            <w:tcW w:w="1560" w:type="dxa"/>
          </w:tcPr>
          <w:p w14:paraId="45BB8567"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МЕ</w:t>
            </w:r>
          </w:p>
        </w:tc>
        <w:tc>
          <w:tcPr>
            <w:tcW w:w="1701" w:type="dxa"/>
          </w:tcPr>
          <w:p w14:paraId="45F9A067"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МРРБ, АУЕР, общини</w:t>
            </w:r>
          </w:p>
        </w:tc>
        <w:tc>
          <w:tcPr>
            <w:tcW w:w="1842" w:type="dxa"/>
          </w:tcPr>
          <w:p w14:paraId="148B5D0C"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ЕС фондове, национални програми</w:t>
            </w:r>
          </w:p>
        </w:tc>
        <w:tc>
          <w:tcPr>
            <w:tcW w:w="993" w:type="dxa"/>
          </w:tcPr>
          <w:p w14:paraId="417D4FBB"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2025-2040 г.</w:t>
            </w:r>
          </w:p>
        </w:tc>
      </w:tr>
      <w:tr w:rsidR="00855103" w:rsidRPr="006F3533" w14:paraId="22EAA140"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66F0C8D6"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3</w:t>
            </w:r>
          </w:p>
        </w:tc>
        <w:tc>
          <w:tcPr>
            <w:tcW w:w="2491" w:type="dxa"/>
          </w:tcPr>
          <w:p w14:paraId="3E55AA82"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Трансформация на централизираните системи за отопление и охлаждане</w:t>
            </w:r>
          </w:p>
        </w:tc>
        <w:tc>
          <w:tcPr>
            <w:tcW w:w="2835" w:type="dxa"/>
          </w:tcPr>
          <w:p w14:paraId="777B2539"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Превръщане на топлофикационните системи в ефективни, нискотемпературни и гъвкави мрежи с нарастващ дял ВЕИ и отпадна топлина до 100% през 2050 г.</w:t>
            </w:r>
          </w:p>
        </w:tc>
        <w:tc>
          <w:tcPr>
            <w:tcW w:w="2126" w:type="dxa"/>
          </w:tcPr>
          <w:p w14:paraId="4A500068"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 xml:space="preserve">Закон за енергетиката; подзаконови актове; </w:t>
            </w:r>
          </w:p>
        </w:tc>
        <w:tc>
          <w:tcPr>
            <w:tcW w:w="1560" w:type="dxa"/>
          </w:tcPr>
          <w:p w14:paraId="7A2C63A1"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МЕ</w:t>
            </w:r>
          </w:p>
        </w:tc>
        <w:tc>
          <w:tcPr>
            <w:tcW w:w="1701" w:type="dxa"/>
          </w:tcPr>
          <w:p w14:paraId="13F70D21"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АУЕР, общини, топлофикационни дружества</w:t>
            </w:r>
          </w:p>
        </w:tc>
        <w:tc>
          <w:tcPr>
            <w:tcW w:w="1842" w:type="dxa"/>
          </w:tcPr>
          <w:p w14:paraId="07BF655C"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ЕС фондове, ЕИБ, национални програми</w:t>
            </w:r>
          </w:p>
        </w:tc>
        <w:tc>
          <w:tcPr>
            <w:tcW w:w="993" w:type="dxa"/>
          </w:tcPr>
          <w:p w14:paraId="54A04101"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2028–2050</w:t>
            </w:r>
          </w:p>
        </w:tc>
      </w:tr>
      <w:tr w:rsidR="00855103" w:rsidRPr="006F3533" w14:paraId="549D18BD" w14:textId="77777777" w:rsidTr="002C1F20">
        <w:tc>
          <w:tcPr>
            <w:cnfStyle w:val="001000000000" w:firstRow="0" w:lastRow="0" w:firstColumn="1" w:lastColumn="0" w:oddVBand="0" w:evenVBand="0" w:oddHBand="0" w:evenHBand="0" w:firstRowFirstColumn="0" w:firstRowLastColumn="0" w:lastRowFirstColumn="0" w:lastRowLastColumn="0"/>
            <w:tcW w:w="481" w:type="dxa"/>
            <w:hideMark/>
          </w:tcPr>
          <w:p w14:paraId="1E38DE95"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4</w:t>
            </w:r>
          </w:p>
        </w:tc>
        <w:tc>
          <w:tcPr>
            <w:tcW w:w="2491" w:type="dxa"/>
          </w:tcPr>
          <w:p w14:paraId="06BFB4CD"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Местни планове за отопление и охлаждане</w:t>
            </w:r>
          </w:p>
        </w:tc>
        <w:tc>
          <w:tcPr>
            <w:tcW w:w="2835" w:type="dxa"/>
          </w:tcPr>
          <w:p w14:paraId="0387D892"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 xml:space="preserve">Разработване на задължителни местни планове от общини над 45 000 жители за ВЕИ, отпадна </w:t>
            </w:r>
            <w:r w:rsidRPr="006F3533">
              <w:rPr>
                <w:rFonts w:eastAsia="Times New Roman" w:cs="Times New Roman"/>
                <w:sz w:val="22"/>
                <w:lang w:eastAsia="en-GB"/>
              </w:rPr>
              <w:lastRenderedPageBreak/>
              <w:t>топлина, нискотемпературни мрежи и електрификация</w:t>
            </w:r>
          </w:p>
        </w:tc>
        <w:tc>
          <w:tcPr>
            <w:tcW w:w="2126" w:type="dxa"/>
          </w:tcPr>
          <w:p w14:paraId="0D8C0015"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lastRenderedPageBreak/>
              <w:t>Закон за енергийната ефективност; подзаконови актове</w:t>
            </w:r>
          </w:p>
        </w:tc>
        <w:tc>
          <w:tcPr>
            <w:tcW w:w="1560" w:type="dxa"/>
          </w:tcPr>
          <w:p w14:paraId="4EEBCB18"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МРРБ</w:t>
            </w:r>
          </w:p>
        </w:tc>
        <w:tc>
          <w:tcPr>
            <w:tcW w:w="1701" w:type="dxa"/>
          </w:tcPr>
          <w:p w14:paraId="46DB2AAA"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МЕ, АУЕР, общини</w:t>
            </w:r>
          </w:p>
        </w:tc>
        <w:tc>
          <w:tcPr>
            <w:tcW w:w="1842" w:type="dxa"/>
          </w:tcPr>
          <w:p w14:paraId="61009884"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ЕС фондове, общински бюджети</w:t>
            </w:r>
          </w:p>
        </w:tc>
        <w:tc>
          <w:tcPr>
            <w:tcW w:w="993" w:type="dxa"/>
          </w:tcPr>
          <w:p w14:paraId="6EE7FB35" w14:textId="77777777" w:rsidR="00855103" w:rsidRPr="006F3533" w:rsidRDefault="00855103" w:rsidP="00855103">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2026–2030</w:t>
            </w:r>
          </w:p>
        </w:tc>
      </w:tr>
      <w:tr w:rsidR="00855103" w:rsidRPr="006F3533" w14:paraId="64E55D45"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29CAE77F"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5</w:t>
            </w:r>
          </w:p>
        </w:tc>
        <w:tc>
          <w:tcPr>
            <w:tcW w:w="2491" w:type="dxa"/>
          </w:tcPr>
          <w:p w14:paraId="681FCEFF"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Подзаконови промени за сградните системи</w:t>
            </w:r>
          </w:p>
        </w:tc>
        <w:tc>
          <w:tcPr>
            <w:tcW w:w="2835" w:type="dxa"/>
          </w:tcPr>
          <w:p w14:paraId="27550101"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Изискване за общи вътрешни инсталации в нови многофамилни сгради и регламентиране на геотермалните решения</w:t>
            </w:r>
          </w:p>
        </w:tc>
        <w:tc>
          <w:tcPr>
            <w:tcW w:w="2126" w:type="dxa"/>
          </w:tcPr>
          <w:p w14:paraId="03143A37"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Закон за устройство на територията; ЗЕЕ; НАРЕДБА № РД-02-20-3 от 9 ноември 2022 г. за техническите изисквания към енергийните характеристики на сгради; ТАРИФА за таксите за водовземане, за ползване на воден обект и за замърсяване</w:t>
            </w:r>
          </w:p>
        </w:tc>
        <w:tc>
          <w:tcPr>
            <w:tcW w:w="1560" w:type="dxa"/>
          </w:tcPr>
          <w:p w14:paraId="3A0A01F5"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МРРБ</w:t>
            </w:r>
          </w:p>
        </w:tc>
        <w:tc>
          <w:tcPr>
            <w:tcW w:w="1701" w:type="dxa"/>
          </w:tcPr>
          <w:p w14:paraId="2CF9F3C4"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МЕ, АУЕР, МОСВ</w:t>
            </w:r>
          </w:p>
        </w:tc>
        <w:tc>
          <w:tcPr>
            <w:tcW w:w="1842" w:type="dxa"/>
          </w:tcPr>
          <w:p w14:paraId="0C0975EE"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Национален бюджет</w:t>
            </w:r>
          </w:p>
        </w:tc>
        <w:tc>
          <w:tcPr>
            <w:tcW w:w="993" w:type="dxa"/>
          </w:tcPr>
          <w:p w14:paraId="61FDE920"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2026 г.</w:t>
            </w:r>
          </w:p>
        </w:tc>
      </w:tr>
      <w:tr w:rsidR="00855103" w:rsidRPr="006F3533" w14:paraId="3BBB8E34" w14:textId="77777777" w:rsidTr="002C1F20">
        <w:tc>
          <w:tcPr>
            <w:cnfStyle w:val="001000000000" w:firstRow="0" w:lastRow="0" w:firstColumn="1" w:lastColumn="0" w:oddVBand="0" w:evenVBand="0" w:oddHBand="0" w:evenHBand="0" w:firstRowFirstColumn="0" w:firstRowLastColumn="0" w:lastRowFirstColumn="0" w:lastRowLastColumn="0"/>
            <w:tcW w:w="481" w:type="dxa"/>
          </w:tcPr>
          <w:p w14:paraId="4E380871"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6</w:t>
            </w:r>
          </w:p>
        </w:tc>
        <w:tc>
          <w:tcPr>
            <w:tcW w:w="2491" w:type="dxa"/>
          </w:tcPr>
          <w:p w14:paraId="56A8B1DD"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rFonts w:eastAsia="Times New Roman" w:cs="Times New Roman"/>
                <w:sz w:val="22"/>
                <w:lang w:eastAsia="en-GB"/>
              </w:rPr>
              <w:t>Задължителен минимален дял ВЕИ при подмяна на отопление</w:t>
            </w:r>
          </w:p>
        </w:tc>
        <w:tc>
          <w:tcPr>
            <w:tcW w:w="2835" w:type="dxa"/>
          </w:tcPr>
          <w:p w14:paraId="20BC4AD2"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rFonts w:eastAsia="Times New Roman" w:cs="Times New Roman"/>
                <w:sz w:val="22"/>
                <w:lang w:eastAsia="en-GB"/>
              </w:rPr>
              <w:t>Въвеждане на изискване за минимум 50% ВЕИ при подмяна на отоплителен източник в сградите</w:t>
            </w:r>
          </w:p>
        </w:tc>
        <w:tc>
          <w:tcPr>
            <w:tcW w:w="2126" w:type="dxa"/>
          </w:tcPr>
          <w:p w14:paraId="728F2477"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rFonts w:eastAsia="Times New Roman" w:cs="Times New Roman"/>
                <w:sz w:val="22"/>
                <w:lang w:eastAsia="en-GB"/>
              </w:rPr>
              <w:t>ЗЕЕ; Наредба № Е-РД-04-2 от 16.12.2022 г. за обследване за енергийна ефективност, сертифициране и оценка на енергийните спестявания на сгради</w:t>
            </w:r>
          </w:p>
        </w:tc>
        <w:tc>
          <w:tcPr>
            <w:tcW w:w="1560" w:type="dxa"/>
          </w:tcPr>
          <w:p w14:paraId="7876E2B0"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rFonts w:eastAsia="Times New Roman" w:cs="Times New Roman"/>
                <w:sz w:val="22"/>
                <w:lang w:eastAsia="en-GB"/>
              </w:rPr>
              <w:t>МРРБ</w:t>
            </w:r>
          </w:p>
        </w:tc>
        <w:tc>
          <w:tcPr>
            <w:tcW w:w="1701" w:type="dxa"/>
          </w:tcPr>
          <w:p w14:paraId="03E364B7"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rFonts w:eastAsia="Times New Roman" w:cs="Times New Roman"/>
                <w:sz w:val="22"/>
                <w:lang w:eastAsia="en-GB"/>
              </w:rPr>
              <w:t>МЕ, АУЕР</w:t>
            </w:r>
          </w:p>
        </w:tc>
        <w:tc>
          <w:tcPr>
            <w:tcW w:w="1842" w:type="dxa"/>
          </w:tcPr>
          <w:p w14:paraId="459B6DD0"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rFonts w:eastAsia="Times New Roman" w:cs="Times New Roman"/>
                <w:sz w:val="22"/>
                <w:lang w:eastAsia="en-GB"/>
              </w:rPr>
              <w:t xml:space="preserve">ЕС фондове, национални програми; Частни средства; </w:t>
            </w:r>
          </w:p>
        </w:tc>
        <w:tc>
          <w:tcPr>
            <w:tcW w:w="993" w:type="dxa"/>
          </w:tcPr>
          <w:p w14:paraId="76D09A47"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rFonts w:eastAsia="Times New Roman" w:cs="Times New Roman"/>
                <w:sz w:val="22"/>
                <w:lang w:eastAsia="en-GB"/>
              </w:rPr>
              <w:t>2027 г.</w:t>
            </w:r>
          </w:p>
        </w:tc>
      </w:tr>
      <w:tr w:rsidR="00855103" w:rsidRPr="006F3533" w14:paraId="790CCE8A"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254B36D6"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7</w:t>
            </w:r>
          </w:p>
        </w:tc>
        <w:tc>
          <w:tcPr>
            <w:tcW w:w="2491" w:type="dxa"/>
          </w:tcPr>
          <w:p w14:paraId="51837054"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Модернизация и планиране в топлофикационните дружества</w:t>
            </w:r>
          </w:p>
        </w:tc>
        <w:tc>
          <w:tcPr>
            <w:tcW w:w="2835" w:type="dxa"/>
          </w:tcPr>
          <w:p w14:paraId="3A793662"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 xml:space="preserve">Задължителни петгодишни планове за </w:t>
            </w:r>
            <w:proofErr w:type="spellStart"/>
            <w:r w:rsidRPr="006F3533">
              <w:rPr>
                <w:rFonts w:eastAsia="Times New Roman" w:cs="Times New Roman"/>
                <w:sz w:val="22"/>
                <w:lang w:eastAsia="en-GB"/>
              </w:rPr>
              <w:t>декарбонизация</w:t>
            </w:r>
            <w:proofErr w:type="spellEnd"/>
            <w:r w:rsidRPr="006F3533">
              <w:rPr>
                <w:rFonts w:eastAsia="Times New Roman" w:cs="Times New Roman"/>
                <w:sz w:val="22"/>
                <w:lang w:eastAsia="en-GB"/>
              </w:rPr>
              <w:t xml:space="preserve">, намаляване на загубите, </w:t>
            </w:r>
            <w:r w:rsidRPr="006F3533">
              <w:rPr>
                <w:rFonts w:eastAsia="Times New Roman" w:cs="Times New Roman"/>
                <w:sz w:val="22"/>
                <w:lang w:eastAsia="en-GB"/>
              </w:rPr>
              <w:lastRenderedPageBreak/>
              <w:t>цифровизация и интеграция на ВЕИ</w:t>
            </w:r>
          </w:p>
        </w:tc>
        <w:tc>
          <w:tcPr>
            <w:tcW w:w="2126" w:type="dxa"/>
          </w:tcPr>
          <w:p w14:paraId="57282EB5"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lastRenderedPageBreak/>
              <w:t>Закон за енергетиката; подзаконови актове</w:t>
            </w:r>
          </w:p>
        </w:tc>
        <w:tc>
          <w:tcPr>
            <w:tcW w:w="1560" w:type="dxa"/>
          </w:tcPr>
          <w:p w14:paraId="3B94BF2E"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АУЕР</w:t>
            </w:r>
          </w:p>
        </w:tc>
        <w:tc>
          <w:tcPr>
            <w:tcW w:w="1701" w:type="dxa"/>
          </w:tcPr>
          <w:p w14:paraId="547710FD"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МЕ, общини</w:t>
            </w:r>
          </w:p>
        </w:tc>
        <w:tc>
          <w:tcPr>
            <w:tcW w:w="1842" w:type="dxa"/>
          </w:tcPr>
          <w:p w14:paraId="76D3AC79"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ЕС фондове, собствени средства</w:t>
            </w:r>
          </w:p>
        </w:tc>
        <w:tc>
          <w:tcPr>
            <w:tcW w:w="993" w:type="dxa"/>
          </w:tcPr>
          <w:p w14:paraId="318C93BF"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2026 г.</w:t>
            </w:r>
          </w:p>
        </w:tc>
      </w:tr>
      <w:tr w:rsidR="00855103" w:rsidRPr="006F3533" w14:paraId="2C682B01" w14:textId="77777777" w:rsidTr="002C1F20">
        <w:tc>
          <w:tcPr>
            <w:cnfStyle w:val="001000000000" w:firstRow="0" w:lastRow="0" w:firstColumn="1" w:lastColumn="0" w:oddVBand="0" w:evenVBand="0" w:oddHBand="0" w:evenHBand="0" w:firstRowFirstColumn="0" w:firstRowLastColumn="0" w:lastRowFirstColumn="0" w:lastRowLastColumn="0"/>
            <w:tcW w:w="481" w:type="dxa"/>
            <w:hideMark/>
          </w:tcPr>
          <w:p w14:paraId="7B5C8143"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8</w:t>
            </w:r>
          </w:p>
        </w:tc>
        <w:tc>
          <w:tcPr>
            <w:tcW w:w="2491" w:type="dxa"/>
          </w:tcPr>
          <w:p w14:paraId="26D7CE5E"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Финансова и социална подкрепа за домакинствата</w:t>
            </w:r>
          </w:p>
        </w:tc>
        <w:tc>
          <w:tcPr>
            <w:tcW w:w="2835" w:type="dxa"/>
          </w:tcPr>
          <w:p w14:paraId="4014BCB2"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Грантове, нисколихвени кредити и целева подкрепа за енергийно бедни домакинства за преминаване към ВЕИ отопление</w:t>
            </w:r>
          </w:p>
        </w:tc>
        <w:tc>
          <w:tcPr>
            <w:tcW w:w="2126" w:type="dxa"/>
          </w:tcPr>
          <w:p w14:paraId="7697DC9E"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Национални програми; подзаконови актове</w:t>
            </w:r>
          </w:p>
        </w:tc>
        <w:tc>
          <w:tcPr>
            <w:tcW w:w="1560" w:type="dxa"/>
          </w:tcPr>
          <w:p w14:paraId="3AF77F14"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МЕ</w:t>
            </w:r>
          </w:p>
        </w:tc>
        <w:tc>
          <w:tcPr>
            <w:tcW w:w="1701" w:type="dxa"/>
          </w:tcPr>
          <w:p w14:paraId="43D2E879"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МФ, МТСП, общини</w:t>
            </w:r>
          </w:p>
        </w:tc>
        <w:tc>
          <w:tcPr>
            <w:tcW w:w="1842" w:type="dxa"/>
          </w:tcPr>
          <w:p w14:paraId="0D2D4B5E"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ЕС фондове, държавен бюджет, частно финансиране</w:t>
            </w:r>
          </w:p>
        </w:tc>
        <w:tc>
          <w:tcPr>
            <w:tcW w:w="993" w:type="dxa"/>
          </w:tcPr>
          <w:p w14:paraId="1DB10DB9"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2025–2040</w:t>
            </w:r>
          </w:p>
        </w:tc>
      </w:tr>
      <w:tr w:rsidR="00855103" w:rsidRPr="006F3533" w14:paraId="7E1358E0"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33469311"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9</w:t>
            </w:r>
          </w:p>
        </w:tc>
        <w:tc>
          <w:tcPr>
            <w:tcW w:w="2491" w:type="dxa"/>
          </w:tcPr>
          <w:p w14:paraId="3584B484"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Демонстрационни и пилотни проекти, енергийни общности за отопление и охлаждане</w:t>
            </w:r>
          </w:p>
        </w:tc>
        <w:tc>
          <w:tcPr>
            <w:tcW w:w="2835" w:type="dxa"/>
          </w:tcPr>
          <w:p w14:paraId="3F0DEE6A"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Реализация на пилотни модели (напр. микромрежи за отопление и охлаждане) с възможност за репликация</w:t>
            </w:r>
          </w:p>
        </w:tc>
        <w:tc>
          <w:tcPr>
            <w:tcW w:w="2126" w:type="dxa"/>
          </w:tcPr>
          <w:p w14:paraId="148036C5"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Няма (проектна рамка)</w:t>
            </w:r>
          </w:p>
        </w:tc>
        <w:tc>
          <w:tcPr>
            <w:tcW w:w="1560" w:type="dxa"/>
          </w:tcPr>
          <w:p w14:paraId="15C1EA60"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МЕ</w:t>
            </w:r>
          </w:p>
        </w:tc>
        <w:tc>
          <w:tcPr>
            <w:tcW w:w="1701" w:type="dxa"/>
          </w:tcPr>
          <w:p w14:paraId="4B49314D"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Общини, АУЕР</w:t>
            </w:r>
          </w:p>
        </w:tc>
        <w:tc>
          <w:tcPr>
            <w:tcW w:w="1842" w:type="dxa"/>
          </w:tcPr>
          <w:p w14:paraId="51F53B4D"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 xml:space="preserve">ЕС фондове, EEA </w:t>
            </w:r>
            <w:proofErr w:type="spellStart"/>
            <w:r w:rsidRPr="006F3533">
              <w:rPr>
                <w:rFonts w:eastAsia="Times New Roman" w:cs="Times New Roman"/>
                <w:sz w:val="22"/>
                <w:lang w:eastAsia="en-GB"/>
              </w:rPr>
              <w:t>Grants</w:t>
            </w:r>
            <w:proofErr w:type="spellEnd"/>
            <w:r w:rsidRPr="006F3533">
              <w:rPr>
                <w:rFonts w:eastAsia="Times New Roman" w:cs="Times New Roman"/>
                <w:sz w:val="22"/>
                <w:lang w:eastAsia="en-GB"/>
              </w:rPr>
              <w:t>; публично-частни партньорства</w:t>
            </w:r>
          </w:p>
        </w:tc>
        <w:tc>
          <w:tcPr>
            <w:tcW w:w="993" w:type="dxa"/>
          </w:tcPr>
          <w:p w14:paraId="47F0DB21"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en-GB"/>
              </w:rPr>
              <w:t>2027-2029 г.</w:t>
            </w:r>
          </w:p>
        </w:tc>
      </w:tr>
      <w:tr w:rsidR="00855103" w:rsidRPr="006F3533" w14:paraId="54BB4220" w14:textId="77777777" w:rsidTr="002C1F20">
        <w:tc>
          <w:tcPr>
            <w:cnfStyle w:val="001000000000" w:firstRow="0" w:lastRow="0" w:firstColumn="1" w:lastColumn="0" w:oddVBand="0" w:evenVBand="0" w:oddHBand="0" w:evenHBand="0" w:firstRowFirstColumn="0" w:firstRowLastColumn="0" w:lastRowFirstColumn="0" w:lastRowLastColumn="0"/>
            <w:tcW w:w="481" w:type="dxa"/>
          </w:tcPr>
          <w:p w14:paraId="47458C0D"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10</w:t>
            </w:r>
          </w:p>
        </w:tc>
        <w:tc>
          <w:tcPr>
            <w:tcW w:w="2491" w:type="dxa"/>
          </w:tcPr>
          <w:p w14:paraId="521AA02B"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sz w:val="22"/>
              </w:rPr>
              <w:t>Мониторинг и отчетност</w:t>
            </w:r>
          </w:p>
        </w:tc>
        <w:tc>
          <w:tcPr>
            <w:tcW w:w="2835" w:type="dxa"/>
          </w:tcPr>
          <w:p w14:paraId="627F7C78"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sz w:val="22"/>
              </w:rPr>
              <w:t>Годишно отчитане на напредъка по индикатори за ВЕИ, емисии и цени</w:t>
            </w:r>
          </w:p>
        </w:tc>
        <w:tc>
          <w:tcPr>
            <w:tcW w:w="2126" w:type="dxa"/>
          </w:tcPr>
          <w:p w14:paraId="4FD6E22E"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sz w:val="22"/>
              </w:rPr>
              <w:t>ЗЕЕ</w:t>
            </w:r>
          </w:p>
        </w:tc>
        <w:tc>
          <w:tcPr>
            <w:tcW w:w="1560" w:type="dxa"/>
          </w:tcPr>
          <w:p w14:paraId="01AFEFB5"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sz w:val="22"/>
              </w:rPr>
              <w:t>АУЕР</w:t>
            </w:r>
          </w:p>
        </w:tc>
        <w:tc>
          <w:tcPr>
            <w:tcW w:w="1701" w:type="dxa"/>
          </w:tcPr>
          <w:p w14:paraId="558BA2EF"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sz w:val="22"/>
              </w:rPr>
              <w:t>МЕ</w:t>
            </w:r>
          </w:p>
        </w:tc>
        <w:tc>
          <w:tcPr>
            <w:tcW w:w="1842" w:type="dxa"/>
          </w:tcPr>
          <w:p w14:paraId="68F67CCC"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sz w:val="22"/>
              </w:rPr>
              <w:t>Държавен бюджет</w:t>
            </w:r>
          </w:p>
        </w:tc>
        <w:tc>
          <w:tcPr>
            <w:tcW w:w="993" w:type="dxa"/>
          </w:tcPr>
          <w:p w14:paraId="531E8403"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rPr>
                <w:sz w:val="22"/>
              </w:rPr>
              <w:t>От 2027 г. ежегодно</w:t>
            </w:r>
          </w:p>
        </w:tc>
      </w:tr>
    </w:tbl>
    <w:p w14:paraId="4403E6A5" w14:textId="77777777" w:rsidR="00855103" w:rsidRPr="006F3533" w:rsidRDefault="00855103" w:rsidP="00855103">
      <w:pPr>
        <w:rPr>
          <w:lang w:val="bg-BG" w:eastAsia="bg-BG"/>
        </w:rPr>
      </w:pPr>
    </w:p>
    <w:p w14:paraId="4001BE67" w14:textId="77777777" w:rsidR="00855103" w:rsidRPr="006F3533" w:rsidRDefault="00855103" w:rsidP="00855103">
      <w:pPr>
        <w:rPr>
          <w:lang w:val="bg-BG" w:eastAsia="bg-BG"/>
        </w:rPr>
        <w:sectPr w:rsidR="00855103" w:rsidRPr="006F3533" w:rsidSect="00855103">
          <w:pgSz w:w="16838" w:h="11906" w:orient="landscape"/>
          <w:pgMar w:top="1417" w:right="1417" w:bottom="1417" w:left="1417" w:header="708" w:footer="708" w:gutter="0"/>
          <w:cols w:space="708"/>
          <w:docGrid w:linePitch="360"/>
        </w:sectPr>
      </w:pPr>
    </w:p>
    <w:p w14:paraId="510A52CF" w14:textId="77777777" w:rsidR="00855103" w:rsidRPr="006F3533" w:rsidRDefault="00855103" w:rsidP="00855103">
      <w:pPr>
        <w:rPr>
          <w:lang w:val="bg-BG" w:eastAsia="bg-BG"/>
        </w:rPr>
      </w:pPr>
    </w:p>
    <w:p w14:paraId="3EDDBFA5" w14:textId="77777777" w:rsidR="00B572B1" w:rsidRPr="006F3533" w:rsidRDefault="00B572B1" w:rsidP="00077D42">
      <w:pPr>
        <w:pStyle w:val="Heading2"/>
        <w:jc w:val="both"/>
        <w:rPr>
          <w:lang w:val="bg-BG"/>
        </w:rPr>
      </w:pPr>
      <w:bookmarkStart w:id="290" w:name="_Toc217888848"/>
      <w:bookmarkEnd w:id="289"/>
      <w:r w:rsidRPr="006F3533">
        <w:rPr>
          <w:lang w:val="bg-BG"/>
        </w:rPr>
        <w:t>(g) Предотвратяване и висококачествено третиране на отпадъци от строителство и разрушаване (ОСР) в съответствие с Директива 2008/98/ЕО и целите на кръговата икономика</w:t>
      </w:r>
      <w:bookmarkEnd w:id="290"/>
    </w:p>
    <w:p w14:paraId="5C0DE459" w14:textId="77777777" w:rsidR="00B572B1" w:rsidRPr="006F3533" w:rsidRDefault="00B572B1" w:rsidP="00077D42">
      <w:pPr>
        <w:spacing w:after="120"/>
        <w:jc w:val="both"/>
        <w:rPr>
          <w:b/>
          <w:bCs/>
          <w:lang w:val="bg-BG"/>
        </w:rPr>
      </w:pPr>
      <w:bookmarkStart w:id="291" w:name="_Toc216816126"/>
      <w:r w:rsidRPr="006F3533">
        <w:rPr>
          <w:b/>
          <w:bCs/>
          <w:lang w:val="bg-BG"/>
        </w:rPr>
        <w:t>Обхват, цели и съгласуваност</w:t>
      </w:r>
      <w:bookmarkEnd w:id="291"/>
    </w:p>
    <w:p w14:paraId="1BFE0825" w14:textId="7419F89F" w:rsidR="00B572B1" w:rsidRPr="006F3533" w:rsidRDefault="00B572B1" w:rsidP="00077D42">
      <w:pPr>
        <w:pStyle w:val="NormalWeb"/>
        <w:spacing w:before="0" w:beforeAutospacing="0"/>
        <w:jc w:val="both"/>
        <w:rPr>
          <w:rFonts w:ascii="Aptos" w:hAnsi="Aptos"/>
          <w:lang w:val="bg-BG"/>
        </w:rPr>
      </w:pPr>
      <w:r w:rsidRPr="006F3533">
        <w:rPr>
          <w:rFonts w:ascii="Aptos" w:hAnsi="Aptos"/>
          <w:lang w:val="bg-BG"/>
        </w:rPr>
        <w:t xml:space="preserve">Настоящият раздел определя националната рамка за предотвратяване, подготовка за повторна употреба и висококачествено рециклиране на отпадъци от строителство и разрушаване (включително отпадъците, генерирани при реновации), в съответствие с йерархията на отпадъците и с целите на кръговата икономика. Рамката стъпва на </w:t>
      </w:r>
      <w:r w:rsidRPr="006F3533">
        <w:rPr>
          <w:rStyle w:val="Strong"/>
          <w:rFonts w:ascii="Aptos" w:hAnsi="Aptos"/>
          <w:lang w:val="bg-BG"/>
        </w:rPr>
        <w:t>Националния план за управление на отпадъците 2021–2028 г. (НПУО)</w:t>
      </w:r>
      <w:r w:rsidRPr="006F3533">
        <w:rPr>
          <w:rFonts w:ascii="Aptos" w:hAnsi="Aptos"/>
          <w:lang w:val="bg-BG"/>
        </w:rPr>
        <w:t xml:space="preserve"> – с отделна програма за ОСР, индикатори и механизми за изпълнение, и е в съзвучие със </w:t>
      </w:r>
      <w:r w:rsidRPr="006F3533">
        <w:rPr>
          <w:rStyle w:val="Strong"/>
          <w:rFonts w:ascii="Aptos" w:hAnsi="Aptos"/>
          <w:lang w:val="bg-BG"/>
        </w:rPr>
        <w:t>Стратегията за преход към кръгова икономика 2022–2027 г.</w:t>
      </w:r>
      <w:r w:rsidRPr="006F3533">
        <w:rPr>
          <w:rFonts w:ascii="Aptos" w:hAnsi="Aptos"/>
          <w:lang w:val="bg-BG"/>
        </w:rPr>
        <w:t xml:space="preserve"> (стратегическа цел „По-малко отпадъци, повече ресурси“). Тя е тясно координирана с раздел (j) на НПС, посветен на намаляването на емисиите п</w:t>
      </w:r>
      <w:r w:rsidR="00B635A2" w:rsidRPr="006F3533">
        <w:rPr>
          <w:rFonts w:ascii="Aptos" w:hAnsi="Aptos"/>
          <w:lang w:val="bg-BG"/>
        </w:rPr>
        <w:t>рез</w:t>
      </w:r>
      <w:r w:rsidRPr="006F3533">
        <w:rPr>
          <w:rFonts w:ascii="Aptos" w:hAnsi="Aptos"/>
          <w:lang w:val="bg-BG"/>
        </w:rPr>
        <w:t xml:space="preserve"> жизнения цикъл на сградите, така че ползите от енергийното обновяване да се максимизират и чрез правилно управление на материалните потоци.</w:t>
      </w:r>
    </w:p>
    <w:p w14:paraId="7B8B36CC" w14:textId="77777777" w:rsidR="00B572B1" w:rsidRPr="006F3533" w:rsidRDefault="00B572B1" w:rsidP="00077D42">
      <w:pPr>
        <w:spacing w:after="120"/>
        <w:jc w:val="both"/>
        <w:rPr>
          <w:b/>
          <w:bCs/>
          <w:lang w:val="bg-BG"/>
        </w:rPr>
      </w:pPr>
      <w:bookmarkStart w:id="292" w:name="_Toc216816127"/>
      <w:r w:rsidRPr="006F3533">
        <w:rPr>
          <w:b/>
          <w:bCs/>
          <w:lang w:val="bg-BG"/>
        </w:rPr>
        <w:t>Нормативна и стратегическа рамка</w:t>
      </w:r>
      <w:bookmarkEnd w:id="292"/>
    </w:p>
    <w:p w14:paraId="26C23BA1" w14:textId="367D57AA" w:rsidR="00B572B1" w:rsidRPr="006F3533" w:rsidRDefault="00B572B1" w:rsidP="00077D42">
      <w:pPr>
        <w:pStyle w:val="NormalWeb"/>
        <w:jc w:val="both"/>
        <w:rPr>
          <w:rFonts w:ascii="Aptos" w:hAnsi="Aptos"/>
          <w:lang w:val="bg-BG"/>
        </w:rPr>
      </w:pPr>
      <w:r w:rsidRPr="006F3533">
        <w:rPr>
          <w:rFonts w:ascii="Aptos" w:hAnsi="Aptos"/>
          <w:lang w:val="bg-BG"/>
        </w:rPr>
        <w:t xml:space="preserve">България поддържа целта за </w:t>
      </w:r>
      <w:r w:rsidRPr="006F3533">
        <w:rPr>
          <w:rStyle w:val="Strong"/>
          <w:rFonts w:ascii="Aptos" w:hAnsi="Aptos"/>
          <w:lang w:val="bg-BG"/>
        </w:rPr>
        <w:t>най-малко 70% по маса</w:t>
      </w:r>
      <w:r w:rsidRPr="006F3533">
        <w:rPr>
          <w:rFonts w:ascii="Aptos" w:hAnsi="Aptos"/>
          <w:lang w:val="bg-BG"/>
        </w:rPr>
        <w:t xml:space="preserve"> подготовка за повторна употреба, рециклиран</w:t>
      </w:r>
      <w:r w:rsidR="00B635A2" w:rsidRPr="006F3533">
        <w:rPr>
          <w:rFonts w:ascii="Aptos" w:hAnsi="Aptos"/>
          <w:lang w:val="bg-BG"/>
        </w:rPr>
        <w:t>а</w:t>
      </w:r>
      <w:r w:rsidRPr="006F3533">
        <w:rPr>
          <w:rFonts w:ascii="Aptos" w:hAnsi="Aptos"/>
          <w:lang w:val="bg-BG"/>
        </w:rPr>
        <w:t xml:space="preserve"> или друго материално оползотворяване на </w:t>
      </w:r>
      <w:r w:rsidRPr="006F3533">
        <w:rPr>
          <w:rStyle w:val="Strong"/>
          <w:rFonts w:ascii="Aptos" w:hAnsi="Aptos"/>
          <w:lang w:val="bg-BG"/>
        </w:rPr>
        <w:t>неопасни</w:t>
      </w:r>
      <w:r w:rsidRPr="006F3533">
        <w:rPr>
          <w:rFonts w:ascii="Aptos" w:hAnsi="Aptos"/>
          <w:lang w:val="bg-BG"/>
        </w:rPr>
        <w:t xml:space="preserve"> ОСР, въведена в националното право и потвърдена в НПУО за периода 2021–2028 г. Изискванията се прилагат чрез Закона за управление на отпадъците и </w:t>
      </w:r>
      <w:r w:rsidRPr="006F3533">
        <w:rPr>
          <w:rStyle w:val="Strong"/>
          <w:rFonts w:ascii="Aptos" w:hAnsi="Aptos"/>
          <w:lang w:val="bg-BG"/>
        </w:rPr>
        <w:t>Наредбата за управление на строителните отпадъци и за влагане на рециклирани строителни материали (2017)</w:t>
      </w:r>
      <w:r w:rsidRPr="006F3533">
        <w:rPr>
          <w:rFonts w:ascii="Aptos" w:hAnsi="Aptos"/>
          <w:lang w:val="bg-BG"/>
        </w:rPr>
        <w:t xml:space="preserve">, които определят отговорностите на участниците и задължителността на </w:t>
      </w:r>
      <w:r w:rsidRPr="006F3533">
        <w:rPr>
          <w:rStyle w:val="Strong"/>
          <w:rFonts w:ascii="Aptos" w:hAnsi="Aptos"/>
          <w:lang w:val="bg-BG"/>
        </w:rPr>
        <w:t>план за управление на строителните отпадъци</w:t>
      </w:r>
      <w:r w:rsidRPr="006F3533">
        <w:rPr>
          <w:rFonts w:ascii="Aptos" w:hAnsi="Aptos"/>
          <w:lang w:val="bg-BG"/>
        </w:rPr>
        <w:t xml:space="preserve"> като част от инвестиционния проект</w:t>
      </w:r>
      <w:r w:rsidR="002A7BD7" w:rsidRPr="006F3533">
        <w:rPr>
          <w:rFonts w:ascii="Aptos" w:hAnsi="Aptos"/>
          <w:lang w:val="bg-BG"/>
        </w:rPr>
        <w:t xml:space="preserve">. </w:t>
      </w:r>
      <w:r w:rsidR="00B635A2" w:rsidRPr="006F3533">
        <w:rPr>
          <w:rFonts w:ascii="Aptos" w:hAnsi="Aptos"/>
          <w:lang w:val="bg-BG"/>
        </w:rPr>
        <w:t>НПУО поставя генералната задача „</w:t>
      </w:r>
      <w:r w:rsidR="00B635A2" w:rsidRPr="006F3533">
        <w:rPr>
          <w:rFonts w:ascii="Aptos" w:hAnsi="Aptos"/>
          <w:b/>
          <w:bCs/>
          <w:lang w:val="bg-BG"/>
        </w:rPr>
        <w:t>общество и бизнес, които подобряват прилагането на йерархията на управление на отпадъците във всички процеси и нива</w:t>
      </w:r>
      <w:r w:rsidR="00B635A2" w:rsidRPr="006F3533">
        <w:rPr>
          <w:rFonts w:ascii="Aptos" w:hAnsi="Aptos"/>
          <w:lang w:val="bg-BG"/>
        </w:rPr>
        <w:t xml:space="preserve">“ и включва специална програма за достигане на целите за рециклиране и оползотворяване на строителните отпадъци, с предвидени „меки“ (неинвестиционни) и инвестиционни мерки, източници на финансиране и индикатори за изпълнение. Стратегията за преход към кръгова икономика задава национална визия и </w:t>
      </w:r>
      <w:r w:rsidR="00B635A2" w:rsidRPr="006F3533">
        <w:rPr>
          <w:rFonts w:ascii="Aptos" w:hAnsi="Aptos"/>
          <w:b/>
          <w:bCs/>
          <w:lang w:val="bg-BG"/>
        </w:rPr>
        <w:t>стратегическа цел 2</w:t>
      </w:r>
      <w:r w:rsidR="00B635A2" w:rsidRPr="006F3533">
        <w:rPr>
          <w:rFonts w:ascii="Aptos" w:hAnsi="Aptos"/>
          <w:lang w:val="bg-BG"/>
        </w:rPr>
        <w:t xml:space="preserve"> „По-малко отпадъци, повече </w:t>
      </w:r>
      <w:proofErr w:type="spellStart"/>
      <w:r w:rsidR="00B635A2" w:rsidRPr="006F3533">
        <w:rPr>
          <w:rFonts w:ascii="Aptos" w:hAnsi="Aptos"/>
          <w:lang w:val="bg-BG"/>
        </w:rPr>
        <w:t>ресурси“посочва</w:t>
      </w:r>
      <w:proofErr w:type="spellEnd"/>
      <w:r w:rsidR="00B635A2" w:rsidRPr="006F3533">
        <w:rPr>
          <w:rFonts w:ascii="Aptos" w:hAnsi="Aptos"/>
          <w:lang w:val="bg-BG"/>
        </w:rPr>
        <w:t xml:space="preserve"> мерки за повишаване на качеството на преработените отпадъци, чрез подобряване на публичната инфраструктура и въвеждане на дигитални инструменти за проследимост на материалните потоци. В допълнение се посочват стъпки към повишаване осведомеността и отговорността на строителния сектор за управление на ОСР.</w:t>
      </w:r>
    </w:p>
    <w:p w14:paraId="04764B5C" w14:textId="77777777" w:rsidR="00B572B1" w:rsidRPr="006F3533" w:rsidRDefault="00B572B1" w:rsidP="00077D42">
      <w:pPr>
        <w:spacing w:after="120"/>
        <w:jc w:val="both"/>
        <w:rPr>
          <w:b/>
          <w:bCs/>
          <w:lang w:val="bg-BG"/>
        </w:rPr>
      </w:pPr>
      <w:bookmarkStart w:id="293" w:name="_Toc216816128"/>
      <w:r w:rsidRPr="006F3533">
        <w:rPr>
          <w:b/>
          <w:bCs/>
          <w:lang w:val="bg-BG"/>
        </w:rPr>
        <w:t>Основни предизвикателства</w:t>
      </w:r>
      <w:bookmarkEnd w:id="293"/>
    </w:p>
    <w:p w14:paraId="4935C0EB" w14:textId="03222291" w:rsidR="00B572B1" w:rsidRPr="006F3533" w:rsidRDefault="00B635A2" w:rsidP="00077D42">
      <w:pPr>
        <w:pStyle w:val="NormalWeb"/>
        <w:jc w:val="both"/>
        <w:rPr>
          <w:rFonts w:ascii="Aptos" w:hAnsi="Aptos"/>
          <w:lang w:val="bg-BG"/>
        </w:rPr>
      </w:pPr>
      <w:r w:rsidRPr="006F3533">
        <w:rPr>
          <w:rFonts w:ascii="Aptos" w:hAnsi="Aptos"/>
          <w:lang w:val="bg-BG"/>
        </w:rPr>
        <w:t xml:space="preserve">Анализът по НПУО отчита остатъчни дефицити в проследимостта на потоците ОСР и необходимост от разширяване на капацитета за </w:t>
      </w:r>
      <w:r w:rsidRPr="006F3533">
        <w:rPr>
          <w:rFonts w:ascii="Aptos" w:hAnsi="Aptos"/>
          <w:b/>
          <w:bCs/>
          <w:lang w:val="bg-BG"/>
        </w:rPr>
        <w:t>висококачествено</w:t>
      </w:r>
      <w:r w:rsidRPr="006F3533">
        <w:rPr>
          <w:rFonts w:ascii="Aptos" w:hAnsi="Aptos"/>
          <w:lang w:val="bg-BG"/>
        </w:rPr>
        <w:t xml:space="preserve"> рециклиране на минералните фракции, както и нужда от по-последователно прилагане на мерки за </w:t>
      </w:r>
      <w:r w:rsidRPr="006F3533">
        <w:rPr>
          <w:rFonts w:ascii="Aptos" w:hAnsi="Aptos"/>
          <w:b/>
          <w:bCs/>
          <w:lang w:val="bg-BG"/>
        </w:rPr>
        <w:t xml:space="preserve">селективно разрушаване и разделно събиране на площадка за неопасни отпадъци. </w:t>
      </w:r>
      <w:r w:rsidRPr="006F3533">
        <w:rPr>
          <w:rFonts w:ascii="Aptos" w:hAnsi="Aptos"/>
          <w:lang w:val="bg-BG"/>
        </w:rPr>
        <w:t xml:space="preserve">Въпреки напредъка са необходими допълнителни систематични изменения и </w:t>
      </w:r>
      <w:r w:rsidRPr="006F3533">
        <w:rPr>
          <w:rFonts w:ascii="Aptos" w:hAnsi="Aptos"/>
          <w:lang w:val="bg-BG"/>
        </w:rPr>
        <w:lastRenderedPageBreak/>
        <w:t xml:space="preserve">съгласуваност в законовите уредби, както и организационни подобрения за повишаване на капацитета и осведомеността, чрез които да се </w:t>
      </w:r>
      <w:proofErr w:type="spellStart"/>
      <w:r w:rsidRPr="006F3533">
        <w:rPr>
          <w:rFonts w:ascii="Aptos" w:hAnsi="Aptos"/>
          <w:lang w:val="bg-BG"/>
        </w:rPr>
        <w:t>постиганат</w:t>
      </w:r>
      <w:proofErr w:type="spellEnd"/>
      <w:r w:rsidRPr="006F3533">
        <w:rPr>
          <w:rFonts w:ascii="Aptos" w:hAnsi="Aptos"/>
          <w:lang w:val="bg-BG"/>
        </w:rPr>
        <w:t xml:space="preserve"> и надминат националните цели.</w:t>
      </w:r>
    </w:p>
    <w:p w14:paraId="2E36CF90" w14:textId="77777777" w:rsidR="00B572B1" w:rsidRPr="006F3533" w:rsidRDefault="00B572B1" w:rsidP="00077D42">
      <w:pPr>
        <w:spacing w:after="120"/>
        <w:jc w:val="both"/>
        <w:rPr>
          <w:b/>
          <w:bCs/>
          <w:lang w:val="bg-BG"/>
        </w:rPr>
      </w:pPr>
      <w:bookmarkStart w:id="294" w:name="_Toc216816129"/>
      <w:r w:rsidRPr="006F3533">
        <w:rPr>
          <w:b/>
          <w:bCs/>
          <w:lang w:val="bg-BG"/>
        </w:rPr>
        <w:t>Политики и мерки</w:t>
      </w:r>
      <w:bookmarkEnd w:id="294"/>
    </w:p>
    <w:p w14:paraId="07C59923" w14:textId="77777777" w:rsidR="00B572B1" w:rsidRPr="006F3533" w:rsidRDefault="00B572B1" w:rsidP="00077D42">
      <w:pPr>
        <w:spacing w:after="120"/>
        <w:jc w:val="both"/>
        <w:rPr>
          <w:b/>
          <w:bCs/>
          <w:lang w:val="bg-BG"/>
        </w:rPr>
      </w:pPr>
      <w:bookmarkStart w:id="295" w:name="_Toc216816130"/>
      <w:r w:rsidRPr="006F3533">
        <w:rPr>
          <w:b/>
          <w:bCs/>
          <w:lang w:val="bg-BG"/>
        </w:rPr>
        <w:t>Предотвратяване и минимизиране на ОСР</w:t>
      </w:r>
      <w:bookmarkEnd w:id="295"/>
    </w:p>
    <w:p w14:paraId="429094AE" w14:textId="77777777" w:rsidR="00B572B1" w:rsidRPr="006F3533" w:rsidRDefault="00B572B1" w:rsidP="00551FED">
      <w:pPr>
        <w:pStyle w:val="NormalWeb"/>
        <w:numPr>
          <w:ilvl w:val="0"/>
          <w:numId w:val="39"/>
        </w:numPr>
        <w:jc w:val="both"/>
        <w:rPr>
          <w:rFonts w:ascii="Aptos" w:hAnsi="Aptos"/>
          <w:lang w:val="bg-BG"/>
        </w:rPr>
      </w:pPr>
      <w:r w:rsidRPr="006F3533">
        <w:rPr>
          <w:rFonts w:ascii="Aptos" w:hAnsi="Aptos"/>
          <w:lang w:val="bg-BG"/>
        </w:rPr>
        <w:t xml:space="preserve">Интегриране на изисквания за </w:t>
      </w:r>
      <w:r w:rsidRPr="006F3533">
        <w:rPr>
          <w:rStyle w:val="Strong"/>
          <w:rFonts w:ascii="Aptos" w:hAnsi="Aptos"/>
          <w:lang w:val="bg-BG"/>
        </w:rPr>
        <w:t>минимизация на отпадъците на етап проектиране</w:t>
      </w:r>
      <w:r w:rsidRPr="006F3533">
        <w:rPr>
          <w:rFonts w:ascii="Aptos" w:hAnsi="Aptos"/>
          <w:lang w:val="bg-BG"/>
        </w:rPr>
        <w:t xml:space="preserve"> (оптимизация на разкроите, модулност, стандартизирани детайли), както и на </w:t>
      </w:r>
      <w:r w:rsidRPr="006F3533">
        <w:rPr>
          <w:rStyle w:val="Strong"/>
          <w:rFonts w:ascii="Aptos" w:hAnsi="Aptos"/>
          <w:lang w:val="bg-BG"/>
        </w:rPr>
        <w:t>изисквания за повторна употреба</w:t>
      </w:r>
      <w:r w:rsidRPr="006F3533">
        <w:rPr>
          <w:rFonts w:ascii="Aptos" w:hAnsi="Aptos"/>
          <w:lang w:val="bg-BG"/>
        </w:rPr>
        <w:t xml:space="preserve"> на цели елементи там, където е технически възможно. Тези изисквания се вписват в програмната логика на НПУО и в целите на националната стратегия за кръгова икономика.</w:t>
      </w:r>
    </w:p>
    <w:p w14:paraId="3FA49D32" w14:textId="77777777" w:rsidR="00B572B1" w:rsidRPr="006F3533" w:rsidRDefault="00B572B1" w:rsidP="00551FED">
      <w:pPr>
        <w:pStyle w:val="NormalWeb"/>
        <w:numPr>
          <w:ilvl w:val="0"/>
          <w:numId w:val="39"/>
        </w:numPr>
        <w:jc w:val="both"/>
        <w:rPr>
          <w:rFonts w:ascii="Aptos" w:hAnsi="Aptos"/>
          <w:lang w:val="bg-BG"/>
        </w:rPr>
      </w:pPr>
      <w:r w:rsidRPr="006F3533">
        <w:rPr>
          <w:rFonts w:ascii="Aptos" w:hAnsi="Aptos"/>
          <w:lang w:val="bg-BG"/>
        </w:rPr>
        <w:t xml:space="preserve">Включване на </w:t>
      </w:r>
      <w:r w:rsidRPr="006F3533">
        <w:rPr>
          <w:rStyle w:val="Strong"/>
          <w:rFonts w:ascii="Aptos" w:hAnsi="Aptos"/>
          <w:lang w:val="bg-BG"/>
        </w:rPr>
        <w:t>разходите за демонтаж/обезвреждане и избегнато депониране</w:t>
      </w:r>
      <w:r w:rsidRPr="006F3533">
        <w:rPr>
          <w:rFonts w:ascii="Aptos" w:hAnsi="Aptos"/>
          <w:lang w:val="bg-BG"/>
        </w:rPr>
        <w:t xml:space="preserve"> в жизнено-</w:t>
      </w:r>
      <w:proofErr w:type="spellStart"/>
      <w:r w:rsidRPr="006F3533">
        <w:rPr>
          <w:rFonts w:ascii="Aptos" w:hAnsi="Aptos"/>
          <w:lang w:val="bg-BG"/>
        </w:rPr>
        <w:t>цикловите</w:t>
      </w:r>
      <w:proofErr w:type="spellEnd"/>
      <w:r w:rsidRPr="006F3533">
        <w:rPr>
          <w:rFonts w:ascii="Aptos" w:hAnsi="Aptos"/>
          <w:lang w:val="bg-BG"/>
        </w:rPr>
        <w:t xml:space="preserve"> икономически оценки на проектите за обновяване, за да се отрази реалната икономия от превенция и повторна употреба.</w:t>
      </w:r>
    </w:p>
    <w:p w14:paraId="292F53AB" w14:textId="77777777" w:rsidR="00B572B1" w:rsidRPr="006F3533" w:rsidRDefault="00B572B1" w:rsidP="00077D42">
      <w:pPr>
        <w:spacing w:after="120"/>
        <w:jc w:val="both"/>
        <w:rPr>
          <w:b/>
          <w:bCs/>
          <w:lang w:val="bg-BG"/>
        </w:rPr>
      </w:pPr>
      <w:bookmarkStart w:id="296" w:name="_Toc216816131"/>
      <w:r w:rsidRPr="006F3533">
        <w:rPr>
          <w:b/>
          <w:bCs/>
          <w:lang w:val="bg-BG"/>
        </w:rPr>
        <w:t>Повторна употреба и пазар на вторични материали</w:t>
      </w:r>
      <w:bookmarkEnd w:id="296"/>
    </w:p>
    <w:p w14:paraId="17A98C0F" w14:textId="77777777" w:rsidR="00B572B1" w:rsidRPr="006F3533" w:rsidRDefault="00B572B1" w:rsidP="00551FED">
      <w:pPr>
        <w:pStyle w:val="NormalWeb"/>
        <w:numPr>
          <w:ilvl w:val="0"/>
          <w:numId w:val="40"/>
        </w:numPr>
        <w:jc w:val="both"/>
        <w:rPr>
          <w:rFonts w:ascii="Aptos" w:hAnsi="Aptos"/>
          <w:lang w:val="bg-BG"/>
        </w:rPr>
      </w:pPr>
      <w:r w:rsidRPr="006F3533">
        <w:rPr>
          <w:rFonts w:ascii="Aptos" w:hAnsi="Aptos"/>
          <w:lang w:val="bg-BG"/>
        </w:rPr>
        <w:t xml:space="preserve">Създаване на </w:t>
      </w:r>
      <w:r w:rsidRPr="006F3533">
        <w:rPr>
          <w:rStyle w:val="Strong"/>
          <w:rFonts w:ascii="Aptos" w:hAnsi="Aptos"/>
          <w:lang w:val="bg-BG"/>
        </w:rPr>
        <w:t>регионални центрове за повторна употреба и „материални банки“</w:t>
      </w:r>
      <w:r w:rsidRPr="006F3533">
        <w:rPr>
          <w:rFonts w:ascii="Aptos" w:hAnsi="Aptos"/>
          <w:lang w:val="bg-BG"/>
        </w:rPr>
        <w:t xml:space="preserve"> (на областно/градско ниво) за прием, изпитване, складиране и реализация на годни за повторна употреба компоненти (врати, радиатори, плочки и др.), както и линии за преработка на инертни отпадъци до </w:t>
      </w:r>
      <w:r w:rsidRPr="006F3533">
        <w:rPr>
          <w:rStyle w:val="Strong"/>
          <w:rFonts w:ascii="Aptos" w:hAnsi="Aptos"/>
          <w:lang w:val="bg-BG"/>
        </w:rPr>
        <w:t>сертифицирани вторични материали</w:t>
      </w:r>
      <w:r w:rsidRPr="006F3533">
        <w:rPr>
          <w:rFonts w:ascii="Aptos" w:hAnsi="Aptos"/>
          <w:lang w:val="bg-BG"/>
        </w:rPr>
        <w:t>; възможност за публично-частни партньорства и използване на общински терени.</w:t>
      </w:r>
    </w:p>
    <w:p w14:paraId="5E6ED31F" w14:textId="1D118043" w:rsidR="00B572B1" w:rsidRPr="006F3533" w:rsidRDefault="00B572B1" w:rsidP="00551FED">
      <w:pPr>
        <w:pStyle w:val="NormalWeb"/>
        <w:numPr>
          <w:ilvl w:val="0"/>
          <w:numId w:val="40"/>
        </w:numPr>
        <w:jc w:val="both"/>
        <w:rPr>
          <w:rFonts w:ascii="Aptos" w:hAnsi="Aptos"/>
          <w:lang w:val="bg-BG"/>
        </w:rPr>
      </w:pPr>
      <w:r w:rsidRPr="006F3533">
        <w:rPr>
          <w:rFonts w:ascii="Aptos" w:hAnsi="Aptos"/>
          <w:lang w:val="bg-BG"/>
        </w:rPr>
        <w:t xml:space="preserve">Разработване на </w:t>
      </w:r>
      <w:r w:rsidRPr="006F3533">
        <w:rPr>
          <w:rStyle w:val="Strong"/>
          <w:rFonts w:ascii="Aptos" w:hAnsi="Aptos"/>
          <w:lang w:val="bg-BG"/>
        </w:rPr>
        <w:t>технически указания и референтни спецификации</w:t>
      </w:r>
      <w:r w:rsidRPr="006F3533">
        <w:rPr>
          <w:rFonts w:ascii="Aptos" w:hAnsi="Aptos"/>
          <w:lang w:val="bg-BG"/>
        </w:rPr>
        <w:t xml:space="preserve"> за използване на рециклирани </w:t>
      </w:r>
      <w:r w:rsidR="00B635A2" w:rsidRPr="006F3533">
        <w:rPr>
          <w:rFonts w:ascii="Aptos" w:hAnsi="Aptos"/>
          <w:lang w:val="bg-BG"/>
        </w:rPr>
        <w:t>инертни материали</w:t>
      </w:r>
      <w:r w:rsidRPr="006F3533">
        <w:rPr>
          <w:rFonts w:ascii="Aptos" w:hAnsi="Aptos"/>
          <w:lang w:val="bg-BG"/>
        </w:rPr>
        <w:t xml:space="preserve"> в строителството, с контрол на качеството и маркиране, </w:t>
      </w:r>
      <w:r w:rsidR="00B635A2" w:rsidRPr="006F3533">
        <w:rPr>
          <w:rFonts w:ascii="Aptos" w:hAnsi="Aptos"/>
          <w:lang w:val="bg-BG"/>
        </w:rPr>
        <w:t>които да</w:t>
      </w:r>
      <w:r w:rsidRPr="006F3533">
        <w:rPr>
          <w:rFonts w:ascii="Aptos" w:hAnsi="Aptos"/>
          <w:lang w:val="bg-BG"/>
        </w:rPr>
        <w:t xml:space="preserve"> повишава</w:t>
      </w:r>
      <w:r w:rsidR="00B635A2" w:rsidRPr="006F3533">
        <w:rPr>
          <w:rFonts w:ascii="Aptos" w:hAnsi="Aptos"/>
          <w:lang w:val="bg-BG"/>
        </w:rPr>
        <w:t>т</w:t>
      </w:r>
      <w:r w:rsidRPr="006F3533">
        <w:rPr>
          <w:rFonts w:ascii="Aptos" w:hAnsi="Aptos"/>
          <w:lang w:val="bg-BG"/>
        </w:rPr>
        <w:t xml:space="preserve"> доверието </w:t>
      </w:r>
      <w:r w:rsidR="00B635A2" w:rsidRPr="006F3533">
        <w:rPr>
          <w:rFonts w:ascii="Aptos" w:hAnsi="Aptos"/>
          <w:lang w:val="bg-BG"/>
        </w:rPr>
        <w:t>на</w:t>
      </w:r>
      <w:r w:rsidRPr="006F3533">
        <w:rPr>
          <w:rFonts w:ascii="Aptos" w:hAnsi="Aptos"/>
          <w:lang w:val="bg-BG"/>
        </w:rPr>
        <w:t xml:space="preserve"> възложителите.</w:t>
      </w:r>
    </w:p>
    <w:p w14:paraId="5CA62487" w14:textId="77777777" w:rsidR="00B572B1" w:rsidRPr="006F3533" w:rsidRDefault="00B572B1" w:rsidP="00077D42">
      <w:pPr>
        <w:spacing w:after="120"/>
        <w:jc w:val="both"/>
        <w:rPr>
          <w:b/>
          <w:bCs/>
          <w:lang w:val="bg-BG"/>
        </w:rPr>
      </w:pPr>
      <w:bookmarkStart w:id="297" w:name="_Toc216816132"/>
      <w:r w:rsidRPr="006F3533">
        <w:rPr>
          <w:b/>
          <w:bCs/>
          <w:lang w:val="bg-BG"/>
        </w:rPr>
        <w:t>Селективно разрушаване и разделно събиране на площадка</w:t>
      </w:r>
      <w:bookmarkEnd w:id="297"/>
    </w:p>
    <w:p w14:paraId="6CD427D5" w14:textId="77777777" w:rsidR="00B572B1" w:rsidRPr="006F3533" w:rsidRDefault="00B572B1" w:rsidP="00551FED">
      <w:pPr>
        <w:pStyle w:val="NormalWeb"/>
        <w:numPr>
          <w:ilvl w:val="0"/>
          <w:numId w:val="41"/>
        </w:numPr>
        <w:jc w:val="both"/>
        <w:rPr>
          <w:rFonts w:ascii="Aptos" w:hAnsi="Aptos"/>
          <w:lang w:val="bg-BG"/>
        </w:rPr>
      </w:pPr>
      <w:r w:rsidRPr="006F3533">
        <w:rPr>
          <w:rFonts w:ascii="Aptos" w:hAnsi="Aptos"/>
          <w:lang w:val="bg-BG"/>
        </w:rPr>
        <w:t xml:space="preserve">Въвеждане на </w:t>
      </w:r>
      <w:r w:rsidRPr="006F3533">
        <w:rPr>
          <w:rStyle w:val="Strong"/>
          <w:rFonts w:ascii="Aptos" w:hAnsi="Aptos"/>
          <w:lang w:val="bg-BG"/>
        </w:rPr>
        <w:t>задължителни предварителни одити</w:t>
      </w:r>
      <w:r w:rsidRPr="006F3533">
        <w:rPr>
          <w:rFonts w:ascii="Aptos" w:hAnsi="Aptos"/>
          <w:lang w:val="bg-BG"/>
        </w:rPr>
        <w:t xml:space="preserve"> при реновация/разрушаване (над прагове за РЗП или прогнозни тонове отпадък), включващи инвентаризация на материали за повторна употреба, идентификация на опасни вещества и </w:t>
      </w:r>
      <w:r w:rsidRPr="006F3533">
        <w:rPr>
          <w:rStyle w:val="Strong"/>
          <w:rFonts w:ascii="Aptos" w:hAnsi="Aptos"/>
          <w:lang w:val="bg-BG"/>
        </w:rPr>
        <w:t>план за селективно разрушаване</w:t>
      </w:r>
      <w:r w:rsidRPr="006F3533">
        <w:rPr>
          <w:rFonts w:ascii="Aptos" w:hAnsi="Aptos"/>
          <w:lang w:val="bg-BG"/>
        </w:rPr>
        <w:t xml:space="preserve">; одитът и планът стават </w:t>
      </w:r>
      <w:r w:rsidRPr="006F3533">
        <w:rPr>
          <w:rStyle w:val="Strong"/>
          <w:rFonts w:ascii="Aptos" w:hAnsi="Aptos"/>
          <w:lang w:val="bg-BG"/>
        </w:rPr>
        <w:t>условие за разрешителните</w:t>
      </w:r>
      <w:r w:rsidRPr="006F3533">
        <w:rPr>
          <w:rFonts w:ascii="Aptos" w:hAnsi="Aptos"/>
          <w:lang w:val="bg-BG"/>
        </w:rPr>
        <w:t xml:space="preserve"> и за приемане на строежа.</w:t>
      </w:r>
    </w:p>
    <w:p w14:paraId="2208F996" w14:textId="77777777" w:rsidR="00B572B1" w:rsidRPr="006F3533" w:rsidRDefault="00B572B1" w:rsidP="00551FED">
      <w:pPr>
        <w:pStyle w:val="NormalWeb"/>
        <w:numPr>
          <w:ilvl w:val="0"/>
          <w:numId w:val="41"/>
        </w:numPr>
        <w:jc w:val="both"/>
        <w:rPr>
          <w:rFonts w:ascii="Aptos" w:hAnsi="Aptos"/>
          <w:lang w:val="bg-BG"/>
        </w:rPr>
      </w:pPr>
      <w:r w:rsidRPr="006F3533">
        <w:rPr>
          <w:rStyle w:val="Strong"/>
          <w:rFonts w:ascii="Aptos" w:hAnsi="Aptos"/>
          <w:lang w:val="bg-BG"/>
        </w:rPr>
        <w:t>Задължително разделно събиране на площадка</w:t>
      </w:r>
      <w:r w:rsidRPr="006F3533">
        <w:rPr>
          <w:rFonts w:ascii="Aptos" w:hAnsi="Aptos"/>
          <w:lang w:val="bg-BG"/>
        </w:rPr>
        <w:t xml:space="preserve"> по основни фракции (минерални, метали, дървесина, стъкло, пластмаси, опасни) и </w:t>
      </w:r>
      <w:r w:rsidRPr="006F3533">
        <w:rPr>
          <w:rStyle w:val="Strong"/>
          <w:rFonts w:ascii="Aptos" w:hAnsi="Aptos"/>
          <w:lang w:val="bg-BG"/>
        </w:rPr>
        <w:t>проектни цели</w:t>
      </w:r>
      <w:r w:rsidRPr="006F3533">
        <w:rPr>
          <w:rFonts w:ascii="Aptos" w:hAnsi="Aptos"/>
          <w:lang w:val="bg-BG"/>
        </w:rPr>
        <w:t xml:space="preserve"> за възстановяване (минимум 70% по маса за неопасни ОСР; по-строги прагове в публичните проекти до 2030 г.).</w:t>
      </w:r>
    </w:p>
    <w:p w14:paraId="4D5BB5D9" w14:textId="77777777" w:rsidR="00B572B1" w:rsidRPr="006F3533" w:rsidRDefault="00B572B1" w:rsidP="00077D42">
      <w:pPr>
        <w:pStyle w:val="Heading3"/>
        <w:jc w:val="both"/>
        <w:rPr>
          <w:rFonts w:ascii="Aptos" w:eastAsiaTheme="minorHAnsi" w:hAnsi="Aptos" w:cstheme="minorBidi"/>
          <w:sz w:val="24"/>
          <w:szCs w:val="22"/>
          <w:lang w:val="bg-BG"/>
        </w:rPr>
      </w:pPr>
      <w:bookmarkStart w:id="298" w:name="_Toc216816133"/>
      <w:bookmarkStart w:id="299" w:name="_Toc216857839"/>
      <w:bookmarkStart w:id="300" w:name="_Toc217888849"/>
      <w:r w:rsidRPr="006F3533">
        <w:rPr>
          <w:rFonts w:ascii="Aptos" w:eastAsiaTheme="minorHAnsi" w:hAnsi="Aptos" w:cstheme="minorBidi"/>
          <w:sz w:val="24"/>
          <w:szCs w:val="22"/>
          <w:lang w:val="bg-BG"/>
        </w:rPr>
        <w:t>Обществени поръчки и таксономия</w:t>
      </w:r>
      <w:bookmarkEnd w:id="298"/>
      <w:bookmarkEnd w:id="299"/>
      <w:bookmarkEnd w:id="300"/>
    </w:p>
    <w:p w14:paraId="525C352D" w14:textId="77777777" w:rsidR="00B572B1" w:rsidRPr="006F3533" w:rsidRDefault="00B572B1" w:rsidP="00480D32">
      <w:pPr>
        <w:pStyle w:val="NormalWeb"/>
        <w:numPr>
          <w:ilvl w:val="0"/>
          <w:numId w:val="42"/>
        </w:numPr>
        <w:jc w:val="both"/>
        <w:rPr>
          <w:rFonts w:ascii="Aptos" w:hAnsi="Aptos"/>
          <w:lang w:val="bg-BG"/>
        </w:rPr>
      </w:pPr>
      <w:r w:rsidRPr="006F3533">
        <w:rPr>
          <w:rFonts w:ascii="Aptos" w:hAnsi="Aptos"/>
          <w:lang w:val="bg-BG"/>
        </w:rPr>
        <w:t xml:space="preserve">Изисквания в публично финансирани реновации за </w:t>
      </w:r>
      <w:r w:rsidRPr="006F3533">
        <w:rPr>
          <w:rStyle w:val="Strong"/>
          <w:rFonts w:ascii="Aptos" w:hAnsi="Aptos"/>
          <w:lang w:val="bg-BG"/>
        </w:rPr>
        <w:t>минимално рециклирано съдържание</w:t>
      </w:r>
      <w:r w:rsidRPr="006F3533">
        <w:rPr>
          <w:rFonts w:ascii="Aptos" w:hAnsi="Aptos"/>
          <w:lang w:val="bg-BG"/>
        </w:rPr>
        <w:t xml:space="preserve"> (напр. рециклирани агрегати в </w:t>
      </w:r>
      <w:proofErr w:type="spellStart"/>
      <w:r w:rsidRPr="006F3533">
        <w:rPr>
          <w:rFonts w:ascii="Aptos" w:hAnsi="Aptos"/>
          <w:lang w:val="bg-BG"/>
        </w:rPr>
        <w:t>подложни</w:t>
      </w:r>
      <w:proofErr w:type="spellEnd"/>
      <w:r w:rsidRPr="006F3533">
        <w:rPr>
          <w:rFonts w:ascii="Aptos" w:hAnsi="Aptos"/>
          <w:lang w:val="bg-BG"/>
        </w:rPr>
        <w:t xml:space="preserve"> слоеве/замазки), критерии за </w:t>
      </w:r>
      <w:r w:rsidRPr="006F3533">
        <w:rPr>
          <w:rStyle w:val="Strong"/>
          <w:rFonts w:ascii="Aptos" w:hAnsi="Aptos"/>
          <w:lang w:val="bg-BG"/>
        </w:rPr>
        <w:t>повторна употреба на място/извън обекта</w:t>
      </w:r>
      <w:r w:rsidRPr="006F3533">
        <w:rPr>
          <w:rFonts w:ascii="Aptos" w:hAnsi="Aptos"/>
          <w:lang w:val="bg-BG"/>
        </w:rPr>
        <w:t xml:space="preserve"> и задължително постигане на ≥70% материално оползотворяване на неопасните ОСР, в съзвучие с целите на НПУО и логиката на кръговата стратегия.</w:t>
      </w:r>
    </w:p>
    <w:p w14:paraId="3670D60A" w14:textId="6354A999" w:rsidR="00B572B1" w:rsidRPr="006F3533" w:rsidRDefault="00B572B1" w:rsidP="00077D42">
      <w:pPr>
        <w:pStyle w:val="Heading3"/>
        <w:jc w:val="both"/>
        <w:rPr>
          <w:rFonts w:ascii="Aptos" w:eastAsiaTheme="minorHAnsi" w:hAnsi="Aptos" w:cstheme="minorBidi"/>
          <w:sz w:val="24"/>
          <w:szCs w:val="22"/>
          <w:lang w:val="bg-BG"/>
        </w:rPr>
      </w:pPr>
      <w:bookmarkStart w:id="301" w:name="_Toc216816134"/>
      <w:bookmarkStart w:id="302" w:name="_Toc216857840"/>
      <w:bookmarkStart w:id="303" w:name="_Toc217888850"/>
      <w:r w:rsidRPr="006F3533">
        <w:rPr>
          <w:rFonts w:ascii="Aptos" w:eastAsiaTheme="minorHAnsi" w:hAnsi="Aptos" w:cstheme="minorBidi"/>
          <w:sz w:val="24"/>
          <w:szCs w:val="22"/>
          <w:lang w:val="bg-BG"/>
        </w:rPr>
        <w:lastRenderedPageBreak/>
        <w:t>Финансиране и икономически с</w:t>
      </w:r>
      <w:bookmarkEnd w:id="301"/>
      <w:bookmarkEnd w:id="302"/>
      <w:r w:rsidR="00B635A2" w:rsidRPr="006F3533">
        <w:rPr>
          <w:rFonts w:ascii="Aptos" w:eastAsiaTheme="minorHAnsi" w:hAnsi="Aptos" w:cstheme="minorBidi"/>
          <w:sz w:val="24"/>
          <w:szCs w:val="22"/>
          <w:lang w:val="bg-BG"/>
        </w:rPr>
        <w:t>тимули</w:t>
      </w:r>
      <w:bookmarkEnd w:id="303"/>
    </w:p>
    <w:p w14:paraId="72288A7F" w14:textId="7FC930D2" w:rsidR="00B635A2" w:rsidRPr="006F3533" w:rsidRDefault="00B635A2" w:rsidP="00480D32">
      <w:pPr>
        <w:pStyle w:val="NormalWeb"/>
        <w:numPr>
          <w:ilvl w:val="0"/>
          <w:numId w:val="43"/>
        </w:numPr>
        <w:jc w:val="both"/>
        <w:rPr>
          <w:rFonts w:ascii="Aptos" w:hAnsi="Aptos"/>
          <w:lang w:val="bg-BG"/>
        </w:rPr>
      </w:pPr>
      <w:r w:rsidRPr="006F3533">
        <w:rPr>
          <w:rStyle w:val="Strong"/>
          <w:rFonts w:ascii="Aptos" w:hAnsi="Aptos"/>
          <w:lang w:val="bg-BG"/>
        </w:rPr>
        <w:t>С цел стимулиране на устойчивото управление на отпадъците е необходимо определение на критерии за допустимост на разходите</w:t>
      </w:r>
      <w:r w:rsidRPr="006F3533">
        <w:rPr>
          <w:rFonts w:ascii="Aptos" w:hAnsi="Aptos"/>
          <w:lang w:val="bg-BG"/>
        </w:rPr>
        <w:t xml:space="preserve"> за предварителни одити, разделно събиране на площадка за отпадъци, селективно разрушаване и сертифициране на вторични материали по национални и европейски програми. Стъпка в тази посока е и приоритизиране на проекти за </w:t>
      </w:r>
      <w:r w:rsidRPr="006F3533">
        <w:rPr>
          <w:rStyle w:val="Strong"/>
          <w:rFonts w:ascii="Aptos" w:hAnsi="Aptos"/>
          <w:lang w:val="bg-BG"/>
        </w:rPr>
        <w:t>инсталации за селективно разрушаване и рециклиране</w:t>
      </w:r>
      <w:r w:rsidRPr="006F3533">
        <w:rPr>
          <w:rFonts w:ascii="Aptos" w:hAnsi="Aptos"/>
          <w:lang w:val="bg-BG"/>
        </w:rPr>
        <w:t xml:space="preserve"> по Програма „Околна среда“ 2021–2027 г., които са за подобряване на инфраструктурата и повишаване качеството на преработка на отпадъците.</w:t>
      </w:r>
    </w:p>
    <w:p w14:paraId="480A2427" w14:textId="427AF024" w:rsidR="00B572B1" w:rsidRPr="006F3533" w:rsidRDefault="00B635A2" w:rsidP="00551FED">
      <w:pPr>
        <w:pStyle w:val="NormalWeb"/>
        <w:numPr>
          <w:ilvl w:val="0"/>
          <w:numId w:val="43"/>
        </w:numPr>
        <w:jc w:val="both"/>
        <w:rPr>
          <w:rFonts w:ascii="Aptos" w:hAnsi="Aptos"/>
          <w:lang w:val="bg-BG"/>
        </w:rPr>
      </w:pPr>
      <w:r w:rsidRPr="006F3533">
        <w:rPr>
          <w:rFonts w:ascii="Aptos" w:hAnsi="Aptos"/>
          <w:lang w:val="bg-BG"/>
        </w:rPr>
        <w:t xml:space="preserve">За да се насърчат рециклирането и повторната употреба на ОСР, е редно да се направи преглед и калибриране на ценовите показатели (напр. </w:t>
      </w:r>
      <w:r w:rsidRPr="006F3533">
        <w:rPr>
          <w:rStyle w:val="Strong"/>
          <w:rFonts w:ascii="Aptos" w:hAnsi="Aptos"/>
          <w:lang w:val="bg-BG"/>
        </w:rPr>
        <w:t>такси за депониране</w:t>
      </w:r>
      <w:r w:rsidRPr="006F3533">
        <w:rPr>
          <w:rFonts w:ascii="Aptos" w:hAnsi="Aptos"/>
          <w:lang w:val="bg-BG"/>
        </w:rPr>
        <w:t xml:space="preserve"> на инертни ОСР в съответствие със стратегическите цели „По-малко отпадъци, повече ресурси“. Цените трябва да са икономически  оправдани и прозрачно насочени към постоянното подобряване и разширяване на услугите, свързани с намаляването и рециклирането на отпадъци.</w:t>
      </w:r>
    </w:p>
    <w:p w14:paraId="4819D105" w14:textId="77777777" w:rsidR="00B572B1" w:rsidRPr="006F3533" w:rsidRDefault="00B572B1" w:rsidP="00077D42">
      <w:pPr>
        <w:pStyle w:val="Heading3"/>
        <w:jc w:val="both"/>
        <w:rPr>
          <w:rFonts w:ascii="Aptos" w:eastAsiaTheme="minorHAnsi" w:hAnsi="Aptos" w:cstheme="minorBidi"/>
          <w:sz w:val="24"/>
          <w:szCs w:val="22"/>
          <w:lang w:val="bg-BG"/>
        </w:rPr>
      </w:pPr>
      <w:bookmarkStart w:id="304" w:name="_Toc216816135"/>
      <w:bookmarkStart w:id="305" w:name="_Toc216857841"/>
      <w:bookmarkStart w:id="306" w:name="_Toc217888851"/>
      <w:r w:rsidRPr="006F3533">
        <w:rPr>
          <w:rFonts w:ascii="Aptos" w:eastAsiaTheme="minorHAnsi" w:hAnsi="Aptos" w:cstheme="minorBidi"/>
          <w:sz w:val="24"/>
          <w:szCs w:val="22"/>
          <w:lang w:val="bg-BG"/>
        </w:rPr>
        <w:t>Дигитализация, проследяване, отчетност и контрол</w:t>
      </w:r>
      <w:bookmarkEnd w:id="304"/>
      <w:bookmarkEnd w:id="305"/>
      <w:bookmarkEnd w:id="306"/>
    </w:p>
    <w:p w14:paraId="2606F790" w14:textId="6B97F69B" w:rsidR="00B635A2" w:rsidRPr="006F3533" w:rsidRDefault="00B635A2" w:rsidP="00480D32">
      <w:pPr>
        <w:pStyle w:val="NormalWeb"/>
        <w:numPr>
          <w:ilvl w:val="0"/>
          <w:numId w:val="44"/>
        </w:numPr>
        <w:jc w:val="both"/>
        <w:rPr>
          <w:rFonts w:ascii="Aptos" w:hAnsi="Aptos"/>
          <w:lang w:val="bg-BG"/>
        </w:rPr>
      </w:pPr>
      <w:bookmarkStart w:id="307" w:name="_Toc216816136"/>
      <w:bookmarkStart w:id="308" w:name="_Toc216857842"/>
      <w:r w:rsidRPr="006F3533">
        <w:rPr>
          <w:rStyle w:val="Strong"/>
          <w:rFonts w:ascii="Aptos" w:hAnsi="Aptos"/>
          <w:lang w:val="bg-BG"/>
        </w:rPr>
        <w:t>Въвеждане на дигитални декларации за ОСР</w:t>
      </w:r>
      <w:r w:rsidRPr="006F3533">
        <w:rPr>
          <w:rFonts w:ascii="Aptos" w:hAnsi="Aptos"/>
          <w:lang w:val="bg-BG"/>
        </w:rPr>
        <w:t xml:space="preserve"> на проектно ниво (докладване за фракции, количества, предназначение) с годишно отчитане на областно и национално равнище. Тези декларации ще са част от постепенно въвеждане на </w:t>
      </w:r>
      <w:r w:rsidRPr="006F3533">
        <w:rPr>
          <w:rStyle w:val="Strong"/>
          <w:rFonts w:ascii="Aptos" w:hAnsi="Aptos"/>
          <w:lang w:val="bg-BG"/>
        </w:rPr>
        <w:t xml:space="preserve">индикатор </w:t>
      </w:r>
      <w:proofErr w:type="spellStart"/>
      <w:r w:rsidRPr="006F3533">
        <w:rPr>
          <w:rStyle w:val="Strong"/>
          <w:rFonts w:ascii="Aptos" w:hAnsi="Aptos"/>
          <w:lang w:val="bg-BG"/>
        </w:rPr>
        <w:t>Level</w:t>
      </w:r>
      <w:proofErr w:type="spellEnd"/>
      <w:r w:rsidRPr="006F3533">
        <w:rPr>
          <w:rStyle w:val="Strong"/>
          <w:rFonts w:ascii="Aptos" w:hAnsi="Aptos"/>
          <w:lang w:val="bg-BG"/>
        </w:rPr>
        <w:t>(s) 2.2</w:t>
      </w:r>
      <w:r w:rsidRPr="006F3533">
        <w:rPr>
          <w:rFonts w:ascii="Aptos" w:hAnsi="Aptos"/>
          <w:lang w:val="bg-BG"/>
        </w:rPr>
        <w:t xml:space="preserve"> в публично финансирани проекти и обвързване с дигиталния дневник на сградите.</w:t>
      </w:r>
    </w:p>
    <w:p w14:paraId="745424A7" w14:textId="77777777" w:rsidR="00B635A2" w:rsidRPr="006F3533" w:rsidRDefault="00B635A2" w:rsidP="00480D32">
      <w:pPr>
        <w:pStyle w:val="NormalWeb"/>
        <w:numPr>
          <w:ilvl w:val="0"/>
          <w:numId w:val="44"/>
        </w:numPr>
        <w:jc w:val="both"/>
        <w:rPr>
          <w:rFonts w:ascii="Aptos" w:hAnsi="Aptos"/>
          <w:lang w:val="bg-BG"/>
        </w:rPr>
      </w:pPr>
      <w:r w:rsidRPr="006F3533">
        <w:rPr>
          <w:rStyle w:val="Strong"/>
          <w:rFonts w:ascii="Aptos" w:hAnsi="Aptos"/>
          <w:lang w:val="bg-BG"/>
        </w:rPr>
        <w:t>Годишно публикуване на статистика</w:t>
      </w:r>
      <w:r w:rsidRPr="006F3533">
        <w:rPr>
          <w:rFonts w:ascii="Aptos" w:hAnsi="Aptos"/>
          <w:lang w:val="bg-BG"/>
        </w:rPr>
        <w:t xml:space="preserve"> за ОСР по фракции, методи на третиране и проценти на възстановяване, като условие за политическо управление и коректив на мерките. За целта е необходимо адекватно събиране на данни и обработка на информация, подкрепени от прилагането на дигитални инструменти за управление на документацията. </w:t>
      </w:r>
    </w:p>
    <w:p w14:paraId="5B0F1699" w14:textId="3FDC7931" w:rsidR="00B635A2" w:rsidRPr="006F3533" w:rsidRDefault="00B635A2" w:rsidP="00480D32">
      <w:pPr>
        <w:pStyle w:val="NormalWeb"/>
        <w:numPr>
          <w:ilvl w:val="0"/>
          <w:numId w:val="44"/>
        </w:numPr>
        <w:jc w:val="both"/>
        <w:rPr>
          <w:rFonts w:ascii="Aptos" w:hAnsi="Aptos"/>
          <w:lang w:val="bg-BG"/>
        </w:rPr>
      </w:pPr>
      <w:r w:rsidRPr="006F3533">
        <w:rPr>
          <w:rStyle w:val="Strong"/>
          <w:rFonts w:ascii="Aptos" w:hAnsi="Aptos"/>
          <w:lang w:val="bg-BG"/>
        </w:rPr>
        <w:t xml:space="preserve">Финансов контрол </w:t>
      </w:r>
      <w:r w:rsidRPr="006F3533">
        <w:rPr>
          <w:rFonts w:ascii="Aptos" w:hAnsi="Aptos"/>
          <w:lang w:val="bg-BG"/>
        </w:rPr>
        <w:t>и съвместни проверки (строителен контрол и РИОСВ) са необходими за гарантиране на качественото изпълнение на плана и целите за оползотворяване и предотвратяване на ОСР. Така при неспазване и отклонения от заложените действия ще бъдат налагани корекции и ограничен достъп до последващо публично финансиране.</w:t>
      </w:r>
    </w:p>
    <w:p w14:paraId="1BA56F93" w14:textId="77777777" w:rsidR="00B572B1" w:rsidRPr="006F3533" w:rsidRDefault="00B572B1" w:rsidP="00077D42">
      <w:pPr>
        <w:pStyle w:val="Heading3"/>
        <w:jc w:val="both"/>
        <w:rPr>
          <w:rFonts w:ascii="Aptos" w:eastAsiaTheme="minorHAnsi" w:hAnsi="Aptos" w:cstheme="minorBidi"/>
          <w:sz w:val="24"/>
          <w:szCs w:val="22"/>
          <w:lang w:val="bg-BG"/>
        </w:rPr>
      </w:pPr>
      <w:bookmarkStart w:id="309" w:name="_Toc217888852"/>
      <w:r w:rsidRPr="006F3533">
        <w:rPr>
          <w:rFonts w:ascii="Aptos" w:eastAsiaTheme="minorHAnsi" w:hAnsi="Aptos" w:cstheme="minorBidi"/>
          <w:sz w:val="24"/>
          <w:szCs w:val="22"/>
          <w:lang w:val="bg-BG"/>
        </w:rPr>
        <w:t>Очаквани резултати и индикатори</w:t>
      </w:r>
      <w:bookmarkEnd w:id="307"/>
      <w:bookmarkEnd w:id="308"/>
      <w:bookmarkEnd w:id="309"/>
    </w:p>
    <w:p w14:paraId="34B6281B" w14:textId="77777777" w:rsidR="00B572B1" w:rsidRPr="006F3533" w:rsidRDefault="00B572B1" w:rsidP="00077D42">
      <w:pPr>
        <w:pStyle w:val="NormalWeb"/>
        <w:spacing w:before="0" w:beforeAutospacing="0"/>
        <w:jc w:val="both"/>
        <w:rPr>
          <w:rFonts w:ascii="Aptos" w:hAnsi="Aptos"/>
          <w:lang w:val="bg-BG"/>
        </w:rPr>
      </w:pPr>
      <w:r w:rsidRPr="006F3533">
        <w:rPr>
          <w:rFonts w:ascii="Aptos" w:hAnsi="Aptos"/>
          <w:lang w:val="bg-BG"/>
        </w:rPr>
        <w:t>Прилагането на горните мерки ще доведе до:</w:t>
      </w:r>
    </w:p>
    <w:p w14:paraId="421D0B38" w14:textId="788160C8" w:rsidR="00B635A2" w:rsidRPr="006F3533" w:rsidRDefault="00B635A2" w:rsidP="00480D32">
      <w:pPr>
        <w:pStyle w:val="NormalWeb"/>
        <w:numPr>
          <w:ilvl w:val="0"/>
          <w:numId w:val="45"/>
        </w:numPr>
        <w:jc w:val="both"/>
        <w:rPr>
          <w:rFonts w:ascii="Aptos" w:hAnsi="Aptos"/>
          <w:lang w:val="bg-BG"/>
        </w:rPr>
      </w:pPr>
      <w:r w:rsidRPr="006F3533">
        <w:rPr>
          <w:rFonts w:ascii="Aptos" w:hAnsi="Aptos"/>
          <w:lang w:val="bg-BG"/>
        </w:rPr>
        <w:t xml:space="preserve">последователно и устойчиво достигане и надграждане на заложените </w:t>
      </w:r>
      <w:r w:rsidRPr="006F3533">
        <w:rPr>
          <w:rStyle w:val="Strong"/>
          <w:rFonts w:ascii="Aptos" w:hAnsi="Aptos"/>
          <w:lang w:val="bg-BG"/>
        </w:rPr>
        <w:t>70%</w:t>
      </w:r>
      <w:r w:rsidRPr="006F3533">
        <w:rPr>
          <w:rFonts w:ascii="Aptos" w:hAnsi="Aptos"/>
          <w:lang w:val="bg-BG"/>
        </w:rPr>
        <w:t xml:space="preserve"> материално оползотворяване на неопасните ОСР;</w:t>
      </w:r>
    </w:p>
    <w:p w14:paraId="6F444CB1" w14:textId="77777777" w:rsidR="00B635A2" w:rsidRPr="006F3533" w:rsidRDefault="00B635A2" w:rsidP="00480D32">
      <w:pPr>
        <w:pStyle w:val="NormalWeb"/>
        <w:numPr>
          <w:ilvl w:val="0"/>
          <w:numId w:val="45"/>
        </w:numPr>
        <w:jc w:val="both"/>
        <w:rPr>
          <w:rFonts w:ascii="Aptos" w:hAnsi="Aptos"/>
          <w:lang w:val="bg-BG"/>
        </w:rPr>
      </w:pPr>
      <w:r w:rsidRPr="006F3533">
        <w:rPr>
          <w:rFonts w:ascii="Aptos" w:hAnsi="Aptos"/>
          <w:lang w:val="bg-BG"/>
        </w:rPr>
        <w:t xml:space="preserve">повишено </w:t>
      </w:r>
      <w:r w:rsidRPr="006F3533">
        <w:rPr>
          <w:rStyle w:val="Strong"/>
          <w:rFonts w:ascii="Aptos" w:hAnsi="Aptos"/>
          <w:lang w:val="bg-BG"/>
        </w:rPr>
        <w:t>качество и пазарна реализация</w:t>
      </w:r>
      <w:r w:rsidRPr="006F3533">
        <w:rPr>
          <w:rFonts w:ascii="Aptos" w:hAnsi="Aptos"/>
          <w:lang w:val="bg-BG"/>
        </w:rPr>
        <w:t xml:space="preserve"> на вторичните материали;</w:t>
      </w:r>
    </w:p>
    <w:p w14:paraId="2A3F0AFA" w14:textId="64324B58" w:rsidR="00B635A2" w:rsidRPr="006F3533" w:rsidRDefault="00B635A2" w:rsidP="00480D32">
      <w:pPr>
        <w:pStyle w:val="NormalWeb"/>
        <w:numPr>
          <w:ilvl w:val="0"/>
          <w:numId w:val="45"/>
        </w:numPr>
        <w:jc w:val="both"/>
        <w:rPr>
          <w:rFonts w:ascii="Aptos" w:hAnsi="Aptos"/>
          <w:lang w:val="bg-BG"/>
        </w:rPr>
      </w:pPr>
      <w:r w:rsidRPr="006F3533">
        <w:rPr>
          <w:rStyle w:val="Strong"/>
          <w:rFonts w:ascii="Aptos" w:hAnsi="Aptos"/>
          <w:lang w:val="bg-BG"/>
        </w:rPr>
        <w:t>намаляване на натрупване на въглеродни емисии по време на жизнения цикъл</w:t>
      </w:r>
      <w:r w:rsidRPr="006F3533">
        <w:rPr>
          <w:rFonts w:ascii="Aptos" w:hAnsi="Aptos"/>
          <w:lang w:val="bg-BG"/>
        </w:rPr>
        <w:t xml:space="preserve"> на проектите за обновяване чрез прилагането на строителни продукти за повторна употреба и с рециклирано съдържание;</w:t>
      </w:r>
    </w:p>
    <w:p w14:paraId="4F94E938" w14:textId="2A5834A0" w:rsidR="00B635A2" w:rsidRPr="006F3533" w:rsidRDefault="00B635A2" w:rsidP="00480D32">
      <w:pPr>
        <w:pStyle w:val="NormalWeb"/>
        <w:numPr>
          <w:ilvl w:val="0"/>
          <w:numId w:val="45"/>
        </w:numPr>
        <w:jc w:val="both"/>
        <w:rPr>
          <w:rFonts w:ascii="Aptos" w:hAnsi="Aptos"/>
          <w:lang w:val="bg-BG"/>
        </w:rPr>
      </w:pPr>
      <w:r w:rsidRPr="006F3533">
        <w:rPr>
          <w:rFonts w:ascii="Aptos" w:hAnsi="Aptos"/>
          <w:lang w:val="bg-BG"/>
        </w:rPr>
        <w:t>по-ниски общи разходи за строителни проекти чрез отчитане на спестяванията от избегнато депониране и остатъчната стойност на материалите и продуктите;</w:t>
      </w:r>
    </w:p>
    <w:p w14:paraId="67D5838F" w14:textId="50524A97" w:rsidR="00B572B1" w:rsidRPr="006F3533" w:rsidRDefault="00B635A2" w:rsidP="00480D32">
      <w:pPr>
        <w:pStyle w:val="NormalWeb"/>
        <w:numPr>
          <w:ilvl w:val="0"/>
          <w:numId w:val="45"/>
        </w:numPr>
        <w:jc w:val="both"/>
        <w:rPr>
          <w:rFonts w:ascii="Aptos" w:hAnsi="Aptos"/>
          <w:lang w:val="bg-BG"/>
        </w:rPr>
      </w:pPr>
      <w:r w:rsidRPr="006F3533">
        <w:rPr>
          <w:rStyle w:val="Strong"/>
          <w:rFonts w:ascii="Aptos" w:hAnsi="Aptos"/>
          <w:lang w:val="bg-BG"/>
        </w:rPr>
        <w:t>по-добра проследимост и публичност</w:t>
      </w:r>
      <w:r w:rsidRPr="006F3533">
        <w:rPr>
          <w:rFonts w:ascii="Aptos" w:hAnsi="Aptos"/>
          <w:lang w:val="bg-BG"/>
        </w:rPr>
        <w:t xml:space="preserve"> на данните за управление на ОСР.</w:t>
      </w:r>
    </w:p>
    <w:p w14:paraId="0524E948" w14:textId="77777777" w:rsidR="00B572B1" w:rsidRPr="006F3533" w:rsidRDefault="00B572B1" w:rsidP="00480D32">
      <w:pPr>
        <w:pStyle w:val="NormalWeb"/>
        <w:jc w:val="both"/>
        <w:rPr>
          <w:rFonts w:ascii="Aptos" w:hAnsi="Aptos"/>
          <w:lang w:val="bg-BG"/>
        </w:rPr>
      </w:pPr>
      <w:r w:rsidRPr="006F3533">
        <w:rPr>
          <w:rFonts w:ascii="Aptos" w:hAnsi="Aptos"/>
          <w:lang w:val="bg-BG"/>
        </w:rPr>
        <w:lastRenderedPageBreak/>
        <w:t>Проследяването ще се извършва по линията на НПУО (програма за ОСР, индикатори и отчетност) и на стратегическите цели на кръговата икономика.</w:t>
      </w:r>
    </w:p>
    <w:p w14:paraId="50508787" w14:textId="77777777" w:rsidR="002A7BD7" w:rsidRPr="006F3533" w:rsidRDefault="00B572B1" w:rsidP="00077D42">
      <w:pPr>
        <w:pStyle w:val="NormalWeb"/>
        <w:jc w:val="both"/>
        <w:rPr>
          <w:rFonts w:ascii="Aptos" w:hAnsi="Aptos"/>
          <w:b/>
          <w:bCs/>
          <w:lang w:val="bg-BG" w:eastAsia="en-US"/>
        </w:rPr>
      </w:pPr>
      <w:r w:rsidRPr="006F3533">
        <w:rPr>
          <w:rFonts w:ascii="Aptos" w:hAnsi="Aptos"/>
          <w:b/>
          <w:bCs/>
          <w:lang w:val="bg-BG" w:eastAsia="en-US"/>
        </w:rPr>
        <w:t>Съответствие с националните документи</w:t>
      </w:r>
    </w:p>
    <w:p w14:paraId="74162AF2" w14:textId="3F9DBE49" w:rsidR="00B572B1" w:rsidRPr="006F3533" w:rsidRDefault="00B572B1" w:rsidP="00077D42">
      <w:pPr>
        <w:pStyle w:val="NormalWeb"/>
        <w:jc w:val="both"/>
        <w:rPr>
          <w:rFonts w:ascii="Aptos" w:hAnsi="Aptos"/>
          <w:lang w:val="bg-BG"/>
        </w:rPr>
      </w:pPr>
      <w:r w:rsidRPr="006F3533">
        <w:rPr>
          <w:rFonts w:ascii="Aptos" w:hAnsi="Aptos"/>
          <w:lang w:val="bg-BG"/>
        </w:rPr>
        <w:t xml:space="preserve">НПС прилага и надгражда НПУО 2021–2028 г. (програма за ОСР, индикатори, инвестиционни и „меки“ мерки) и Стратегията за преход към кръгова икономика 2022–2027 г. (стратегически цели и мерки за вторични суровини и дигитализация), като осигурява операционна връзка с политиките за </w:t>
      </w:r>
      <w:r w:rsidR="00B635A2" w:rsidRPr="006F3533">
        <w:rPr>
          <w:rFonts w:ascii="Aptos" w:hAnsi="Aptos"/>
          <w:lang w:val="bg-BG"/>
        </w:rPr>
        <w:t>обновяване</w:t>
      </w:r>
      <w:r w:rsidRPr="006F3533">
        <w:rPr>
          <w:rFonts w:ascii="Aptos" w:hAnsi="Aptos"/>
          <w:lang w:val="bg-BG"/>
        </w:rPr>
        <w:t xml:space="preserve"> и целите за намаляване на емисиите </w:t>
      </w:r>
      <w:r w:rsidR="00B635A2" w:rsidRPr="006F3533">
        <w:rPr>
          <w:rFonts w:ascii="Aptos" w:hAnsi="Aptos"/>
          <w:lang w:val="bg-BG"/>
        </w:rPr>
        <w:t>в</w:t>
      </w:r>
      <w:r w:rsidRPr="006F3533">
        <w:rPr>
          <w:rFonts w:ascii="Aptos" w:hAnsi="Aptos"/>
          <w:lang w:val="bg-BG"/>
        </w:rPr>
        <w:t xml:space="preserve"> жизнения цикъл на сградите.</w:t>
      </w:r>
    </w:p>
    <w:p w14:paraId="4831B1BA" w14:textId="77777777" w:rsidR="00B572B1" w:rsidRPr="006F3533" w:rsidRDefault="00B572B1" w:rsidP="00077D42">
      <w:pPr>
        <w:pStyle w:val="Heading2"/>
        <w:jc w:val="both"/>
        <w:rPr>
          <w:lang w:val="bg-BG"/>
        </w:rPr>
      </w:pPr>
      <w:bookmarkStart w:id="310" w:name="_Toc217888853"/>
      <w:r w:rsidRPr="006F3533">
        <w:rPr>
          <w:lang w:val="bg-BG"/>
        </w:rPr>
        <w:t>(h) Насърчаване на използването на енергия от възобновяеми източници в сградите</w:t>
      </w:r>
      <w:bookmarkEnd w:id="310"/>
    </w:p>
    <w:p w14:paraId="031F2A58" w14:textId="77777777" w:rsidR="00EA228B" w:rsidRPr="006F3533" w:rsidRDefault="00EA228B" w:rsidP="00077D42">
      <w:pPr>
        <w:pStyle w:val="NormalWeb"/>
        <w:jc w:val="both"/>
        <w:rPr>
          <w:rFonts w:ascii="Aptos" w:hAnsi="Aptos"/>
          <w:lang w:val="bg-BG"/>
        </w:rPr>
      </w:pPr>
      <w:r w:rsidRPr="006F3533">
        <w:rPr>
          <w:rFonts w:ascii="Aptos" w:hAnsi="Aptos"/>
          <w:lang w:val="bg-BG"/>
        </w:rPr>
        <w:t>Политиката за насърчаване на използването на енергия от възобновяеми енергийни източници в сградите е ключов елемент от усилията на България за постигане на климатична неутралност и енергийна независимост. Съгласно член 15а от Директивата за насърчаване използването на енергия от възобновяеми източници, всяка държава членка следва да определи национален индикативен дял на енергията от ВЕИ в крайното енергийно потребление в строителния сектор до 2030 г., в съответствие с общата европейска цел за поне 49% дял на ВЕИ в сградите.</w:t>
      </w:r>
    </w:p>
    <w:p w14:paraId="5DA833AE" w14:textId="77777777" w:rsidR="00EA228B" w:rsidRPr="006F3533" w:rsidRDefault="00EA228B" w:rsidP="00077D42">
      <w:pPr>
        <w:pStyle w:val="NormalWeb"/>
        <w:jc w:val="both"/>
        <w:rPr>
          <w:rFonts w:ascii="Aptos" w:hAnsi="Aptos"/>
          <w:lang w:val="bg-BG"/>
        </w:rPr>
      </w:pPr>
      <w:r w:rsidRPr="006F3533">
        <w:rPr>
          <w:rFonts w:ascii="Aptos" w:hAnsi="Aptos"/>
          <w:lang w:val="bg-BG"/>
        </w:rPr>
        <w:t>В актуализирания Интегриран национален план в областта на енергетиката и климата България вече е заложила амбициозни цели по измерението „</w:t>
      </w:r>
      <w:proofErr w:type="spellStart"/>
      <w:r w:rsidRPr="006F3533">
        <w:rPr>
          <w:rFonts w:ascii="Aptos" w:hAnsi="Aptos"/>
          <w:lang w:val="bg-BG"/>
        </w:rPr>
        <w:t>Декарбонизация</w:t>
      </w:r>
      <w:proofErr w:type="spellEnd"/>
      <w:r w:rsidRPr="006F3533">
        <w:rPr>
          <w:rFonts w:ascii="Aptos" w:hAnsi="Aptos"/>
          <w:lang w:val="bg-BG"/>
        </w:rPr>
        <w:t>“, включително 34,96% дял на енергията от ВЕИ в общото брутно крайно потребление на енергия, 49,34% дял на ВЕИ в електроенергийния сектор и 44,01% в секторите за отопление и охлаждане до 2030 г. Тези цели очертават рамката за развитие на политиките за ВЕИ в сградния сектор и ще бъдат конкретизирани чрез определяне на национален индикативен дял за сградите в съответствие с член 15а от Директивата.</w:t>
      </w:r>
    </w:p>
    <w:p w14:paraId="18D37F85" w14:textId="77777777" w:rsidR="00EA228B" w:rsidRPr="006F3533" w:rsidRDefault="00EA228B" w:rsidP="00077D42">
      <w:pPr>
        <w:pStyle w:val="NormalWeb"/>
        <w:jc w:val="both"/>
        <w:rPr>
          <w:rFonts w:ascii="Aptos" w:hAnsi="Aptos"/>
          <w:b/>
          <w:bCs/>
          <w:lang w:val="bg-BG"/>
        </w:rPr>
      </w:pPr>
      <w:r w:rsidRPr="006F3533">
        <w:rPr>
          <w:rFonts w:ascii="Aptos" w:hAnsi="Aptos"/>
          <w:b/>
          <w:bCs/>
          <w:lang w:val="bg-BG"/>
        </w:rPr>
        <w:t>Настоящо състояние</w:t>
      </w:r>
    </w:p>
    <w:p w14:paraId="04CFCB9D" w14:textId="77777777" w:rsidR="00EA228B" w:rsidRPr="006F3533" w:rsidRDefault="00EA228B" w:rsidP="00077D42">
      <w:pPr>
        <w:pStyle w:val="NormalWeb"/>
        <w:jc w:val="both"/>
        <w:rPr>
          <w:rFonts w:ascii="Aptos" w:hAnsi="Aptos"/>
          <w:lang w:val="bg-BG"/>
        </w:rPr>
      </w:pPr>
      <w:r w:rsidRPr="006F3533">
        <w:rPr>
          <w:rFonts w:ascii="Aptos" w:hAnsi="Aptos"/>
          <w:lang w:val="bg-BG"/>
        </w:rPr>
        <w:t xml:space="preserve">България разполага с нормативна и програмна основа за насърчаване на използването на възобновяеми източници в сградите, но реалното прилагане все още среща затруднения. Програмата „Подкрепа за енергия от възобновяеми източници за домакинствата“, част от Националния план за възстановяване и устойчивост, бе прекратена поради ниска </w:t>
      </w:r>
      <w:proofErr w:type="spellStart"/>
      <w:r w:rsidRPr="006F3533">
        <w:rPr>
          <w:rFonts w:ascii="Aptos" w:hAnsi="Aptos"/>
          <w:lang w:val="bg-BG"/>
        </w:rPr>
        <w:t>усвояемост</w:t>
      </w:r>
      <w:proofErr w:type="spellEnd"/>
      <w:r w:rsidRPr="006F3533">
        <w:rPr>
          <w:rFonts w:ascii="Aptos" w:hAnsi="Aptos"/>
          <w:lang w:val="bg-BG"/>
        </w:rPr>
        <w:t>, предизвикана от сложни административни изисквания, недостатъчен институционален капацитет, липса на активна информационна кампания и отсъствие на действаща мрежа от центрове за комплексно обслужване.</w:t>
      </w:r>
    </w:p>
    <w:p w14:paraId="32C305A7" w14:textId="77777777" w:rsidR="00EA228B" w:rsidRPr="006F3533" w:rsidRDefault="00EA228B" w:rsidP="00077D42">
      <w:pPr>
        <w:pStyle w:val="NormalWeb"/>
        <w:jc w:val="both"/>
        <w:rPr>
          <w:rFonts w:ascii="Aptos" w:hAnsi="Aptos"/>
          <w:lang w:val="bg-BG"/>
        </w:rPr>
      </w:pPr>
      <w:r w:rsidRPr="006F3533">
        <w:rPr>
          <w:rFonts w:ascii="Aptos" w:hAnsi="Aptos"/>
          <w:lang w:val="bg-BG"/>
        </w:rPr>
        <w:t xml:space="preserve">Въпреки това, чрез проекти за енергийна ефективност на публични сгради и чрез демонстрационни общински инициативи вече са реализирани стотици инсталации за </w:t>
      </w:r>
      <w:proofErr w:type="spellStart"/>
      <w:r w:rsidRPr="006F3533">
        <w:rPr>
          <w:rFonts w:ascii="Aptos" w:hAnsi="Aptos"/>
          <w:lang w:val="bg-BG"/>
        </w:rPr>
        <w:t>фотоволтаици</w:t>
      </w:r>
      <w:proofErr w:type="spellEnd"/>
      <w:r w:rsidRPr="006F3533">
        <w:rPr>
          <w:rFonts w:ascii="Aptos" w:hAnsi="Aptos"/>
          <w:lang w:val="bg-BG"/>
        </w:rPr>
        <w:t>, слънчева топлинна енергия и термопомпи, които показват осезаем потенциал за намаляване на разходите за енергия и на въглеродните емисии.</w:t>
      </w:r>
    </w:p>
    <w:p w14:paraId="7EBC934F" w14:textId="77777777" w:rsidR="00EA228B" w:rsidRPr="006F3533" w:rsidRDefault="00EA228B" w:rsidP="00077D42">
      <w:pPr>
        <w:pStyle w:val="NormalWeb"/>
        <w:jc w:val="both"/>
        <w:rPr>
          <w:rFonts w:ascii="Aptos" w:hAnsi="Aptos"/>
          <w:b/>
          <w:bCs/>
          <w:lang w:val="bg-BG"/>
        </w:rPr>
      </w:pPr>
      <w:r w:rsidRPr="006F3533">
        <w:rPr>
          <w:rFonts w:ascii="Aptos" w:hAnsi="Aptos"/>
          <w:b/>
          <w:bCs/>
          <w:lang w:val="bg-BG"/>
        </w:rPr>
        <w:t>Цели и принципи</w:t>
      </w:r>
    </w:p>
    <w:p w14:paraId="236C2E05" w14:textId="77777777" w:rsidR="00EA228B" w:rsidRPr="006F3533" w:rsidRDefault="00EA228B" w:rsidP="00077D42">
      <w:pPr>
        <w:pStyle w:val="NormalWeb"/>
        <w:jc w:val="both"/>
        <w:rPr>
          <w:rFonts w:ascii="Aptos" w:hAnsi="Aptos"/>
          <w:lang w:val="bg-BG"/>
        </w:rPr>
      </w:pPr>
      <w:r w:rsidRPr="006F3533">
        <w:rPr>
          <w:rFonts w:ascii="Aptos" w:hAnsi="Aptos"/>
          <w:lang w:val="bg-BG"/>
        </w:rPr>
        <w:lastRenderedPageBreak/>
        <w:t>Основната цел до 2030 г. е постигане на значително нарастване на дела на възобновяемите източници в крайното енергийно потребление в сградния сектор, в съответствие с националните цели по ИНПЕК. Това ще бъде постигнато чрез нормативни изисквания, финансова подкрепа, цифровизация на мрежите и активна ангажираност на гражданите и общините.</w:t>
      </w:r>
    </w:p>
    <w:p w14:paraId="082E3416" w14:textId="77777777" w:rsidR="00EA228B" w:rsidRPr="006F3533" w:rsidRDefault="00EA228B" w:rsidP="00077D42">
      <w:pPr>
        <w:pStyle w:val="NormalWeb"/>
        <w:jc w:val="both"/>
        <w:rPr>
          <w:rFonts w:ascii="Aptos" w:hAnsi="Aptos"/>
          <w:b/>
          <w:bCs/>
          <w:lang w:val="bg-BG"/>
        </w:rPr>
      </w:pPr>
      <w:r w:rsidRPr="006F3533">
        <w:rPr>
          <w:rFonts w:ascii="Aptos" w:hAnsi="Aptos"/>
          <w:b/>
          <w:bCs/>
          <w:lang w:val="bg-BG"/>
        </w:rPr>
        <w:t>1. Нормативни изисквания и интеграция в строителните правила</w:t>
      </w:r>
    </w:p>
    <w:p w14:paraId="6F90E14B" w14:textId="77777777" w:rsidR="00EA228B" w:rsidRPr="006F3533" w:rsidRDefault="00EA228B" w:rsidP="00077D42">
      <w:pPr>
        <w:pStyle w:val="NormalWeb"/>
        <w:jc w:val="both"/>
        <w:rPr>
          <w:rFonts w:ascii="Aptos" w:hAnsi="Aptos"/>
          <w:lang w:val="bg-BG"/>
        </w:rPr>
      </w:pPr>
      <w:r w:rsidRPr="006F3533">
        <w:rPr>
          <w:rFonts w:ascii="Aptos" w:hAnsi="Aptos"/>
          <w:lang w:val="bg-BG"/>
        </w:rPr>
        <w:t xml:space="preserve">България вече прилага изискването новото строителство да отговаря на нивото на </w:t>
      </w:r>
      <w:r w:rsidRPr="006F3533">
        <w:rPr>
          <w:rFonts w:ascii="Aptos" w:hAnsi="Aptos"/>
          <w:b/>
          <w:bCs/>
          <w:lang w:val="bg-BG"/>
        </w:rPr>
        <w:t>сграда с близко до нулево потребление на енергия (СБНПЕ)</w:t>
      </w:r>
      <w:r w:rsidRPr="006F3533">
        <w:rPr>
          <w:rFonts w:ascii="Aptos" w:hAnsi="Aptos"/>
          <w:lang w:val="bg-BG"/>
        </w:rPr>
        <w:t xml:space="preserve">, което предвижда минимум </w:t>
      </w:r>
      <w:r w:rsidRPr="006F3533">
        <w:rPr>
          <w:rFonts w:ascii="Aptos" w:hAnsi="Aptos"/>
          <w:b/>
          <w:bCs/>
          <w:lang w:val="bg-BG"/>
        </w:rPr>
        <w:t>55% дял на енергията от възобновяеми източници</w:t>
      </w:r>
      <w:r w:rsidRPr="006F3533">
        <w:rPr>
          <w:rFonts w:ascii="Aptos" w:hAnsi="Aptos"/>
          <w:lang w:val="bg-BG"/>
        </w:rPr>
        <w:t xml:space="preserve"> в годишното енергийно потребление. С влизането в сила на новата Директива за енергийните характеристики на сградите (ДЕХС) тези изисквания ще бъдат надградени чрез въвеждане на дефиницията за </w:t>
      </w:r>
      <w:r w:rsidRPr="006F3533">
        <w:rPr>
          <w:rFonts w:ascii="Aptos" w:hAnsi="Aptos"/>
          <w:b/>
          <w:bCs/>
          <w:lang w:val="bg-BG"/>
        </w:rPr>
        <w:t>„</w:t>
      </w:r>
      <w:proofErr w:type="spellStart"/>
      <w:r w:rsidRPr="006F3533">
        <w:rPr>
          <w:rFonts w:ascii="Aptos" w:hAnsi="Aptos"/>
          <w:b/>
          <w:bCs/>
          <w:lang w:val="bg-BG"/>
        </w:rPr>
        <w:t>нулевоемисионна</w:t>
      </w:r>
      <w:proofErr w:type="spellEnd"/>
      <w:r w:rsidRPr="006F3533">
        <w:rPr>
          <w:rFonts w:ascii="Aptos" w:hAnsi="Aptos"/>
          <w:b/>
          <w:bCs/>
          <w:lang w:val="bg-BG"/>
        </w:rPr>
        <w:t xml:space="preserve"> сграда (НЕС)”</w:t>
      </w:r>
      <w:r w:rsidRPr="006F3533">
        <w:rPr>
          <w:rFonts w:ascii="Aptos" w:hAnsi="Aptos"/>
          <w:lang w:val="bg-BG"/>
        </w:rPr>
        <w:t>, при която използваната енергия трябва да бъде почти изцяло от възобновяеми източници.</w:t>
      </w:r>
    </w:p>
    <w:p w14:paraId="241FE805" w14:textId="77777777" w:rsidR="00EA228B" w:rsidRPr="006F3533" w:rsidRDefault="00EA228B" w:rsidP="00077D42">
      <w:pPr>
        <w:pStyle w:val="NormalWeb"/>
        <w:jc w:val="both"/>
        <w:rPr>
          <w:rFonts w:ascii="Aptos" w:hAnsi="Aptos"/>
          <w:lang w:val="bg-BG"/>
        </w:rPr>
      </w:pPr>
      <w:r w:rsidRPr="006F3533">
        <w:rPr>
          <w:rFonts w:ascii="Aptos" w:hAnsi="Aptos"/>
          <w:lang w:val="bg-BG"/>
        </w:rPr>
        <w:t xml:space="preserve">Предвижда се тези нива на енергийна ефективност и използване на ВЕИ да станат </w:t>
      </w:r>
      <w:r w:rsidRPr="006F3533">
        <w:rPr>
          <w:rFonts w:ascii="Aptos" w:hAnsi="Aptos"/>
          <w:b/>
          <w:bCs/>
          <w:lang w:val="bg-BG"/>
        </w:rPr>
        <w:t>целеви и при обновяване на съществуващи сгради</w:t>
      </w:r>
      <w:r w:rsidRPr="006F3533">
        <w:rPr>
          <w:rFonts w:ascii="Aptos" w:hAnsi="Aptos"/>
          <w:lang w:val="bg-BG"/>
        </w:rPr>
        <w:t xml:space="preserve">, което ще осигури постепенно приближаване на целия сграден фонд към стандартите за </w:t>
      </w:r>
      <w:proofErr w:type="spellStart"/>
      <w:r w:rsidRPr="006F3533">
        <w:rPr>
          <w:rFonts w:ascii="Aptos" w:hAnsi="Aptos"/>
          <w:lang w:val="bg-BG"/>
        </w:rPr>
        <w:t>нулевоемисионни</w:t>
      </w:r>
      <w:proofErr w:type="spellEnd"/>
      <w:r w:rsidRPr="006F3533">
        <w:rPr>
          <w:rFonts w:ascii="Aptos" w:hAnsi="Aptos"/>
          <w:lang w:val="bg-BG"/>
        </w:rPr>
        <w:t xml:space="preserve"> сгради. В тази връзка ще бъдат актуализирани националните строителни норми, методиките за енергийни обследвания и сертификатите за енергийни характеристики, така че да включват количествени изисквания за минимален дял на ВЕИ и ясни критерии за тяхното доказване.</w:t>
      </w:r>
    </w:p>
    <w:p w14:paraId="7714BF56" w14:textId="77777777" w:rsidR="00EA228B" w:rsidRPr="006F3533" w:rsidRDefault="00EA228B" w:rsidP="00077D42">
      <w:pPr>
        <w:pStyle w:val="NormalWeb"/>
        <w:jc w:val="both"/>
        <w:rPr>
          <w:rFonts w:ascii="Aptos" w:hAnsi="Aptos"/>
          <w:lang w:val="bg-BG"/>
        </w:rPr>
      </w:pPr>
      <w:r w:rsidRPr="006F3533">
        <w:rPr>
          <w:rFonts w:ascii="Aptos" w:hAnsi="Aptos"/>
          <w:lang w:val="bg-BG"/>
        </w:rPr>
        <w:t>Ще се предвиди задължение всички нови сгради да бъдат проектирани с оптимален потенциал за производство на енергия от възобновяеми източници – чрез ориентация, конструктивни възможности за фотоволтаични или термични соларни системи и осигуряване на готовност за последващо инсталиране на такива решения („соларна готовност“).</w:t>
      </w:r>
    </w:p>
    <w:p w14:paraId="71FD36EE" w14:textId="0DDC8E56" w:rsidR="00EA228B" w:rsidRPr="006F3533" w:rsidRDefault="00EA228B" w:rsidP="00077D42">
      <w:pPr>
        <w:pStyle w:val="NormalWeb"/>
        <w:jc w:val="both"/>
        <w:rPr>
          <w:rFonts w:ascii="Aptos" w:hAnsi="Aptos"/>
          <w:b/>
          <w:bCs/>
          <w:lang w:val="bg-BG"/>
        </w:rPr>
      </w:pPr>
      <w:r w:rsidRPr="006F3533">
        <w:rPr>
          <w:rFonts w:ascii="Aptos" w:hAnsi="Aptos"/>
          <w:b/>
          <w:bCs/>
          <w:lang w:val="bg-BG"/>
        </w:rPr>
        <w:t xml:space="preserve">2. Улесняване на потребителите и насърчаване на </w:t>
      </w:r>
      <w:r w:rsidR="002A7BD7" w:rsidRPr="006F3533">
        <w:rPr>
          <w:rFonts w:ascii="Aptos" w:hAnsi="Aptos"/>
          <w:b/>
          <w:bCs/>
          <w:lang w:val="bg-BG"/>
        </w:rPr>
        <w:t>споделеното производство и потребление</w:t>
      </w:r>
    </w:p>
    <w:p w14:paraId="1A314FDC" w14:textId="77777777" w:rsidR="00EA228B" w:rsidRPr="006F3533" w:rsidRDefault="00EA228B" w:rsidP="00077D42">
      <w:pPr>
        <w:pStyle w:val="NormalWeb"/>
        <w:jc w:val="both"/>
        <w:rPr>
          <w:rFonts w:ascii="Aptos" w:hAnsi="Aptos"/>
          <w:lang w:val="bg-BG"/>
        </w:rPr>
      </w:pPr>
      <w:r w:rsidRPr="006F3533">
        <w:rPr>
          <w:rFonts w:ascii="Aptos" w:hAnsi="Aptos"/>
          <w:lang w:val="bg-BG"/>
        </w:rPr>
        <w:t xml:space="preserve">Следващата стъпка в политиката за насърчаване на ВЕИ е </w:t>
      </w:r>
      <w:r w:rsidRPr="006F3533">
        <w:rPr>
          <w:rFonts w:ascii="Aptos" w:hAnsi="Aptos"/>
          <w:b/>
          <w:bCs/>
          <w:lang w:val="bg-BG"/>
        </w:rPr>
        <w:t>разширяване на възможностите за енергийни общности и споделено производство и потребление</w:t>
      </w:r>
      <w:r w:rsidRPr="006F3533">
        <w:rPr>
          <w:rFonts w:ascii="Aptos" w:hAnsi="Aptos"/>
          <w:lang w:val="bg-BG"/>
        </w:rPr>
        <w:t xml:space="preserve">. В рамките на действащото законодателство съществуват предпоставки за създаване на енергийни общности и за споделено потребление на произведената енергия в многофамилни сгради и квартали. За пълноценното им развитие обаче е необходимо да се ускори </w:t>
      </w:r>
      <w:r w:rsidRPr="006F3533">
        <w:rPr>
          <w:rFonts w:ascii="Aptos" w:hAnsi="Aptos"/>
          <w:b/>
          <w:bCs/>
          <w:lang w:val="bg-BG"/>
        </w:rPr>
        <w:t>цифровизацията на електроразпределителните мрежи</w:t>
      </w:r>
      <w:r w:rsidRPr="006F3533">
        <w:rPr>
          <w:rFonts w:ascii="Aptos" w:hAnsi="Aptos"/>
          <w:lang w:val="bg-BG"/>
        </w:rPr>
        <w:t xml:space="preserve">, да се осигури </w:t>
      </w:r>
      <w:r w:rsidRPr="006F3533">
        <w:rPr>
          <w:rFonts w:ascii="Aptos" w:hAnsi="Aptos"/>
          <w:b/>
          <w:bCs/>
          <w:lang w:val="bg-BG"/>
        </w:rPr>
        <w:t>достъп до данни за потреблението и производството на енергия в машинно четим формат</w:t>
      </w:r>
      <w:r w:rsidRPr="006F3533">
        <w:rPr>
          <w:rFonts w:ascii="Aptos" w:hAnsi="Aptos"/>
          <w:lang w:val="bg-BG"/>
        </w:rPr>
        <w:t>, както и да се преразгледат и оптимизират мрежовите такси и регулаторните условия, с цел да не се създават необосновани финансови бариери пред споделеното производство и потребление на електрическа енергия на ниво ниско и средно напрежение.</w:t>
      </w:r>
    </w:p>
    <w:p w14:paraId="70D16716" w14:textId="77777777" w:rsidR="00EA228B" w:rsidRPr="006F3533" w:rsidRDefault="00EA228B" w:rsidP="00077D42">
      <w:pPr>
        <w:pStyle w:val="NormalWeb"/>
        <w:jc w:val="both"/>
        <w:rPr>
          <w:rFonts w:ascii="Aptos" w:hAnsi="Aptos"/>
          <w:lang w:val="bg-BG"/>
        </w:rPr>
      </w:pPr>
      <w:r w:rsidRPr="006F3533">
        <w:rPr>
          <w:rFonts w:ascii="Aptos" w:hAnsi="Aptos"/>
          <w:lang w:val="bg-BG"/>
        </w:rPr>
        <w:t xml:space="preserve">Тези мерки ще дадат възможност за ефективно използване на местния енергиен потенциал, за повишаване на </w:t>
      </w:r>
      <w:proofErr w:type="spellStart"/>
      <w:r w:rsidRPr="006F3533">
        <w:rPr>
          <w:rFonts w:ascii="Aptos" w:hAnsi="Aptos"/>
          <w:lang w:val="bg-BG"/>
        </w:rPr>
        <w:t>самопотреблението</w:t>
      </w:r>
      <w:proofErr w:type="spellEnd"/>
      <w:r w:rsidRPr="006F3533">
        <w:rPr>
          <w:rFonts w:ascii="Aptos" w:hAnsi="Aptos"/>
          <w:lang w:val="bg-BG"/>
        </w:rPr>
        <w:t xml:space="preserve"> и за намаляване на натоварването върху електропреносната система. Развитието на цифрови инструменти за визуализация </w:t>
      </w:r>
      <w:r w:rsidRPr="006F3533">
        <w:rPr>
          <w:rFonts w:ascii="Aptos" w:hAnsi="Aptos"/>
          <w:lang w:val="bg-BG"/>
        </w:rPr>
        <w:lastRenderedPageBreak/>
        <w:t>и управление на енергопотоците ще позволи интегрирането на възобновяемите източници с решения за съхранение на енергия и умно управление на натоварването, което ще бъде особено важно за многофамилните и обществените сгради.</w:t>
      </w:r>
    </w:p>
    <w:p w14:paraId="2C6CB1BA" w14:textId="77777777" w:rsidR="00EA228B" w:rsidRPr="006F3533" w:rsidRDefault="00EA228B" w:rsidP="00077D42">
      <w:pPr>
        <w:pStyle w:val="NormalWeb"/>
        <w:jc w:val="both"/>
        <w:rPr>
          <w:rFonts w:ascii="Aptos" w:hAnsi="Aptos"/>
          <w:b/>
          <w:bCs/>
          <w:lang w:val="bg-BG"/>
        </w:rPr>
      </w:pPr>
      <w:r w:rsidRPr="006F3533">
        <w:rPr>
          <w:rFonts w:ascii="Aptos" w:hAnsi="Aptos"/>
          <w:b/>
          <w:bCs/>
          <w:lang w:val="bg-BG"/>
        </w:rPr>
        <w:t>3. Финансови стимули и достъпност</w:t>
      </w:r>
    </w:p>
    <w:p w14:paraId="60EAF46D" w14:textId="16B64737" w:rsidR="00EA228B" w:rsidRPr="006F3533" w:rsidRDefault="00EA228B" w:rsidP="00077D42">
      <w:pPr>
        <w:pStyle w:val="NormalWeb"/>
        <w:jc w:val="both"/>
        <w:rPr>
          <w:rFonts w:ascii="Aptos" w:hAnsi="Aptos"/>
          <w:lang w:val="bg-BG"/>
        </w:rPr>
      </w:pPr>
      <w:r w:rsidRPr="006F3533">
        <w:rPr>
          <w:rFonts w:ascii="Aptos" w:hAnsi="Aptos"/>
          <w:lang w:val="bg-BG"/>
        </w:rPr>
        <w:t xml:space="preserve">В рамките на Националния фонд за </w:t>
      </w:r>
      <w:proofErr w:type="spellStart"/>
      <w:r w:rsidRPr="006F3533">
        <w:rPr>
          <w:rFonts w:ascii="Aptos" w:hAnsi="Aptos"/>
          <w:lang w:val="bg-BG"/>
        </w:rPr>
        <w:t>декарбонизация</w:t>
      </w:r>
      <w:proofErr w:type="spellEnd"/>
      <w:r w:rsidRPr="006F3533">
        <w:rPr>
          <w:rFonts w:ascii="Aptos" w:hAnsi="Aptos"/>
          <w:lang w:val="bg-BG"/>
        </w:rPr>
        <w:t xml:space="preserve"> ще бъдат осигурени възможности за комбинирано </w:t>
      </w:r>
      <w:proofErr w:type="spellStart"/>
      <w:r w:rsidRPr="006F3533">
        <w:rPr>
          <w:rFonts w:ascii="Aptos" w:hAnsi="Aptos"/>
          <w:lang w:val="bg-BG"/>
        </w:rPr>
        <w:t>грантово</w:t>
      </w:r>
      <w:proofErr w:type="spellEnd"/>
      <w:r w:rsidRPr="006F3533">
        <w:rPr>
          <w:rFonts w:ascii="Aptos" w:hAnsi="Aptos"/>
          <w:lang w:val="bg-BG"/>
        </w:rPr>
        <w:t xml:space="preserve"> и кредитно финансиране на домакинства, сдружения на собственици и общини за внедряване на системи за ВЕИ. Ще се разработят стандартни технически решения за интегрирани пакети, включващи фотоволтаични инсталации, </w:t>
      </w:r>
      <w:proofErr w:type="spellStart"/>
      <w:r w:rsidRPr="006F3533">
        <w:rPr>
          <w:rFonts w:ascii="Aptos" w:hAnsi="Aptos"/>
          <w:lang w:val="bg-BG"/>
        </w:rPr>
        <w:t>термопомпени</w:t>
      </w:r>
      <w:proofErr w:type="spellEnd"/>
      <w:r w:rsidRPr="006F3533">
        <w:rPr>
          <w:rFonts w:ascii="Aptos" w:hAnsi="Aptos"/>
          <w:lang w:val="bg-BG"/>
        </w:rPr>
        <w:t xml:space="preserve"> агрегати и системи за автоматизация и управление на енергията, като ще се осигури специална подкрепа за уязвимите домакинства. Особено внимание ще бъде отделено на насърчаването на възобновяемата енергия в еднофамилните сгради. </w:t>
      </w:r>
    </w:p>
    <w:p w14:paraId="30AFDADB" w14:textId="77777777" w:rsidR="00EA228B" w:rsidRPr="006F3533" w:rsidRDefault="00EA228B" w:rsidP="00077D42">
      <w:pPr>
        <w:pStyle w:val="NormalWeb"/>
        <w:jc w:val="both"/>
        <w:rPr>
          <w:rFonts w:ascii="Aptos" w:hAnsi="Aptos"/>
          <w:b/>
          <w:bCs/>
          <w:lang w:val="bg-BG"/>
        </w:rPr>
      </w:pPr>
      <w:r w:rsidRPr="006F3533">
        <w:rPr>
          <w:rFonts w:ascii="Aptos" w:hAnsi="Aptos"/>
          <w:b/>
          <w:bCs/>
          <w:lang w:val="bg-BG"/>
        </w:rPr>
        <w:t>4. Институционална и комуникационна подкрепа</w:t>
      </w:r>
    </w:p>
    <w:p w14:paraId="656BD48E" w14:textId="77777777" w:rsidR="00EA228B" w:rsidRPr="006F3533" w:rsidRDefault="00EA228B" w:rsidP="00077D42">
      <w:pPr>
        <w:pStyle w:val="NormalWeb"/>
        <w:jc w:val="both"/>
        <w:rPr>
          <w:rFonts w:ascii="Aptos" w:hAnsi="Aptos"/>
          <w:lang w:val="bg-BG"/>
        </w:rPr>
      </w:pPr>
      <w:r w:rsidRPr="006F3533">
        <w:rPr>
          <w:rFonts w:ascii="Aptos" w:hAnsi="Aptos"/>
          <w:lang w:val="bg-BG"/>
        </w:rPr>
        <w:t>Ще бъде изградена национална мрежа от центрове за комплексно обслужване, които да предоставят техническа, административна и финансова помощ на гражданите и общините за подготовка и реализация на проекти с ВЕИ. Успоредно с това ще бъде реализирана широка информационна кампания, насочена към популяризиране на възможностите за самостоятелно производство и съхранение и за участие в енергийни общности.</w:t>
      </w:r>
    </w:p>
    <w:p w14:paraId="74C632FC" w14:textId="77777777" w:rsidR="00EA228B" w:rsidRPr="006F3533" w:rsidRDefault="00EA228B" w:rsidP="00077D42">
      <w:pPr>
        <w:pStyle w:val="NormalWeb"/>
        <w:jc w:val="both"/>
        <w:rPr>
          <w:rFonts w:ascii="Aptos" w:hAnsi="Aptos"/>
          <w:b/>
          <w:bCs/>
          <w:lang w:val="bg-BG"/>
        </w:rPr>
      </w:pPr>
      <w:r w:rsidRPr="006F3533">
        <w:rPr>
          <w:rFonts w:ascii="Aptos" w:hAnsi="Aptos"/>
          <w:b/>
          <w:bCs/>
          <w:lang w:val="bg-BG"/>
        </w:rPr>
        <w:t>5. Мониторинг и отчетност</w:t>
      </w:r>
    </w:p>
    <w:p w14:paraId="729EE0DC" w14:textId="77777777" w:rsidR="00EA228B" w:rsidRPr="006F3533" w:rsidRDefault="00EA228B" w:rsidP="00077D42">
      <w:pPr>
        <w:pStyle w:val="NormalWeb"/>
        <w:jc w:val="both"/>
        <w:rPr>
          <w:rFonts w:ascii="Aptos" w:hAnsi="Aptos"/>
          <w:lang w:val="bg-BG"/>
        </w:rPr>
      </w:pPr>
      <w:r w:rsidRPr="006F3533">
        <w:rPr>
          <w:rFonts w:ascii="Aptos" w:hAnsi="Aptos"/>
          <w:lang w:val="bg-BG"/>
        </w:rPr>
        <w:t>Ще се създаде национална система за наблюдение и отчет на напредъка в използването на възобновяеми източници в сградния сектор. Тя ще включва публичен регистър на инсталираните мощности, свързване на данните със сертификатите за енергийни характеристики на сградите и ежегодно обобщаване на информацията в рамките на анализа на Агенцията за устойчиво енергийно развитие.</w:t>
      </w:r>
    </w:p>
    <w:p w14:paraId="542546BD" w14:textId="77777777" w:rsidR="00EA228B" w:rsidRPr="006F3533" w:rsidRDefault="00EA228B" w:rsidP="00077D42">
      <w:pPr>
        <w:pStyle w:val="NormalWeb"/>
        <w:jc w:val="both"/>
        <w:rPr>
          <w:rFonts w:ascii="Aptos" w:hAnsi="Aptos"/>
          <w:b/>
          <w:bCs/>
          <w:lang w:val="bg-BG"/>
        </w:rPr>
      </w:pPr>
      <w:r w:rsidRPr="006F3533">
        <w:rPr>
          <w:rFonts w:ascii="Aptos" w:hAnsi="Aptos"/>
          <w:b/>
          <w:bCs/>
          <w:lang w:val="bg-BG"/>
        </w:rPr>
        <w:t>Очаквани резултати</w:t>
      </w:r>
    </w:p>
    <w:p w14:paraId="23BAB91A" w14:textId="3517B360" w:rsidR="00B572B1" w:rsidRPr="006F3533" w:rsidRDefault="00EA228B" w:rsidP="00855103">
      <w:pPr>
        <w:pStyle w:val="NormalWeb"/>
        <w:jc w:val="both"/>
        <w:rPr>
          <w:rFonts w:ascii="Aptos" w:hAnsi="Aptos"/>
          <w:lang w:val="bg-BG"/>
        </w:rPr>
      </w:pPr>
      <w:r w:rsidRPr="006F3533">
        <w:rPr>
          <w:rFonts w:ascii="Aptos" w:hAnsi="Aptos"/>
          <w:lang w:val="bg-BG"/>
        </w:rPr>
        <w:t>Реализирането на тези мерки ще доведе до трайно увеличаване на дела на енергията от възобновяеми източници в сградния сектор, до намаляване на емисиите на парникови газове и до укрепване на енергийната независимост на страната. България ще се придвижи към изпълнение на европейската цел за поне 49% дял на ВЕИ в енергопотреблението на сградите, като същевременно ще създаде условия за достъпно, справедливо и ефективно участие на всички граждани в енергийния преход.</w:t>
      </w:r>
    </w:p>
    <w:p w14:paraId="3D94A121" w14:textId="77777777" w:rsidR="00855103" w:rsidRPr="006F3533" w:rsidRDefault="00855103" w:rsidP="00855103">
      <w:pPr>
        <w:pStyle w:val="NormalWeb"/>
        <w:jc w:val="both"/>
        <w:rPr>
          <w:rFonts w:ascii="Aptos" w:hAnsi="Aptos"/>
          <w:lang w:val="bg-BG"/>
        </w:rPr>
        <w:sectPr w:rsidR="00855103" w:rsidRPr="006F3533" w:rsidSect="00B572B1">
          <w:pgSz w:w="11906" w:h="16838"/>
          <w:pgMar w:top="1417" w:right="1417" w:bottom="1417" w:left="1417" w:header="708" w:footer="708" w:gutter="0"/>
          <w:cols w:space="708"/>
          <w:docGrid w:linePitch="360"/>
        </w:sectPr>
      </w:pPr>
    </w:p>
    <w:p w14:paraId="5EBB0511" w14:textId="77777777" w:rsidR="00855103" w:rsidRPr="006F3533" w:rsidRDefault="00855103" w:rsidP="00855103">
      <w:pPr>
        <w:pStyle w:val="NormalWeb"/>
        <w:jc w:val="both"/>
        <w:rPr>
          <w:rFonts w:ascii="Aptos" w:hAnsi="Aptos"/>
          <w:lang w:val="bg-BG"/>
        </w:rPr>
      </w:pPr>
    </w:p>
    <w:p w14:paraId="3F2FD9E3" w14:textId="77777777" w:rsidR="00855103" w:rsidRPr="006F3533" w:rsidRDefault="00855103" w:rsidP="00077D42">
      <w:pPr>
        <w:pStyle w:val="Heading2"/>
        <w:jc w:val="both"/>
        <w:rPr>
          <w:lang w:val="bg-BG"/>
        </w:rPr>
      </w:pPr>
    </w:p>
    <w:tbl>
      <w:tblPr>
        <w:tblStyle w:val="GridTable5Dark-Accent1"/>
        <w:tblW w:w="14029" w:type="dxa"/>
        <w:tblLayout w:type="fixed"/>
        <w:tblLook w:val="04A0" w:firstRow="1" w:lastRow="0" w:firstColumn="1" w:lastColumn="0" w:noHBand="0" w:noVBand="1"/>
      </w:tblPr>
      <w:tblGrid>
        <w:gridCol w:w="481"/>
        <w:gridCol w:w="2491"/>
        <w:gridCol w:w="2835"/>
        <w:gridCol w:w="2126"/>
        <w:gridCol w:w="1560"/>
        <w:gridCol w:w="1701"/>
        <w:gridCol w:w="1842"/>
        <w:gridCol w:w="993"/>
      </w:tblGrid>
      <w:tr w:rsidR="00855103" w:rsidRPr="006F3533" w14:paraId="2F880DFD" w14:textId="77777777" w:rsidTr="002C1F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7F6703C1"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w:t>
            </w:r>
          </w:p>
        </w:tc>
        <w:tc>
          <w:tcPr>
            <w:tcW w:w="2491" w:type="dxa"/>
            <w:hideMark/>
          </w:tcPr>
          <w:p w14:paraId="2E07F814"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Реформа / мярка</w:t>
            </w:r>
          </w:p>
        </w:tc>
        <w:tc>
          <w:tcPr>
            <w:tcW w:w="2835" w:type="dxa"/>
            <w:hideMark/>
          </w:tcPr>
          <w:p w14:paraId="02C4DF93"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Съдържание на реформата</w:t>
            </w:r>
          </w:p>
        </w:tc>
        <w:tc>
          <w:tcPr>
            <w:tcW w:w="2126" w:type="dxa"/>
            <w:hideMark/>
          </w:tcPr>
          <w:p w14:paraId="55C1C8BE"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Нормативни актове за изменение / допълване</w:t>
            </w:r>
          </w:p>
        </w:tc>
        <w:tc>
          <w:tcPr>
            <w:tcW w:w="1560" w:type="dxa"/>
            <w:hideMark/>
          </w:tcPr>
          <w:p w14:paraId="063EFFAA"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Водеща институция</w:t>
            </w:r>
          </w:p>
        </w:tc>
        <w:tc>
          <w:tcPr>
            <w:tcW w:w="1701" w:type="dxa"/>
            <w:hideMark/>
          </w:tcPr>
          <w:p w14:paraId="39E2D0AF"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Участващи институции</w:t>
            </w:r>
          </w:p>
        </w:tc>
        <w:tc>
          <w:tcPr>
            <w:tcW w:w="1842" w:type="dxa"/>
            <w:hideMark/>
          </w:tcPr>
          <w:p w14:paraId="4D6C9EB1"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Източници на финансиране</w:t>
            </w:r>
          </w:p>
        </w:tc>
        <w:tc>
          <w:tcPr>
            <w:tcW w:w="993" w:type="dxa"/>
            <w:hideMark/>
          </w:tcPr>
          <w:p w14:paraId="5B10D353" w14:textId="77777777" w:rsidR="00855103" w:rsidRPr="006F3533" w:rsidRDefault="00855103" w:rsidP="002C1F20">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Срок</w:t>
            </w:r>
          </w:p>
        </w:tc>
      </w:tr>
      <w:tr w:rsidR="00855103" w:rsidRPr="006F3533" w14:paraId="22D9DABE"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118D7FE6"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1</w:t>
            </w:r>
          </w:p>
        </w:tc>
        <w:tc>
          <w:tcPr>
            <w:tcW w:w="2491" w:type="dxa"/>
          </w:tcPr>
          <w:p w14:paraId="7C705DFD"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Определяне на национален индикативен дял на енергията от ВИ в сградите</w:t>
            </w:r>
          </w:p>
        </w:tc>
        <w:tc>
          <w:tcPr>
            <w:tcW w:w="2835" w:type="dxa"/>
          </w:tcPr>
          <w:p w14:paraId="7DD29F07"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 xml:space="preserve">Определяне на национален индикативен дял на ВЕИ в крайното енергийно потребление на сградния сектор до 2030 г. </w:t>
            </w:r>
          </w:p>
        </w:tc>
        <w:tc>
          <w:tcPr>
            <w:tcW w:w="2126" w:type="dxa"/>
          </w:tcPr>
          <w:p w14:paraId="142BD3F2"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Актуализация на ИНПЕК; решение на МС</w:t>
            </w:r>
          </w:p>
        </w:tc>
        <w:tc>
          <w:tcPr>
            <w:tcW w:w="1560" w:type="dxa"/>
          </w:tcPr>
          <w:p w14:paraId="706E9CE3"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МЕ</w:t>
            </w:r>
          </w:p>
        </w:tc>
        <w:tc>
          <w:tcPr>
            <w:tcW w:w="1701" w:type="dxa"/>
          </w:tcPr>
          <w:p w14:paraId="5E85B696"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АУЕР</w:t>
            </w:r>
          </w:p>
        </w:tc>
        <w:tc>
          <w:tcPr>
            <w:tcW w:w="1842" w:type="dxa"/>
          </w:tcPr>
          <w:p w14:paraId="4ABA77BA"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Държавен бюджет</w:t>
            </w:r>
          </w:p>
        </w:tc>
        <w:tc>
          <w:tcPr>
            <w:tcW w:w="993" w:type="dxa"/>
          </w:tcPr>
          <w:p w14:paraId="6E8FEF3D"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2026 г.</w:t>
            </w:r>
          </w:p>
        </w:tc>
      </w:tr>
      <w:tr w:rsidR="00855103" w:rsidRPr="006F3533" w14:paraId="4638CA13" w14:textId="77777777" w:rsidTr="002C1F20">
        <w:tc>
          <w:tcPr>
            <w:cnfStyle w:val="001000000000" w:firstRow="0" w:lastRow="0" w:firstColumn="1" w:lastColumn="0" w:oddVBand="0" w:evenVBand="0" w:oddHBand="0" w:evenHBand="0" w:firstRowFirstColumn="0" w:firstRowLastColumn="0" w:lastRowFirstColumn="0" w:lastRowLastColumn="0"/>
            <w:tcW w:w="481" w:type="dxa"/>
            <w:hideMark/>
          </w:tcPr>
          <w:p w14:paraId="1AA96DF0"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2</w:t>
            </w:r>
          </w:p>
        </w:tc>
        <w:tc>
          <w:tcPr>
            <w:tcW w:w="2491" w:type="dxa"/>
          </w:tcPr>
          <w:p w14:paraId="70EB4B87"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Интегриране на изисквания за ВЕИ в енергийните характеристики на сградите</w:t>
            </w:r>
          </w:p>
        </w:tc>
        <w:tc>
          <w:tcPr>
            <w:tcW w:w="2835" w:type="dxa"/>
          </w:tcPr>
          <w:p w14:paraId="0DBD74DB"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Въвеждане на количествени изисквания за минимален дял на ВЕИ при ново строителство и основно обновяване, в съответствие с ДЕХС (</w:t>
            </w:r>
            <w:proofErr w:type="spellStart"/>
            <w:r w:rsidRPr="006F3533">
              <w:t>нулевоемисионни</w:t>
            </w:r>
            <w:proofErr w:type="spellEnd"/>
            <w:r w:rsidRPr="006F3533">
              <w:t xml:space="preserve"> сгради)</w:t>
            </w:r>
          </w:p>
        </w:tc>
        <w:tc>
          <w:tcPr>
            <w:tcW w:w="2126" w:type="dxa"/>
          </w:tcPr>
          <w:p w14:paraId="38389DF2"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 xml:space="preserve">ЗЕЕ; НАРЕДБА № РД-02-20-3 от 9 ноември 2022 г. за техническите изисквания към енергийните характеристики на сгради; </w:t>
            </w:r>
          </w:p>
        </w:tc>
        <w:tc>
          <w:tcPr>
            <w:tcW w:w="1560" w:type="dxa"/>
          </w:tcPr>
          <w:p w14:paraId="6F102314"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МРРБ</w:t>
            </w:r>
          </w:p>
        </w:tc>
        <w:tc>
          <w:tcPr>
            <w:tcW w:w="1701" w:type="dxa"/>
          </w:tcPr>
          <w:p w14:paraId="591EB21F"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МЕ, АУЕР</w:t>
            </w:r>
          </w:p>
        </w:tc>
        <w:tc>
          <w:tcPr>
            <w:tcW w:w="1842" w:type="dxa"/>
          </w:tcPr>
          <w:p w14:paraId="09A432D8"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Държавен бюджет</w:t>
            </w:r>
          </w:p>
        </w:tc>
        <w:tc>
          <w:tcPr>
            <w:tcW w:w="993" w:type="dxa"/>
          </w:tcPr>
          <w:p w14:paraId="7B3F4B4D"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2026–2027 г.</w:t>
            </w:r>
          </w:p>
        </w:tc>
      </w:tr>
      <w:tr w:rsidR="00855103" w:rsidRPr="006F3533" w14:paraId="01A4C328"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0BAD138C"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3</w:t>
            </w:r>
          </w:p>
        </w:tc>
        <w:tc>
          <w:tcPr>
            <w:tcW w:w="2491" w:type="dxa"/>
          </w:tcPr>
          <w:p w14:paraId="09D390C5"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„Соларна готовност“ за нови сгради</w:t>
            </w:r>
          </w:p>
        </w:tc>
        <w:tc>
          <w:tcPr>
            <w:tcW w:w="2835" w:type="dxa"/>
          </w:tcPr>
          <w:p w14:paraId="14657DCE"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Задължение всички нови сгради да бъдат проектирани с конструктивна и техническа готовност за ВЕИ (ФЕЦ и соларно-термични системи)</w:t>
            </w:r>
          </w:p>
        </w:tc>
        <w:tc>
          <w:tcPr>
            <w:tcW w:w="2126" w:type="dxa"/>
          </w:tcPr>
          <w:p w14:paraId="14981012"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ЗУТ; ЗЕЕ; НАРЕДБА № РД-02-20-3 от 9 ноември 2022 г. за техническите изисквания към енергийните характеристики на сгради;</w:t>
            </w:r>
          </w:p>
        </w:tc>
        <w:tc>
          <w:tcPr>
            <w:tcW w:w="1560" w:type="dxa"/>
          </w:tcPr>
          <w:p w14:paraId="28AD39EA"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МРРБ</w:t>
            </w:r>
          </w:p>
        </w:tc>
        <w:tc>
          <w:tcPr>
            <w:tcW w:w="1701" w:type="dxa"/>
          </w:tcPr>
          <w:p w14:paraId="18938267"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МЕ, АУЕР</w:t>
            </w:r>
          </w:p>
        </w:tc>
        <w:tc>
          <w:tcPr>
            <w:tcW w:w="1842" w:type="dxa"/>
          </w:tcPr>
          <w:p w14:paraId="6DFE6C54"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Частни средства</w:t>
            </w:r>
          </w:p>
        </w:tc>
        <w:tc>
          <w:tcPr>
            <w:tcW w:w="993" w:type="dxa"/>
          </w:tcPr>
          <w:p w14:paraId="548EB439"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2026 г.</w:t>
            </w:r>
          </w:p>
        </w:tc>
      </w:tr>
      <w:tr w:rsidR="00855103" w:rsidRPr="006F3533" w14:paraId="7B24EE69" w14:textId="77777777" w:rsidTr="002C1F20">
        <w:tc>
          <w:tcPr>
            <w:cnfStyle w:val="001000000000" w:firstRow="0" w:lastRow="0" w:firstColumn="1" w:lastColumn="0" w:oddVBand="0" w:evenVBand="0" w:oddHBand="0" w:evenHBand="0" w:firstRowFirstColumn="0" w:firstRowLastColumn="0" w:lastRowFirstColumn="0" w:lastRowLastColumn="0"/>
            <w:tcW w:w="481" w:type="dxa"/>
            <w:hideMark/>
          </w:tcPr>
          <w:p w14:paraId="28DF7DD8"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lastRenderedPageBreak/>
              <w:t>4</w:t>
            </w:r>
          </w:p>
        </w:tc>
        <w:tc>
          <w:tcPr>
            <w:tcW w:w="2491" w:type="dxa"/>
          </w:tcPr>
          <w:p w14:paraId="20EB96AC"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Регулаторна рамка за ВЕИ в многофамилни сгради</w:t>
            </w:r>
          </w:p>
        </w:tc>
        <w:tc>
          <w:tcPr>
            <w:tcW w:w="2835" w:type="dxa"/>
          </w:tcPr>
          <w:p w14:paraId="0900033E"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Улесняване на колективното инсталиране и споделено ползване на ВЕИ в етажна собственост</w:t>
            </w:r>
          </w:p>
        </w:tc>
        <w:tc>
          <w:tcPr>
            <w:tcW w:w="2126" w:type="dxa"/>
          </w:tcPr>
          <w:p w14:paraId="60890693"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Закон за енергетиката; ЗУЕС; подзаконови актове</w:t>
            </w:r>
          </w:p>
        </w:tc>
        <w:tc>
          <w:tcPr>
            <w:tcW w:w="1560" w:type="dxa"/>
          </w:tcPr>
          <w:p w14:paraId="03CE1B92"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МЕ</w:t>
            </w:r>
          </w:p>
        </w:tc>
        <w:tc>
          <w:tcPr>
            <w:tcW w:w="1701" w:type="dxa"/>
          </w:tcPr>
          <w:p w14:paraId="150469E3"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МРРБ, КЕВР, АУЕР</w:t>
            </w:r>
          </w:p>
        </w:tc>
        <w:tc>
          <w:tcPr>
            <w:tcW w:w="1842" w:type="dxa"/>
          </w:tcPr>
          <w:p w14:paraId="655EE5A1"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Частни средства</w:t>
            </w:r>
          </w:p>
        </w:tc>
        <w:tc>
          <w:tcPr>
            <w:tcW w:w="993" w:type="dxa"/>
          </w:tcPr>
          <w:p w14:paraId="049C4C3A"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2026–2027 г.</w:t>
            </w:r>
          </w:p>
        </w:tc>
      </w:tr>
      <w:tr w:rsidR="00855103" w:rsidRPr="006F3533" w14:paraId="7CBF6DFC"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52DB2BD4"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5</w:t>
            </w:r>
          </w:p>
        </w:tc>
        <w:tc>
          <w:tcPr>
            <w:tcW w:w="2491" w:type="dxa"/>
          </w:tcPr>
          <w:p w14:paraId="3D2D3D41"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Развитие на енергийни общности в сградния сектор</w:t>
            </w:r>
          </w:p>
        </w:tc>
        <w:tc>
          <w:tcPr>
            <w:tcW w:w="2835" w:type="dxa"/>
          </w:tcPr>
          <w:p w14:paraId="0B93CD45"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Оптимизиране на условията за споделено производство и потребление в сгради и квартали, включително мрежови такси и достъп до данни</w:t>
            </w:r>
          </w:p>
        </w:tc>
        <w:tc>
          <w:tcPr>
            <w:tcW w:w="2126" w:type="dxa"/>
          </w:tcPr>
          <w:p w14:paraId="40367DB3"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Закон за енергетиката; НАРЕДБА № 6 от 28 март 2024 г. за присъединяване на обекти към електрическите мрежи; Правила за измерване на количеството електрическа енергия; НАРЕДБА № Е-РД-04-1 от 12 март 2020 г. за топлоснабдяването</w:t>
            </w:r>
          </w:p>
        </w:tc>
        <w:tc>
          <w:tcPr>
            <w:tcW w:w="1560" w:type="dxa"/>
          </w:tcPr>
          <w:p w14:paraId="05810742"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МЕ</w:t>
            </w:r>
          </w:p>
        </w:tc>
        <w:tc>
          <w:tcPr>
            <w:tcW w:w="1701" w:type="dxa"/>
          </w:tcPr>
          <w:p w14:paraId="4200308A"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КЕВР, ЕСО, ЕРП</w:t>
            </w:r>
          </w:p>
        </w:tc>
        <w:tc>
          <w:tcPr>
            <w:tcW w:w="1842" w:type="dxa"/>
          </w:tcPr>
          <w:p w14:paraId="1C52F580"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ЕС фондове; частни средства</w:t>
            </w:r>
          </w:p>
        </w:tc>
        <w:tc>
          <w:tcPr>
            <w:tcW w:w="993" w:type="dxa"/>
          </w:tcPr>
          <w:p w14:paraId="35A10166"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2026–2027 г.</w:t>
            </w:r>
          </w:p>
        </w:tc>
      </w:tr>
      <w:tr w:rsidR="00855103" w:rsidRPr="006F3533" w14:paraId="0AA63E1C" w14:textId="77777777" w:rsidTr="002C1F20">
        <w:tc>
          <w:tcPr>
            <w:cnfStyle w:val="001000000000" w:firstRow="0" w:lastRow="0" w:firstColumn="1" w:lastColumn="0" w:oddVBand="0" w:evenVBand="0" w:oddHBand="0" w:evenHBand="0" w:firstRowFirstColumn="0" w:firstRowLastColumn="0" w:lastRowFirstColumn="0" w:lastRowLastColumn="0"/>
            <w:tcW w:w="481" w:type="dxa"/>
          </w:tcPr>
          <w:p w14:paraId="56EB44C5"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6</w:t>
            </w:r>
          </w:p>
        </w:tc>
        <w:tc>
          <w:tcPr>
            <w:tcW w:w="2491" w:type="dxa"/>
          </w:tcPr>
          <w:p w14:paraId="1ABA2CE2"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t>Финансови стимули за ВЕИ в сградите</w:t>
            </w:r>
          </w:p>
        </w:tc>
        <w:tc>
          <w:tcPr>
            <w:tcW w:w="2835" w:type="dxa"/>
          </w:tcPr>
          <w:p w14:paraId="7358A27B"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t xml:space="preserve">Комбинирани </w:t>
            </w:r>
            <w:proofErr w:type="spellStart"/>
            <w:r w:rsidRPr="006F3533">
              <w:t>грантови</w:t>
            </w:r>
            <w:proofErr w:type="spellEnd"/>
            <w:r w:rsidRPr="006F3533">
              <w:t xml:space="preserve"> и кредитни инструменти за домакинства, общини и уязвими групи</w:t>
            </w:r>
          </w:p>
        </w:tc>
        <w:tc>
          <w:tcPr>
            <w:tcW w:w="2126" w:type="dxa"/>
          </w:tcPr>
          <w:p w14:paraId="2A5E345B"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t>Правила на НДФ; програмни документи</w:t>
            </w:r>
          </w:p>
        </w:tc>
        <w:tc>
          <w:tcPr>
            <w:tcW w:w="1560" w:type="dxa"/>
          </w:tcPr>
          <w:p w14:paraId="7B0B61A5"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t>НДФ / МЕ</w:t>
            </w:r>
          </w:p>
        </w:tc>
        <w:tc>
          <w:tcPr>
            <w:tcW w:w="1701" w:type="dxa"/>
          </w:tcPr>
          <w:p w14:paraId="7EADE7EE"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t>АУЕР, банки</w:t>
            </w:r>
          </w:p>
        </w:tc>
        <w:tc>
          <w:tcPr>
            <w:tcW w:w="1842" w:type="dxa"/>
          </w:tcPr>
          <w:p w14:paraId="70A7925D"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t>НФД; ЕС фондове; частни средства</w:t>
            </w:r>
          </w:p>
        </w:tc>
        <w:tc>
          <w:tcPr>
            <w:tcW w:w="993" w:type="dxa"/>
          </w:tcPr>
          <w:p w14:paraId="67A6F231"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en-GB"/>
              </w:rPr>
            </w:pPr>
            <w:r w:rsidRPr="006F3533">
              <w:t>От 2026 г.</w:t>
            </w:r>
          </w:p>
        </w:tc>
      </w:tr>
      <w:tr w:rsidR="00855103" w:rsidRPr="006F3533" w14:paraId="5FA29E84"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26A978C3"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7</w:t>
            </w:r>
          </w:p>
        </w:tc>
        <w:tc>
          <w:tcPr>
            <w:tcW w:w="2491" w:type="dxa"/>
          </w:tcPr>
          <w:p w14:paraId="4E8A9A58"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Центрове за комплексно обслужване (OSS) за ВЕИ</w:t>
            </w:r>
          </w:p>
        </w:tc>
        <w:tc>
          <w:tcPr>
            <w:tcW w:w="2835" w:type="dxa"/>
          </w:tcPr>
          <w:p w14:paraId="36500314"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 xml:space="preserve">Изграждане на мрежа от OSS за техническа и административна </w:t>
            </w:r>
            <w:r w:rsidRPr="006F3533">
              <w:lastRenderedPageBreak/>
              <w:t>подкрепа на гражданите и общините</w:t>
            </w:r>
          </w:p>
        </w:tc>
        <w:tc>
          <w:tcPr>
            <w:tcW w:w="2126" w:type="dxa"/>
          </w:tcPr>
          <w:p w14:paraId="3692D954"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lastRenderedPageBreak/>
              <w:t>ЗЕЕ; подзаконов акт</w:t>
            </w:r>
          </w:p>
        </w:tc>
        <w:tc>
          <w:tcPr>
            <w:tcW w:w="1560" w:type="dxa"/>
          </w:tcPr>
          <w:p w14:paraId="3AA834CC"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МЕ</w:t>
            </w:r>
          </w:p>
        </w:tc>
        <w:tc>
          <w:tcPr>
            <w:tcW w:w="1701" w:type="dxa"/>
          </w:tcPr>
          <w:p w14:paraId="61FE424F"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АУЕР, общини</w:t>
            </w:r>
          </w:p>
        </w:tc>
        <w:tc>
          <w:tcPr>
            <w:tcW w:w="1842" w:type="dxa"/>
          </w:tcPr>
          <w:p w14:paraId="7242C67C"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ЕС фондове</w:t>
            </w:r>
          </w:p>
        </w:tc>
        <w:tc>
          <w:tcPr>
            <w:tcW w:w="993" w:type="dxa"/>
          </w:tcPr>
          <w:p w14:paraId="06C57192"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2026–2027 г.</w:t>
            </w:r>
          </w:p>
        </w:tc>
      </w:tr>
      <w:tr w:rsidR="00855103" w:rsidRPr="006F3533" w14:paraId="4C22AF78" w14:textId="77777777" w:rsidTr="002C1F20">
        <w:tc>
          <w:tcPr>
            <w:cnfStyle w:val="001000000000" w:firstRow="0" w:lastRow="0" w:firstColumn="1" w:lastColumn="0" w:oddVBand="0" w:evenVBand="0" w:oddHBand="0" w:evenHBand="0" w:firstRowFirstColumn="0" w:firstRowLastColumn="0" w:lastRowFirstColumn="0" w:lastRowLastColumn="0"/>
            <w:tcW w:w="481" w:type="dxa"/>
            <w:hideMark/>
          </w:tcPr>
          <w:p w14:paraId="7CA81BCB"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8</w:t>
            </w:r>
          </w:p>
        </w:tc>
        <w:tc>
          <w:tcPr>
            <w:tcW w:w="2491" w:type="dxa"/>
          </w:tcPr>
          <w:p w14:paraId="583F45E3"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Национален регистър на ВЕИ в сградите</w:t>
            </w:r>
          </w:p>
        </w:tc>
        <w:tc>
          <w:tcPr>
            <w:tcW w:w="2835" w:type="dxa"/>
          </w:tcPr>
          <w:p w14:paraId="0E68FB25"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Създаване на публичен регистър на ВЕИ инсталациите, свързан със сертификатите за енергийни характеристики</w:t>
            </w:r>
          </w:p>
        </w:tc>
        <w:tc>
          <w:tcPr>
            <w:tcW w:w="2126" w:type="dxa"/>
          </w:tcPr>
          <w:p w14:paraId="6C778092"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 xml:space="preserve">ЗЕЕ; НАРЕДБА № Е-РД-16-647 от 15.12.2015 г. за определяне на съдържанието, структурата, условията и реда за набиране и предоставяне на информация </w:t>
            </w:r>
          </w:p>
        </w:tc>
        <w:tc>
          <w:tcPr>
            <w:tcW w:w="1560" w:type="dxa"/>
          </w:tcPr>
          <w:p w14:paraId="3F8C61D7"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АУЕР</w:t>
            </w:r>
          </w:p>
        </w:tc>
        <w:tc>
          <w:tcPr>
            <w:tcW w:w="1701" w:type="dxa"/>
          </w:tcPr>
          <w:p w14:paraId="0792583D"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МЕ</w:t>
            </w:r>
          </w:p>
        </w:tc>
        <w:tc>
          <w:tcPr>
            <w:tcW w:w="1842" w:type="dxa"/>
          </w:tcPr>
          <w:p w14:paraId="144FDB8D"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Държавен бюджет; ЕС фондове</w:t>
            </w:r>
          </w:p>
        </w:tc>
        <w:tc>
          <w:tcPr>
            <w:tcW w:w="993" w:type="dxa"/>
          </w:tcPr>
          <w:p w14:paraId="56A67D53" w14:textId="77777777" w:rsidR="00855103" w:rsidRPr="006F3533" w:rsidRDefault="00855103" w:rsidP="002C1F20">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t>2027–2028 г.</w:t>
            </w:r>
          </w:p>
        </w:tc>
      </w:tr>
      <w:tr w:rsidR="00855103" w:rsidRPr="006F3533" w14:paraId="25CC4343" w14:textId="77777777" w:rsidTr="002C1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 w:type="dxa"/>
            <w:hideMark/>
          </w:tcPr>
          <w:p w14:paraId="69B27205" w14:textId="77777777" w:rsidR="00855103" w:rsidRPr="006F3533" w:rsidRDefault="00855103" w:rsidP="002C1F20">
            <w:pPr>
              <w:spacing w:before="100" w:beforeAutospacing="1" w:after="100" w:afterAutospacing="1"/>
              <w:jc w:val="both"/>
              <w:rPr>
                <w:rFonts w:eastAsia="Times New Roman" w:cs="Times New Roman"/>
                <w:sz w:val="22"/>
                <w:lang w:eastAsia="bg-BG"/>
              </w:rPr>
            </w:pPr>
            <w:r w:rsidRPr="006F3533">
              <w:rPr>
                <w:rFonts w:eastAsia="Times New Roman" w:cs="Times New Roman"/>
                <w:sz w:val="22"/>
                <w:lang w:eastAsia="bg-BG"/>
              </w:rPr>
              <w:t>9</w:t>
            </w:r>
          </w:p>
        </w:tc>
        <w:tc>
          <w:tcPr>
            <w:tcW w:w="2491" w:type="dxa"/>
          </w:tcPr>
          <w:p w14:paraId="7DCD2B70"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Мониторинг и годишно отчитане</w:t>
            </w:r>
          </w:p>
        </w:tc>
        <w:tc>
          <w:tcPr>
            <w:tcW w:w="2835" w:type="dxa"/>
          </w:tcPr>
          <w:p w14:paraId="43087108"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Годишен доклад за напредъка по дела на ВЕИ в сградите и приноса към целите на ИНПЕК</w:t>
            </w:r>
          </w:p>
        </w:tc>
        <w:tc>
          <w:tcPr>
            <w:tcW w:w="2126" w:type="dxa"/>
          </w:tcPr>
          <w:p w14:paraId="35E517CC"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ЗЕЕ – задължение за докладване</w:t>
            </w:r>
          </w:p>
        </w:tc>
        <w:tc>
          <w:tcPr>
            <w:tcW w:w="1560" w:type="dxa"/>
          </w:tcPr>
          <w:p w14:paraId="30CEC96C"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АУЕР</w:t>
            </w:r>
          </w:p>
        </w:tc>
        <w:tc>
          <w:tcPr>
            <w:tcW w:w="1701" w:type="dxa"/>
          </w:tcPr>
          <w:p w14:paraId="081205AF"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МЕ</w:t>
            </w:r>
          </w:p>
        </w:tc>
        <w:tc>
          <w:tcPr>
            <w:tcW w:w="1842" w:type="dxa"/>
          </w:tcPr>
          <w:p w14:paraId="3670CF0F"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Държавен бюджет</w:t>
            </w:r>
          </w:p>
        </w:tc>
        <w:tc>
          <w:tcPr>
            <w:tcW w:w="993" w:type="dxa"/>
          </w:tcPr>
          <w:p w14:paraId="20C44D0A" w14:textId="77777777" w:rsidR="00855103" w:rsidRPr="006F3533" w:rsidRDefault="00855103" w:rsidP="002C1F20">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t>От 2027 г. ежегодно</w:t>
            </w:r>
          </w:p>
        </w:tc>
      </w:tr>
    </w:tbl>
    <w:p w14:paraId="472B67DD" w14:textId="77777777" w:rsidR="00855103" w:rsidRPr="006F3533" w:rsidRDefault="00855103" w:rsidP="00077D42">
      <w:pPr>
        <w:pStyle w:val="Heading2"/>
        <w:jc w:val="both"/>
        <w:rPr>
          <w:lang w:val="bg-BG"/>
        </w:rPr>
        <w:sectPr w:rsidR="00855103" w:rsidRPr="006F3533" w:rsidSect="00855103">
          <w:pgSz w:w="16838" w:h="11906" w:orient="landscape"/>
          <w:pgMar w:top="1417" w:right="1417" w:bottom="1417" w:left="1417" w:header="708" w:footer="708" w:gutter="0"/>
          <w:cols w:space="708"/>
          <w:docGrid w:linePitch="360"/>
        </w:sectPr>
      </w:pPr>
    </w:p>
    <w:p w14:paraId="526F6C13" w14:textId="77777777" w:rsidR="00855103" w:rsidRPr="006F3533" w:rsidRDefault="00855103" w:rsidP="00077D42">
      <w:pPr>
        <w:pStyle w:val="Heading2"/>
        <w:jc w:val="both"/>
        <w:rPr>
          <w:lang w:val="bg-BG"/>
        </w:rPr>
      </w:pPr>
    </w:p>
    <w:p w14:paraId="4D5BD5DD" w14:textId="43F2BDFD" w:rsidR="00B572B1" w:rsidRPr="006F3533" w:rsidRDefault="00B572B1" w:rsidP="00077D42">
      <w:pPr>
        <w:pStyle w:val="Heading2"/>
        <w:jc w:val="both"/>
        <w:rPr>
          <w:lang w:val="bg-BG"/>
        </w:rPr>
      </w:pPr>
      <w:bookmarkStart w:id="311" w:name="_Toc217888854"/>
      <w:r w:rsidRPr="006F3533">
        <w:rPr>
          <w:lang w:val="bg-BG"/>
        </w:rPr>
        <w:t>(i) Разгръщане на слънчева енергия в сградите</w:t>
      </w:r>
      <w:bookmarkEnd w:id="311"/>
    </w:p>
    <w:p w14:paraId="57285AB2"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Слънчевата енергия е основен стълб в процеса на </w:t>
      </w:r>
      <w:proofErr w:type="spellStart"/>
      <w:r w:rsidRPr="006F3533">
        <w:rPr>
          <w:rFonts w:ascii="Aptos" w:hAnsi="Aptos"/>
          <w:lang w:val="bg-BG"/>
        </w:rPr>
        <w:t>декарбонизация</w:t>
      </w:r>
      <w:proofErr w:type="spellEnd"/>
      <w:r w:rsidRPr="006F3533">
        <w:rPr>
          <w:rFonts w:ascii="Aptos" w:hAnsi="Aptos"/>
          <w:lang w:val="bg-BG"/>
        </w:rPr>
        <w:t xml:space="preserve"> на сградния сектор и играе ключова роля за постигането на целите по член 10 от Директивата за енергийните характеристики на сградите. Новите изисквания въвеждат задължение всички държави членки да осигурят поетапно инсталиране на подходящи съоръжения за производство на слънчева енергия в сградите, когато това е технически, икономически и функционално възможно, като се обхващат както новите, така и съществуващите обществени, нежилищни и жилищни сгради.</w:t>
      </w:r>
    </w:p>
    <w:p w14:paraId="422C4F95" w14:textId="77777777" w:rsidR="00B572B1" w:rsidRPr="006F3533" w:rsidRDefault="00B572B1" w:rsidP="00077D42">
      <w:pPr>
        <w:pStyle w:val="NormalWeb"/>
        <w:jc w:val="both"/>
        <w:rPr>
          <w:rFonts w:ascii="Aptos" w:hAnsi="Aptos"/>
          <w:lang w:val="bg-BG"/>
        </w:rPr>
      </w:pPr>
      <w:r w:rsidRPr="006F3533">
        <w:rPr>
          <w:rFonts w:ascii="Aptos" w:hAnsi="Aptos"/>
          <w:lang w:val="bg-BG"/>
        </w:rPr>
        <w:t>България вече разполага със значителен потенциал за развитие на фотоволтаични и слънчево-термични системи. Според данните от националния енергиен баланс, делът на енергията от слънчеви източници в брутното крайно потребление на енергия нараства устойчиво, но остава все още под средните стойности за Европейския съюз. Поради това националната стратегия предвижда ускорено прилагане на мерките по член 10, за да се гарантира, че до 2030 г. България ще постигне съответствие с новите европейски изисквания.</w:t>
      </w:r>
    </w:p>
    <w:p w14:paraId="38F5D6B4" w14:textId="77777777" w:rsidR="00B572B1" w:rsidRPr="006F3533" w:rsidRDefault="00B572B1" w:rsidP="00077D42">
      <w:pPr>
        <w:pStyle w:val="Heading3"/>
        <w:jc w:val="both"/>
        <w:rPr>
          <w:rFonts w:ascii="Aptos" w:hAnsi="Aptos"/>
          <w:sz w:val="24"/>
          <w:szCs w:val="24"/>
          <w:lang w:val="bg-BG"/>
        </w:rPr>
      </w:pPr>
      <w:bookmarkStart w:id="312" w:name="_Toc216816147"/>
      <w:bookmarkStart w:id="313" w:name="_Toc216857845"/>
      <w:bookmarkStart w:id="314" w:name="_Toc217888855"/>
      <w:r w:rsidRPr="006F3533">
        <w:rPr>
          <w:rFonts w:ascii="Aptos" w:hAnsi="Aptos"/>
          <w:sz w:val="24"/>
          <w:szCs w:val="24"/>
          <w:lang w:val="bg-BG"/>
        </w:rPr>
        <w:t>1. Задължение за „соларна готовност“ и интегриране на слънчевия потенциал</w:t>
      </w:r>
      <w:bookmarkEnd w:id="312"/>
      <w:bookmarkEnd w:id="313"/>
      <w:bookmarkEnd w:id="314"/>
    </w:p>
    <w:p w14:paraId="4A3A8D7C" w14:textId="77777777" w:rsidR="00B572B1" w:rsidRPr="006F3533" w:rsidRDefault="00B572B1" w:rsidP="00077D42">
      <w:pPr>
        <w:pStyle w:val="NormalWeb"/>
        <w:jc w:val="both"/>
        <w:rPr>
          <w:rFonts w:ascii="Aptos" w:hAnsi="Aptos"/>
          <w:lang w:val="bg-BG"/>
        </w:rPr>
      </w:pPr>
      <w:r w:rsidRPr="006F3533">
        <w:rPr>
          <w:rFonts w:ascii="Aptos" w:hAnsi="Aptos"/>
          <w:lang w:val="bg-BG"/>
        </w:rPr>
        <w:t>Всички нови сгради в България ще бъдат проектирани така, че да осигуряват оптимални условия за използване на слънчевата енергия. Това означава ориентация, геометрия и конструктивни решения, позволяващи монтиране на фотоволтаични панели, слънчеви колектори или комбинирани фасадни решения без необходимост от сериозни промени в бъдеще.</w:t>
      </w:r>
    </w:p>
    <w:p w14:paraId="43529C92" w14:textId="77777777" w:rsidR="00B572B1" w:rsidRPr="006F3533" w:rsidRDefault="00B572B1" w:rsidP="00077D42">
      <w:pPr>
        <w:pStyle w:val="NormalWeb"/>
        <w:jc w:val="both"/>
        <w:rPr>
          <w:rFonts w:ascii="Aptos" w:hAnsi="Aptos"/>
          <w:lang w:val="bg-BG"/>
        </w:rPr>
      </w:pPr>
      <w:r w:rsidRPr="006F3533">
        <w:rPr>
          <w:rFonts w:ascii="Aptos" w:hAnsi="Aptos"/>
          <w:lang w:val="bg-BG"/>
        </w:rPr>
        <w:t>Проектантите ще трябва да доказват в инвестиционните проекти, че сградата е „соларно готова“ – т.е. има конструктивна носимоспособност, резервирани трасета и електрически връзки, които позволяват лесно и икономично добавяне на фотоволтаични или слънчево-термични системи. Този подход ще се прилага не само при ново строителство, но и при основни ремонти и реконструкции на съществуващи сгради.</w:t>
      </w:r>
    </w:p>
    <w:p w14:paraId="534D74AA" w14:textId="77777777" w:rsidR="00B572B1" w:rsidRPr="006F3533" w:rsidRDefault="00B572B1" w:rsidP="00077D42">
      <w:pPr>
        <w:pStyle w:val="Heading3"/>
        <w:jc w:val="both"/>
        <w:rPr>
          <w:rFonts w:ascii="Aptos" w:hAnsi="Aptos"/>
          <w:sz w:val="24"/>
          <w:szCs w:val="24"/>
          <w:lang w:val="bg-BG"/>
        </w:rPr>
      </w:pPr>
      <w:bookmarkStart w:id="315" w:name="_Toc216816148"/>
      <w:bookmarkStart w:id="316" w:name="_Toc216857846"/>
      <w:bookmarkStart w:id="317" w:name="_Toc217888856"/>
      <w:r w:rsidRPr="006F3533">
        <w:rPr>
          <w:rFonts w:ascii="Aptos" w:hAnsi="Aptos"/>
          <w:sz w:val="24"/>
          <w:szCs w:val="24"/>
          <w:lang w:val="bg-BG"/>
        </w:rPr>
        <w:t>2. Национален график за поетапно внедряване</w:t>
      </w:r>
      <w:bookmarkEnd w:id="315"/>
      <w:bookmarkEnd w:id="316"/>
      <w:bookmarkEnd w:id="317"/>
    </w:p>
    <w:p w14:paraId="5D817F9D" w14:textId="77777777" w:rsidR="00B572B1" w:rsidRPr="006F3533" w:rsidRDefault="00B572B1" w:rsidP="00077D42">
      <w:pPr>
        <w:pStyle w:val="NormalWeb"/>
        <w:jc w:val="both"/>
        <w:rPr>
          <w:rFonts w:ascii="Aptos" w:hAnsi="Aptos"/>
          <w:lang w:val="bg-BG"/>
        </w:rPr>
      </w:pPr>
      <w:r w:rsidRPr="006F3533">
        <w:rPr>
          <w:rFonts w:ascii="Aptos" w:hAnsi="Aptos"/>
          <w:lang w:val="bg-BG"/>
        </w:rPr>
        <w:t>В изпълнение на член 10, параграф 3 от Директивата, България ще въведе поетапен график за задължително инсталиране на слънчеви съоръжения, когато това е технически и икономически оправдано:</w:t>
      </w:r>
    </w:p>
    <w:p w14:paraId="4C098C6A" w14:textId="77777777" w:rsidR="00B572B1" w:rsidRPr="006F3533" w:rsidRDefault="00B572B1" w:rsidP="00551FED">
      <w:pPr>
        <w:pStyle w:val="NormalWeb"/>
        <w:numPr>
          <w:ilvl w:val="0"/>
          <w:numId w:val="46"/>
        </w:numPr>
        <w:jc w:val="both"/>
        <w:rPr>
          <w:rFonts w:ascii="Aptos" w:hAnsi="Aptos"/>
          <w:lang w:val="bg-BG"/>
        </w:rPr>
      </w:pPr>
      <w:r w:rsidRPr="006F3533">
        <w:rPr>
          <w:rStyle w:val="Strong"/>
          <w:rFonts w:ascii="Aptos" w:hAnsi="Aptos"/>
          <w:lang w:val="bg-BG"/>
        </w:rPr>
        <w:t>до 31 декември 2026 г.</w:t>
      </w:r>
      <w:r w:rsidRPr="006F3533">
        <w:rPr>
          <w:rFonts w:ascii="Aptos" w:hAnsi="Aptos"/>
          <w:lang w:val="bg-BG"/>
        </w:rPr>
        <w:t xml:space="preserve"> – във всички нови обществени и нежилищни сгради с полезна застроена площ над 250 кв. м.;</w:t>
      </w:r>
    </w:p>
    <w:p w14:paraId="255CAB4E" w14:textId="77777777" w:rsidR="00B572B1" w:rsidRPr="006F3533" w:rsidRDefault="00B572B1" w:rsidP="00551FED">
      <w:pPr>
        <w:pStyle w:val="NormalWeb"/>
        <w:numPr>
          <w:ilvl w:val="0"/>
          <w:numId w:val="46"/>
        </w:numPr>
        <w:jc w:val="both"/>
        <w:rPr>
          <w:rFonts w:ascii="Aptos" w:hAnsi="Aptos"/>
          <w:lang w:val="bg-BG"/>
        </w:rPr>
      </w:pPr>
      <w:r w:rsidRPr="006F3533">
        <w:rPr>
          <w:rStyle w:val="Strong"/>
          <w:rFonts w:ascii="Aptos" w:hAnsi="Aptos"/>
          <w:lang w:val="bg-BG"/>
        </w:rPr>
        <w:t>до 31 декември 2027 г.</w:t>
      </w:r>
      <w:r w:rsidRPr="006F3533">
        <w:rPr>
          <w:rFonts w:ascii="Aptos" w:hAnsi="Aptos"/>
          <w:lang w:val="bg-BG"/>
        </w:rPr>
        <w:t xml:space="preserve"> – във всички съществуващи обществени сгради с площ над 2000 кв. м., както и в съществуващи нежилищни сгради над 500 кв. м., когато се извършва основен ремонт или подмяна на технически инсталации;</w:t>
      </w:r>
    </w:p>
    <w:p w14:paraId="6F249F48" w14:textId="77777777" w:rsidR="00B572B1" w:rsidRPr="006F3533" w:rsidRDefault="00B572B1" w:rsidP="00551FED">
      <w:pPr>
        <w:pStyle w:val="NormalWeb"/>
        <w:numPr>
          <w:ilvl w:val="0"/>
          <w:numId w:val="46"/>
        </w:numPr>
        <w:jc w:val="both"/>
        <w:rPr>
          <w:rFonts w:ascii="Aptos" w:hAnsi="Aptos"/>
          <w:lang w:val="bg-BG"/>
        </w:rPr>
      </w:pPr>
      <w:r w:rsidRPr="006F3533">
        <w:rPr>
          <w:rStyle w:val="Strong"/>
          <w:rFonts w:ascii="Aptos" w:hAnsi="Aptos"/>
          <w:lang w:val="bg-BG"/>
        </w:rPr>
        <w:t>до 31 декември 2028 г.</w:t>
      </w:r>
      <w:r w:rsidRPr="006F3533">
        <w:rPr>
          <w:rFonts w:ascii="Aptos" w:hAnsi="Aptos"/>
          <w:lang w:val="bg-BG"/>
        </w:rPr>
        <w:t xml:space="preserve"> – в съществуващи обществени сгради с площ над 750 кв. м.;</w:t>
      </w:r>
    </w:p>
    <w:p w14:paraId="6AFF8617" w14:textId="77777777" w:rsidR="00B572B1" w:rsidRPr="006F3533" w:rsidRDefault="00B572B1" w:rsidP="00551FED">
      <w:pPr>
        <w:pStyle w:val="NormalWeb"/>
        <w:numPr>
          <w:ilvl w:val="0"/>
          <w:numId w:val="46"/>
        </w:numPr>
        <w:jc w:val="both"/>
        <w:rPr>
          <w:rFonts w:ascii="Aptos" w:hAnsi="Aptos"/>
          <w:lang w:val="bg-BG"/>
        </w:rPr>
      </w:pPr>
      <w:r w:rsidRPr="006F3533">
        <w:rPr>
          <w:rStyle w:val="Strong"/>
          <w:rFonts w:ascii="Aptos" w:hAnsi="Aptos"/>
          <w:lang w:val="bg-BG"/>
        </w:rPr>
        <w:lastRenderedPageBreak/>
        <w:t>до 31 декември 2030 г.</w:t>
      </w:r>
      <w:r w:rsidRPr="006F3533">
        <w:rPr>
          <w:rFonts w:ascii="Aptos" w:hAnsi="Aptos"/>
          <w:lang w:val="bg-BG"/>
        </w:rPr>
        <w:t xml:space="preserve"> – във всички обществени сгради с площ над 250 кв. м. и във всички нови жилищни сгради;</w:t>
      </w:r>
    </w:p>
    <w:p w14:paraId="67C800C9" w14:textId="77777777" w:rsidR="00B572B1" w:rsidRPr="006F3533" w:rsidRDefault="00B572B1" w:rsidP="00551FED">
      <w:pPr>
        <w:pStyle w:val="NormalWeb"/>
        <w:numPr>
          <w:ilvl w:val="0"/>
          <w:numId w:val="46"/>
        </w:numPr>
        <w:jc w:val="both"/>
        <w:rPr>
          <w:rFonts w:ascii="Aptos" w:hAnsi="Aptos"/>
          <w:lang w:val="bg-BG"/>
        </w:rPr>
      </w:pPr>
      <w:r w:rsidRPr="006F3533">
        <w:rPr>
          <w:rStyle w:val="Strong"/>
          <w:rFonts w:ascii="Aptos" w:hAnsi="Aptos"/>
          <w:lang w:val="bg-BG"/>
        </w:rPr>
        <w:t>до 31 декември 2029 г.</w:t>
      </w:r>
      <w:r w:rsidRPr="006F3533">
        <w:rPr>
          <w:rFonts w:ascii="Aptos" w:hAnsi="Aptos"/>
          <w:lang w:val="bg-BG"/>
        </w:rPr>
        <w:t xml:space="preserve"> – във всички нови покрити паркинги, разположени в непосредствена близост до сгради.</w:t>
      </w:r>
    </w:p>
    <w:p w14:paraId="7ED31687" w14:textId="77777777" w:rsidR="00B572B1" w:rsidRPr="006F3533" w:rsidRDefault="00B572B1" w:rsidP="00077D42">
      <w:pPr>
        <w:pStyle w:val="NormalWeb"/>
        <w:jc w:val="both"/>
        <w:rPr>
          <w:rFonts w:ascii="Aptos" w:hAnsi="Aptos"/>
          <w:lang w:val="bg-BG"/>
        </w:rPr>
      </w:pPr>
      <w:r w:rsidRPr="006F3533">
        <w:rPr>
          <w:rFonts w:ascii="Aptos" w:hAnsi="Aptos"/>
          <w:lang w:val="bg-BG"/>
        </w:rPr>
        <w:t>Тези срокове ще бъдат заложени в националното законодателство и ще се прилагат при издаване на разрешения за строеж и при процедурите за приемане на обекти в експлоатация.</w:t>
      </w:r>
    </w:p>
    <w:p w14:paraId="03142E62" w14:textId="77777777" w:rsidR="00B572B1" w:rsidRPr="006F3533" w:rsidRDefault="00B572B1" w:rsidP="00077D42">
      <w:pPr>
        <w:pStyle w:val="Heading3"/>
        <w:jc w:val="both"/>
        <w:rPr>
          <w:rFonts w:ascii="Aptos" w:hAnsi="Aptos"/>
          <w:sz w:val="24"/>
          <w:szCs w:val="24"/>
          <w:lang w:val="bg-BG"/>
        </w:rPr>
      </w:pPr>
      <w:bookmarkStart w:id="318" w:name="_Toc216816149"/>
      <w:bookmarkStart w:id="319" w:name="_Toc216857847"/>
      <w:bookmarkStart w:id="320" w:name="_Toc217888857"/>
      <w:r w:rsidRPr="006F3533">
        <w:rPr>
          <w:rFonts w:ascii="Aptos" w:hAnsi="Aptos"/>
          <w:sz w:val="24"/>
          <w:szCs w:val="24"/>
          <w:lang w:val="bg-BG"/>
        </w:rPr>
        <w:t>3. Национални критерии и освобождавания</w:t>
      </w:r>
      <w:bookmarkEnd w:id="318"/>
      <w:bookmarkEnd w:id="319"/>
      <w:bookmarkEnd w:id="320"/>
    </w:p>
    <w:p w14:paraId="38442A76"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Министерството на регионалното развитие и благоустройството, в координация с Министерството на енергетиката, ще разработи и публично ще оповести </w:t>
      </w:r>
      <w:r w:rsidRPr="006F3533">
        <w:rPr>
          <w:rStyle w:val="Strong"/>
          <w:rFonts w:ascii="Aptos" w:hAnsi="Aptos"/>
          <w:lang w:val="bg-BG"/>
        </w:rPr>
        <w:t>национални критерии за практическото изпълнение</w:t>
      </w:r>
      <w:r w:rsidRPr="006F3533">
        <w:rPr>
          <w:rFonts w:ascii="Aptos" w:hAnsi="Aptos"/>
          <w:lang w:val="bg-BG"/>
        </w:rPr>
        <w:t xml:space="preserve"> на задълженията по член 10, както и за евентуални </w:t>
      </w:r>
      <w:r w:rsidRPr="006F3533">
        <w:rPr>
          <w:rStyle w:val="Strong"/>
          <w:rFonts w:ascii="Aptos" w:hAnsi="Aptos"/>
          <w:lang w:val="bg-BG"/>
        </w:rPr>
        <w:t>освобождавания</w:t>
      </w:r>
      <w:r w:rsidRPr="006F3533">
        <w:rPr>
          <w:rFonts w:ascii="Aptos" w:hAnsi="Aptos"/>
          <w:lang w:val="bg-BG"/>
        </w:rPr>
        <w:t>.</w:t>
      </w:r>
    </w:p>
    <w:p w14:paraId="2A1DC7F0" w14:textId="77777777" w:rsidR="00B572B1" w:rsidRPr="006F3533" w:rsidRDefault="00B572B1" w:rsidP="00077D42">
      <w:pPr>
        <w:pStyle w:val="NormalWeb"/>
        <w:jc w:val="both"/>
        <w:rPr>
          <w:rFonts w:ascii="Aptos" w:hAnsi="Aptos"/>
          <w:lang w:val="bg-BG"/>
        </w:rPr>
      </w:pPr>
      <w:r w:rsidRPr="006F3533">
        <w:rPr>
          <w:rFonts w:ascii="Aptos" w:hAnsi="Aptos"/>
          <w:lang w:val="bg-BG"/>
        </w:rPr>
        <w:t>Освобождаванията ще се прилагат само в случаи, когато:</w:t>
      </w:r>
    </w:p>
    <w:p w14:paraId="538C0F37" w14:textId="77777777" w:rsidR="00B572B1" w:rsidRPr="006F3533" w:rsidRDefault="00B572B1" w:rsidP="00551FED">
      <w:pPr>
        <w:pStyle w:val="NormalWeb"/>
        <w:numPr>
          <w:ilvl w:val="0"/>
          <w:numId w:val="47"/>
        </w:numPr>
        <w:jc w:val="both"/>
        <w:rPr>
          <w:rFonts w:ascii="Aptos" w:hAnsi="Aptos"/>
          <w:lang w:val="bg-BG"/>
        </w:rPr>
      </w:pPr>
      <w:r w:rsidRPr="006F3533">
        <w:rPr>
          <w:rFonts w:ascii="Aptos" w:hAnsi="Aptos"/>
          <w:lang w:val="bg-BG"/>
        </w:rPr>
        <w:t>съществуват конструктивни или архитектурни ограничения (напр. при културни паметници или защитени обекти);</w:t>
      </w:r>
    </w:p>
    <w:p w14:paraId="3F308054" w14:textId="77777777" w:rsidR="00B572B1" w:rsidRPr="006F3533" w:rsidRDefault="00B572B1" w:rsidP="00551FED">
      <w:pPr>
        <w:pStyle w:val="NormalWeb"/>
        <w:numPr>
          <w:ilvl w:val="0"/>
          <w:numId w:val="47"/>
        </w:numPr>
        <w:jc w:val="both"/>
        <w:rPr>
          <w:rFonts w:ascii="Aptos" w:hAnsi="Aptos"/>
          <w:lang w:val="bg-BG"/>
        </w:rPr>
      </w:pPr>
      <w:r w:rsidRPr="006F3533">
        <w:rPr>
          <w:rFonts w:ascii="Aptos" w:hAnsi="Aptos"/>
          <w:lang w:val="bg-BG"/>
        </w:rPr>
        <w:t>сградата е разположена в зона със силно засенчване, което прави инсталацията икономически неефективна;</w:t>
      </w:r>
    </w:p>
    <w:p w14:paraId="42B7FE11" w14:textId="0858032B" w:rsidR="00B572B1" w:rsidRPr="006F3533" w:rsidRDefault="00B572B1" w:rsidP="00551FED">
      <w:pPr>
        <w:pStyle w:val="NormalWeb"/>
        <w:numPr>
          <w:ilvl w:val="0"/>
          <w:numId w:val="47"/>
        </w:numPr>
        <w:jc w:val="both"/>
        <w:rPr>
          <w:rFonts w:ascii="Aptos" w:hAnsi="Aptos"/>
          <w:lang w:val="bg-BG"/>
        </w:rPr>
      </w:pPr>
      <w:r w:rsidRPr="006F3533">
        <w:rPr>
          <w:rFonts w:ascii="Aptos" w:hAnsi="Aptos"/>
          <w:lang w:val="bg-BG"/>
        </w:rPr>
        <w:t xml:space="preserve">наличието на </w:t>
      </w:r>
      <w:r w:rsidR="00855103" w:rsidRPr="006F3533">
        <w:rPr>
          <w:rFonts w:ascii="Aptos" w:hAnsi="Aptos"/>
          <w:lang w:val="bg-BG"/>
        </w:rPr>
        <w:t>зелени покриви или специални екологични решения е по-полезно от енергийна и/или екологична гледна точка, както и от гледна точка на адаптация към климатичните промени.</w:t>
      </w:r>
    </w:p>
    <w:p w14:paraId="279AAD11"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Всички освобождавания ще подлежат на </w:t>
      </w:r>
      <w:r w:rsidRPr="006F3533">
        <w:rPr>
          <w:rStyle w:val="Strong"/>
          <w:rFonts w:ascii="Aptos" w:hAnsi="Aptos"/>
          <w:lang w:val="bg-BG"/>
        </w:rPr>
        <w:t>обосновано мотивиране</w:t>
      </w:r>
      <w:r w:rsidRPr="006F3533">
        <w:rPr>
          <w:rFonts w:ascii="Aptos" w:hAnsi="Aptos"/>
          <w:lang w:val="bg-BG"/>
        </w:rPr>
        <w:t xml:space="preserve"> и ще се вписват в публичен регистър.</w:t>
      </w:r>
    </w:p>
    <w:p w14:paraId="73EE2550" w14:textId="77777777" w:rsidR="00B572B1" w:rsidRPr="006F3533" w:rsidRDefault="00B572B1" w:rsidP="00077D42">
      <w:pPr>
        <w:pStyle w:val="Heading3"/>
        <w:jc w:val="both"/>
        <w:rPr>
          <w:rFonts w:ascii="Aptos" w:hAnsi="Aptos"/>
          <w:sz w:val="24"/>
          <w:szCs w:val="24"/>
          <w:lang w:val="bg-BG"/>
        </w:rPr>
      </w:pPr>
      <w:bookmarkStart w:id="321" w:name="_Toc216816150"/>
      <w:bookmarkStart w:id="322" w:name="_Toc216857848"/>
      <w:bookmarkStart w:id="323" w:name="_Toc217888858"/>
      <w:r w:rsidRPr="006F3533">
        <w:rPr>
          <w:rFonts w:ascii="Aptos" w:hAnsi="Aptos"/>
          <w:sz w:val="24"/>
          <w:szCs w:val="24"/>
          <w:lang w:val="bg-BG"/>
        </w:rPr>
        <w:t>4. Административни и технически облекчения</w:t>
      </w:r>
      <w:bookmarkEnd w:id="321"/>
      <w:bookmarkEnd w:id="322"/>
      <w:bookmarkEnd w:id="323"/>
    </w:p>
    <w:p w14:paraId="121A5A7D"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За улесняване на собствениците и инвеститорите ще бъдат въведени </w:t>
      </w:r>
      <w:r w:rsidRPr="006F3533">
        <w:rPr>
          <w:rStyle w:val="Strong"/>
          <w:rFonts w:ascii="Aptos" w:hAnsi="Aptos"/>
          <w:lang w:val="bg-BG"/>
        </w:rPr>
        <w:t>опростени административни процедури</w:t>
      </w:r>
      <w:r w:rsidRPr="006F3533">
        <w:rPr>
          <w:rFonts w:ascii="Aptos" w:hAnsi="Aptos"/>
          <w:lang w:val="bg-BG"/>
        </w:rPr>
        <w:t xml:space="preserve"> при инсталиране на слънчеви технологии върху съществуващи сгради, когато не се засягат носещите конструкции.</w:t>
      </w:r>
    </w:p>
    <w:p w14:paraId="701F00FF" w14:textId="77777777" w:rsidR="00B572B1" w:rsidRPr="006F3533" w:rsidRDefault="00B572B1" w:rsidP="00551FED">
      <w:pPr>
        <w:pStyle w:val="NormalWeb"/>
        <w:numPr>
          <w:ilvl w:val="0"/>
          <w:numId w:val="48"/>
        </w:numPr>
        <w:jc w:val="both"/>
        <w:rPr>
          <w:rFonts w:ascii="Aptos" w:hAnsi="Aptos"/>
          <w:lang w:val="bg-BG"/>
        </w:rPr>
      </w:pPr>
      <w:r w:rsidRPr="006F3533">
        <w:rPr>
          <w:rFonts w:ascii="Aptos" w:hAnsi="Aptos"/>
          <w:lang w:val="bg-BG"/>
        </w:rPr>
        <w:t xml:space="preserve">Процедурите по присъединяване към електроразпределителната мрежа ще бъдат </w:t>
      </w:r>
      <w:r w:rsidRPr="006F3533">
        <w:rPr>
          <w:rStyle w:val="Strong"/>
          <w:rFonts w:ascii="Aptos" w:hAnsi="Aptos"/>
          <w:lang w:val="bg-BG"/>
        </w:rPr>
        <w:t>ускорени и цифровизирани</w:t>
      </w:r>
      <w:r w:rsidRPr="006F3533">
        <w:rPr>
          <w:rFonts w:ascii="Aptos" w:hAnsi="Aptos"/>
          <w:lang w:val="bg-BG"/>
        </w:rPr>
        <w:t>, като операторите ще имат задължение да обработват заявленията в кратки срокове и да предоставят информация онлайн.</w:t>
      </w:r>
    </w:p>
    <w:p w14:paraId="70763749" w14:textId="77777777" w:rsidR="00B572B1" w:rsidRPr="006F3533" w:rsidRDefault="00B572B1" w:rsidP="00551FED">
      <w:pPr>
        <w:pStyle w:val="NormalWeb"/>
        <w:numPr>
          <w:ilvl w:val="0"/>
          <w:numId w:val="48"/>
        </w:numPr>
        <w:jc w:val="both"/>
        <w:rPr>
          <w:rFonts w:ascii="Aptos" w:hAnsi="Aptos"/>
          <w:lang w:val="bg-BG"/>
        </w:rPr>
      </w:pPr>
      <w:r w:rsidRPr="006F3533">
        <w:rPr>
          <w:rFonts w:ascii="Aptos" w:hAnsi="Aptos"/>
          <w:lang w:val="bg-BG"/>
        </w:rPr>
        <w:t xml:space="preserve">Ще се въведе електронна система за </w:t>
      </w:r>
      <w:r w:rsidRPr="006F3533">
        <w:rPr>
          <w:rStyle w:val="Strong"/>
          <w:rFonts w:ascii="Aptos" w:hAnsi="Aptos"/>
          <w:lang w:val="bg-BG"/>
        </w:rPr>
        <w:t>проследяване на заявките и сроковете</w:t>
      </w:r>
      <w:r w:rsidRPr="006F3533">
        <w:rPr>
          <w:rFonts w:ascii="Aptos" w:hAnsi="Aptos"/>
          <w:lang w:val="bg-BG"/>
        </w:rPr>
        <w:t xml:space="preserve"> по присъединяване, която ще повиши прозрачността и предвидимостта за инвеститорите.</w:t>
      </w:r>
    </w:p>
    <w:p w14:paraId="0233E715" w14:textId="77777777" w:rsidR="00B572B1" w:rsidRPr="006F3533" w:rsidRDefault="00B572B1" w:rsidP="00077D42">
      <w:pPr>
        <w:pStyle w:val="Heading3"/>
        <w:jc w:val="both"/>
        <w:rPr>
          <w:rFonts w:ascii="Aptos" w:hAnsi="Aptos"/>
          <w:sz w:val="24"/>
          <w:szCs w:val="24"/>
          <w:lang w:val="bg-BG"/>
        </w:rPr>
      </w:pPr>
      <w:bookmarkStart w:id="324" w:name="_Toc216816151"/>
      <w:bookmarkStart w:id="325" w:name="_Toc216857849"/>
      <w:bookmarkStart w:id="326" w:name="_Toc217888859"/>
      <w:r w:rsidRPr="006F3533">
        <w:rPr>
          <w:rFonts w:ascii="Aptos" w:hAnsi="Aptos"/>
          <w:sz w:val="24"/>
          <w:szCs w:val="24"/>
          <w:lang w:val="bg-BG"/>
        </w:rPr>
        <w:t>5. Интегрирани решения и иновации</w:t>
      </w:r>
      <w:bookmarkEnd w:id="324"/>
      <w:bookmarkEnd w:id="325"/>
      <w:bookmarkEnd w:id="326"/>
    </w:p>
    <w:p w14:paraId="1C34B1F9"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За да се постигне по-висока ефективност и естетическа съвместимост, ще се насърчава използването на </w:t>
      </w:r>
      <w:r w:rsidRPr="006F3533">
        <w:rPr>
          <w:rStyle w:val="Strong"/>
          <w:rFonts w:ascii="Aptos" w:hAnsi="Aptos"/>
          <w:lang w:val="bg-BG"/>
        </w:rPr>
        <w:t>интегрирани слънчеви технологии</w:t>
      </w:r>
      <w:r w:rsidRPr="006F3533">
        <w:rPr>
          <w:rFonts w:ascii="Aptos" w:hAnsi="Aptos"/>
          <w:lang w:val="bg-BG"/>
        </w:rPr>
        <w:t>, като:</w:t>
      </w:r>
    </w:p>
    <w:p w14:paraId="2C9C70C8" w14:textId="77777777" w:rsidR="00B572B1" w:rsidRPr="006F3533" w:rsidRDefault="00B572B1" w:rsidP="00551FED">
      <w:pPr>
        <w:pStyle w:val="NormalWeb"/>
        <w:numPr>
          <w:ilvl w:val="0"/>
          <w:numId w:val="49"/>
        </w:numPr>
        <w:jc w:val="both"/>
        <w:rPr>
          <w:rFonts w:ascii="Aptos" w:hAnsi="Aptos"/>
          <w:lang w:val="bg-BG"/>
        </w:rPr>
      </w:pPr>
      <w:proofErr w:type="spellStart"/>
      <w:r w:rsidRPr="006F3533">
        <w:rPr>
          <w:rFonts w:ascii="Aptos" w:hAnsi="Aptos"/>
          <w:lang w:val="bg-BG"/>
        </w:rPr>
        <w:t>фотоволтаици</w:t>
      </w:r>
      <w:proofErr w:type="spellEnd"/>
      <w:r w:rsidRPr="006F3533">
        <w:rPr>
          <w:rFonts w:ascii="Aptos" w:hAnsi="Aptos"/>
          <w:lang w:val="bg-BG"/>
        </w:rPr>
        <w:t>, вградени в покриви и фасади (BIPV);</w:t>
      </w:r>
    </w:p>
    <w:p w14:paraId="089F728A" w14:textId="77777777" w:rsidR="00B572B1" w:rsidRPr="006F3533" w:rsidRDefault="00B572B1" w:rsidP="00551FED">
      <w:pPr>
        <w:pStyle w:val="NormalWeb"/>
        <w:numPr>
          <w:ilvl w:val="0"/>
          <w:numId w:val="49"/>
        </w:numPr>
        <w:jc w:val="both"/>
        <w:rPr>
          <w:rFonts w:ascii="Aptos" w:hAnsi="Aptos"/>
          <w:lang w:val="bg-BG"/>
        </w:rPr>
      </w:pPr>
      <w:r w:rsidRPr="006F3533">
        <w:rPr>
          <w:rFonts w:ascii="Aptos" w:hAnsi="Aptos"/>
          <w:lang w:val="bg-BG"/>
        </w:rPr>
        <w:lastRenderedPageBreak/>
        <w:t>комбинирани системи за слънчева топлинна и електрическа енергия;</w:t>
      </w:r>
    </w:p>
    <w:p w14:paraId="67F9CF5A" w14:textId="77777777" w:rsidR="00B572B1" w:rsidRPr="006F3533" w:rsidRDefault="00B572B1" w:rsidP="00551FED">
      <w:pPr>
        <w:pStyle w:val="NormalWeb"/>
        <w:numPr>
          <w:ilvl w:val="0"/>
          <w:numId w:val="49"/>
        </w:numPr>
        <w:jc w:val="both"/>
        <w:rPr>
          <w:rFonts w:ascii="Aptos" w:hAnsi="Aptos"/>
          <w:lang w:val="bg-BG"/>
        </w:rPr>
      </w:pPr>
      <w:r w:rsidRPr="006F3533">
        <w:rPr>
          <w:rFonts w:ascii="Aptos" w:hAnsi="Aptos"/>
          <w:lang w:val="bg-BG"/>
        </w:rPr>
        <w:t>решения, съчетани със зелени покриви, които подобряват микроклимата и енергийната ефективност на сградите.</w:t>
      </w:r>
    </w:p>
    <w:p w14:paraId="7594AAE0"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Ще се стимулира съчетаването на фотоволтаични системи със </w:t>
      </w:r>
      <w:r w:rsidRPr="006F3533">
        <w:rPr>
          <w:rStyle w:val="Strong"/>
          <w:rFonts w:ascii="Aptos" w:hAnsi="Aptos"/>
          <w:lang w:val="bg-BG"/>
        </w:rPr>
        <w:t>системи за съхранение на енергия и умно управление</w:t>
      </w:r>
      <w:r w:rsidRPr="006F3533">
        <w:rPr>
          <w:rFonts w:ascii="Aptos" w:hAnsi="Aptos"/>
          <w:lang w:val="bg-BG"/>
        </w:rPr>
        <w:t xml:space="preserve">, включително възможности за зареждане на </w:t>
      </w:r>
      <w:proofErr w:type="spellStart"/>
      <w:r w:rsidRPr="006F3533">
        <w:rPr>
          <w:rFonts w:ascii="Aptos" w:hAnsi="Aptos"/>
          <w:lang w:val="bg-BG"/>
        </w:rPr>
        <w:t>електромобили</w:t>
      </w:r>
      <w:proofErr w:type="spellEnd"/>
      <w:r w:rsidRPr="006F3533">
        <w:rPr>
          <w:rFonts w:ascii="Aptos" w:hAnsi="Aptos"/>
          <w:lang w:val="bg-BG"/>
        </w:rPr>
        <w:t>, така че сградите да функционират като активни участници в енергийната система.</w:t>
      </w:r>
    </w:p>
    <w:p w14:paraId="636C44E4" w14:textId="77777777" w:rsidR="00B572B1" w:rsidRPr="006F3533" w:rsidRDefault="00B572B1" w:rsidP="00077D42">
      <w:pPr>
        <w:pStyle w:val="Heading3"/>
        <w:jc w:val="both"/>
        <w:rPr>
          <w:rFonts w:ascii="Aptos" w:hAnsi="Aptos"/>
          <w:sz w:val="24"/>
          <w:szCs w:val="24"/>
          <w:lang w:val="bg-BG"/>
        </w:rPr>
      </w:pPr>
      <w:bookmarkStart w:id="327" w:name="_Toc216816152"/>
      <w:bookmarkStart w:id="328" w:name="_Toc216857850"/>
      <w:bookmarkStart w:id="329" w:name="_Toc217888860"/>
      <w:r w:rsidRPr="006F3533">
        <w:rPr>
          <w:rFonts w:ascii="Aptos" w:hAnsi="Aptos"/>
          <w:sz w:val="24"/>
          <w:szCs w:val="24"/>
          <w:lang w:val="bg-BG"/>
        </w:rPr>
        <w:t>6. Обществени сгради като пример</w:t>
      </w:r>
      <w:bookmarkEnd w:id="327"/>
      <w:bookmarkEnd w:id="328"/>
      <w:bookmarkEnd w:id="329"/>
    </w:p>
    <w:p w14:paraId="4B9BBFDC"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Съгласно член 10, параграф 4 от Директивата, публичните сгради на национално, регионално и общинско равнище трябва да бъдат </w:t>
      </w:r>
      <w:r w:rsidRPr="006F3533">
        <w:rPr>
          <w:rStyle w:val="Strong"/>
          <w:rFonts w:ascii="Aptos" w:hAnsi="Aptos"/>
          <w:lang w:val="bg-BG"/>
        </w:rPr>
        <w:t>пример за използване на слънчева енергия</w:t>
      </w:r>
      <w:r w:rsidRPr="006F3533">
        <w:rPr>
          <w:rFonts w:ascii="Aptos" w:hAnsi="Aptos"/>
          <w:lang w:val="bg-BG"/>
        </w:rPr>
        <w:t xml:space="preserve">. В тази връзка ще бъдат разработени указания за стриктно прилагане на националното законодателство и ще бъдат въведени стимули </w:t>
      </w:r>
      <w:r w:rsidRPr="006F3533">
        <w:rPr>
          <w:rStyle w:val="Strong"/>
          <w:rFonts w:ascii="Aptos" w:hAnsi="Aptos"/>
          <w:lang w:val="bg-BG"/>
        </w:rPr>
        <w:t>за соларизация на публичните сгради</w:t>
      </w:r>
      <w:r w:rsidRPr="006F3533">
        <w:rPr>
          <w:rFonts w:ascii="Aptos" w:hAnsi="Aptos"/>
          <w:lang w:val="bg-BG"/>
        </w:rPr>
        <w:t>, които ще включват:</w:t>
      </w:r>
    </w:p>
    <w:p w14:paraId="311C3D61" w14:textId="77777777" w:rsidR="00B572B1" w:rsidRPr="006F3533" w:rsidRDefault="00B572B1" w:rsidP="00551FED">
      <w:pPr>
        <w:pStyle w:val="NormalWeb"/>
        <w:numPr>
          <w:ilvl w:val="0"/>
          <w:numId w:val="50"/>
        </w:numPr>
        <w:jc w:val="both"/>
        <w:rPr>
          <w:rFonts w:ascii="Aptos" w:hAnsi="Aptos"/>
          <w:lang w:val="bg-BG"/>
        </w:rPr>
      </w:pPr>
      <w:r w:rsidRPr="006F3533">
        <w:rPr>
          <w:rFonts w:ascii="Aptos" w:hAnsi="Aptos"/>
          <w:lang w:val="bg-BG"/>
        </w:rPr>
        <w:t>поетапно оборудване на всички публични сгради с фотоволтаични и/или слънчево-термични системи, вкл. системи за съхранение на електрическа и/или топлинна енергия, чрез задължително включване на тези системи в проектите за сградно обновяване, финансирани изцяло или частично с публични средства</w:t>
      </w:r>
    </w:p>
    <w:p w14:paraId="236B7FA4" w14:textId="77777777" w:rsidR="00B572B1" w:rsidRPr="006F3533" w:rsidRDefault="00B572B1" w:rsidP="00551FED">
      <w:pPr>
        <w:pStyle w:val="NormalWeb"/>
        <w:numPr>
          <w:ilvl w:val="0"/>
          <w:numId w:val="50"/>
        </w:numPr>
        <w:jc w:val="both"/>
        <w:rPr>
          <w:rFonts w:ascii="Aptos" w:hAnsi="Aptos"/>
          <w:lang w:val="bg-BG"/>
        </w:rPr>
      </w:pPr>
      <w:r w:rsidRPr="006F3533">
        <w:rPr>
          <w:rFonts w:ascii="Aptos" w:hAnsi="Aptos"/>
          <w:lang w:val="bg-BG"/>
        </w:rPr>
        <w:t>възможност покривите на публични сгради да се предоставят на трети страни за изграждане на инсталации при условия на публично-частно партньорство;</w:t>
      </w:r>
    </w:p>
    <w:p w14:paraId="6E0C8267" w14:textId="77777777" w:rsidR="00B572B1" w:rsidRPr="006F3533" w:rsidRDefault="00B572B1" w:rsidP="00551FED">
      <w:pPr>
        <w:pStyle w:val="NormalWeb"/>
        <w:numPr>
          <w:ilvl w:val="0"/>
          <w:numId w:val="50"/>
        </w:numPr>
        <w:jc w:val="both"/>
        <w:rPr>
          <w:rFonts w:ascii="Aptos" w:hAnsi="Aptos"/>
          <w:lang w:val="bg-BG"/>
        </w:rPr>
      </w:pPr>
      <w:r w:rsidRPr="006F3533">
        <w:rPr>
          <w:rFonts w:ascii="Aptos" w:hAnsi="Aptos"/>
          <w:lang w:val="bg-BG"/>
        </w:rPr>
        <w:t xml:space="preserve">приоритетно финансиране чрез Националния фонд за </w:t>
      </w:r>
      <w:proofErr w:type="spellStart"/>
      <w:r w:rsidRPr="006F3533">
        <w:rPr>
          <w:rFonts w:ascii="Aptos" w:hAnsi="Aptos"/>
          <w:lang w:val="bg-BG"/>
        </w:rPr>
        <w:t>декарбонизация</w:t>
      </w:r>
      <w:proofErr w:type="spellEnd"/>
      <w:r w:rsidRPr="006F3533">
        <w:rPr>
          <w:rFonts w:ascii="Aptos" w:hAnsi="Aptos"/>
          <w:lang w:val="bg-BG"/>
        </w:rPr>
        <w:t>, програми по структурните и кохезионни фондове на ЕС, и други публични източници на финансиране.</w:t>
      </w:r>
    </w:p>
    <w:p w14:paraId="70F3A2B9" w14:textId="77777777" w:rsidR="00B572B1" w:rsidRPr="006F3533" w:rsidRDefault="00B572B1" w:rsidP="00077D42">
      <w:pPr>
        <w:pStyle w:val="Heading3"/>
        <w:jc w:val="both"/>
        <w:rPr>
          <w:rFonts w:ascii="Aptos" w:hAnsi="Aptos"/>
          <w:sz w:val="24"/>
          <w:szCs w:val="24"/>
          <w:lang w:val="bg-BG"/>
        </w:rPr>
      </w:pPr>
      <w:bookmarkStart w:id="330" w:name="_Toc216816153"/>
      <w:bookmarkStart w:id="331" w:name="_Toc216857851"/>
      <w:bookmarkStart w:id="332" w:name="_Toc217888861"/>
      <w:r w:rsidRPr="006F3533">
        <w:rPr>
          <w:rFonts w:ascii="Aptos" w:hAnsi="Aptos"/>
          <w:sz w:val="24"/>
          <w:szCs w:val="24"/>
          <w:lang w:val="bg-BG"/>
        </w:rPr>
        <w:t>7. Мониторинг, отчетност и контрол</w:t>
      </w:r>
      <w:bookmarkEnd w:id="330"/>
      <w:bookmarkEnd w:id="331"/>
      <w:bookmarkEnd w:id="332"/>
    </w:p>
    <w:p w14:paraId="4DB69668"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Изпълнението на задълженията по член 10 ще се проследява чрез </w:t>
      </w:r>
      <w:r w:rsidRPr="006F3533">
        <w:rPr>
          <w:rStyle w:val="Strong"/>
          <w:rFonts w:ascii="Aptos" w:hAnsi="Aptos"/>
          <w:lang w:val="bg-BG"/>
        </w:rPr>
        <w:t>национален регистър на слънчевите инсталации в сградите</w:t>
      </w:r>
      <w:r w:rsidRPr="006F3533">
        <w:rPr>
          <w:rFonts w:ascii="Aptos" w:hAnsi="Aptos"/>
          <w:lang w:val="bg-BG"/>
        </w:rPr>
        <w:t>, който ще се поддържа от Агенцията за устойчиво енергийно развитие. Регистърът ще съдържа данни за вида, мощността, местоположението и датата на въвеждане в експлоатация на инсталациите, като информацията ще се актуализира ежегодно.</w:t>
      </w:r>
    </w:p>
    <w:p w14:paraId="70B4EFB7"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Резултатите ще бъдат включвани в годишния </w:t>
      </w:r>
      <w:r w:rsidRPr="006F3533">
        <w:rPr>
          <w:rStyle w:val="Strong"/>
          <w:rFonts w:ascii="Aptos" w:hAnsi="Aptos"/>
          <w:lang w:val="bg-BG"/>
        </w:rPr>
        <w:t>национален анализ на изпълнението на политиките за енергийна ефективност</w:t>
      </w:r>
      <w:r w:rsidRPr="006F3533">
        <w:rPr>
          <w:rFonts w:ascii="Aptos" w:hAnsi="Aptos"/>
          <w:lang w:val="bg-BG"/>
        </w:rPr>
        <w:t>, както и в отчетите по Интегрирания план в областта на енергетиката и климата.</w:t>
      </w:r>
    </w:p>
    <w:p w14:paraId="685D3ACF" w14:textId="77777777" w:rsidR="00B572B1" w:rsidRPr="006F3533" w:rsidRDefault="00B572B1" w:rsidP="00077D42">
      <w:pPr>
        <w:pStyle w:val="Heading3"/>
        <w:jc w:val="both"/>
        <w:rPr>
          <w:rFonts w:ascii="Aptos" w:hAnsi="Aptos"/>
          <w:sz w:val="24"/>
          <w:szCs w:val="24"/>
          <w:lang w:val="bg-BG"/>
        </w:rPr>
      </w:pPr>
      <w:bookmarkStart w:id="333" w:name="_Toc216816154"/>
      <w:bookmarkStart w:id="334" w:name="_Toc216857852"/>
      <w:bookmarkStart w:id="335" w:name="_Toc217888862"/>
      <w:r w:rsidRPr="006F3533">
        <w:rPr>
          <w:rFonts w:ascii="Aptos" w:hAnsi="Aptos"/>
          <w:sz w:val="24"/>
          <w:szCs w:val="24"/>
          <w:lang w:val="bg-BG"/>
        </w:rPr>
        <w:t>Очаквани резултати</w:t>
      </w:r>
      <w:bookmarkEnd w:id="333"/>
      <w:bookmarkEnd w:id="334"/>
      <w:bookmarkEnd w:id="335"/>
    </w:p>
    <w:p w14:paraId="5BA616CD" w14:textId="77777777" w:rsidR="00B572B1" w:rsidRPr="006F3533" w:rsidRDefault="00B572B1" w:rsidP="00077D42">
      <w:pPr>
        <w:pStyle w:val="NormalWeb"/>
        <w:jc w:val="both"/>
        <w:rPr>
          <w:rFonts w:ascii="Aptos" w:hAnsi="Aptos"/>
          <w:lang w:val="bg-BG"/>
        </w:rPr>
      </w:pPr>
      <w:r w:rsidRPr="006F3533">
        <w:rPr>
          <w:rFonts w:ascii="Aptos" w:hAnsi="Aptos"/>
          <w:lang w:val="bg-BG"/>
        </w:rPr>
        <w:t>Прилагането на тези мерки ще осигури системен и предвидим процес на разгръщане на слънчевата енергия в сградния сектор. До 2030 г. България ще разполага с национална нормативна рамка, цифрово управляван процес на присъединяване, активна мрежа от инсталатори и финансови инструменти, които да подкрепят гражданите, общините и бизнеса.</w:t>
      </w:r>
    </w:p>
    <w:p w14:paraId="0DC59D21" w14:textId="77777777" w:rsidR="00B572B1" w:rsidRPr="006F3533" w:rsidRDefault="00B572B1" w:rsidP="00077D42">
      <w:pPr>
        <w:pStyle w:val="NormalWeb"/>
        <w:jc w:val="both"/>
        <w:rPr>
          <w:rFonts w:ascii="Aptos" w:hAnsi="Aptos"/>
          <w:lang w:val="bg-BG"/>
        </w:rPr>
      </w:pPr>
      <w:r w:rsidRPr="006F3533">
        <w:rPr>
          <w:rFonts w:ascii="Aptos" w:hAnsi="Aptos"/>
          <w:lang w:val="bg-BG"/>
        </w:rPr>
        <w:t>Очаква се:</w:t>
      </w:r>
    </w:p>
    <w:p w14:paraId="7129A89E" w14:textId="77777777" w:rsidR="00B572B1" w:rsidRPr="006F3533" w:rsidRDefault="00B572B1" w:rsidP="00551FED">
      <w:pPr>
        <w:pStyle w:val="NormalWeb"/>
        <w:numPr>
          <w:ilvl w:val="0"/>
          <w:numId w:val="51"/>
        </w:numPr>
        <w:jc w:val="both"/>
        <w:rPr>
          <w:rFonts w:ascii="Aptos" w:hAnsi="Aptos"/>
          <w:lang w:val="bg-BG"/>
        </w:rPr>
      </w:pPr>
      <w:r w:rsidRPr="006F3533">
        <w:rPr>
          <w:rFonts w:ascii="Aptos" w:hAnsi="Aptos"/>
          <w:lang w:val="bg-BG"/>
        </w:rPr>
        <w:lastRenderedPageBreak/>
        <w:t>значително увеличение на броя на сградите със слънчеви инсталации;</w:t>
      </w:r>
    </w:p>
    <w:p w14:paraId="6636A6FD" w14:textId="77777777" w:rsidR="00B572B1" w:rsidRPr="006F3533" w:rsidRDefault="00B572B1" w:rsidP="00551FED">
      <w:pPr>
        <w:pStyle w:val="NormalWeb"/>
        <w:numPr>
          <w:ilvl w:val="0"/>
          <w:numId w:val="51"/>
        </w:numPr>
        <w:jc w:val="both"/>
        <w:rPr>
          <w:rFonts w:ascii="Aptos" w:hAnsi="Aptos"/>
          <w:lang w:val="bg-BG"/>
        </w:rPr>
      </w:pPr>
      <w:r w:rsidRPr="006F3533">
        <w:rPr>
          <w:rFonts w:ascii="Aptos" w:hAnsi="Aptos"/>
          <w:lang w:val="bg-BG"/>
        </w:rPr>
        <w:t>постигане на значим принос към националната цел за 34,96% дял на ВЕИ в крайното енергийно потребление;</w:t>
      </w:r>
    </w:p>
    <w:p w14:paraId="59B11FD6" w14:textId="77777777" w:rsidR="00B572B1" w:rsidRPr="006F3533" w:rsidRDefault="00B572B1" w:rsidP="00551FED">
      <w:pPr>
        <w:pStyle w:val="NormalWeb"/>
        <w:numPr>
          <w:ilvl w:val="0"/>
          <w:numId w:val="51"/>
        </w:numPr>
        <w:jc w:val="both"/>
        <w:rPr>
          <w:rFonts w:ascii="Aptos" w:hAnsi="Aptos"/>
          <w:lang w:val="bg-BG"/>
        </w:rPr>
      </w:pPr>
      <w:r w:rsidRPr="006F3533">
        <w:rPr>
          <w:rFonts w:ascii="Aptos" w:hAnsi="Aptos"/>
          <w:lang w:val="bg-BG"/>
        </w:rPr>
        <w:t>укрепване на позицията на публичните сгради като модел за енергийна трансформация;</w:t>
      </w:r>
    </w:p>
    <w:p w14:paraId="7B1F2C1B" w14:textId="77777777" w:rsidR="00B572B1" w:rsidRPr="006F3533" w:rsidRDefault="00B572B1" w:rsidP="00551FED">
      <w:pPr>
        <w:pStyle w:val="NormalWeb"/>
        <w:numPr>
          <w:ilvl w:val="0"/>
          <w:numId w:val="51"/>
        </w:numPr>
        <w:jc w:val="both"/>
        <w:rPr>
          <w:rFonts w:ascii="Aptos" w:hAnsi="Aptos"/>
          <w:lang w:val="bg-BG"/>
        </w:rPr>
        <w:sectPr w:rsidR="00B572B1" w:rsidRPr="006F3533" w:rsidSect="00B572B1">
          <w:pgSz w:w="11906" w:h="16838"/>
          <w:pgMar w:top="1417" w:right="1417" w:bottom="1417" w:left="1417" w:header="708" w:footer="708" w:gutter="0"/>
          <w:cols w:space="708"/>
          <w:docGrid w:linePitch="360"/>
        </w:sectPr>
      </w:pPr>
      <w:r w:rsidRPr="006F3533">
        <w:rPr>
          <w:rFonts w:ascii="Aptos" w:hAnsi="Aptos"/>
          <w:lang w:val="bg-BG"/>
        </w:rPr>
        <w:t>подобряване на енергийната независимост и конкурентоспособността на българските домакинства и предприятия.</w:t>
      </w:r>
    </w:p>
    <w:p w14:paraId="75EC0011" w14:textId="77777777" w:rsidR="00B572B1" w:rsidRPr="006F3533" w:rsidRDefault="00B572B1" w:rsidP="00077D42">
      <w:pPr>
        <w:pStyle w:val="NormalWeb"/>
        <w:jc w:val="both"/>
        <w:rPr>
          <w:rFonts w:ascii="Aptos" w:hAnsi="Aptos"/>
          <w:lang w:val="bg-BG"/>
        </w:rPr>
      </w:pPr>
    </w:p>
    <w:tbl>
      <w:tblPr>
        <w:tblStyle w:val="GridTable5Dark-Accent1"/>
        <w:tblW w:w="0" w:type="auto"/>
        <w:tblLook w:val="04A0" w:firstRow="1" w:lastRow="0" w:firstColumn="1" w:lastColumn="0" w:noHBand="0" w:noVBand="1"/>
      </w:tblPr>
      <w:tblGrid>
        <w:gridCol w:w="2233"/>
        <w:gridCol w:w="1586"/>
        <w:gridCol w:w="2793"/>
        <w:gridCol w:w="1703"/>
        <w:gridCol w:w="2796"/>
        <w:gridCol w:w="2883"/>
      </w:tblGrid>
      <w:tr w:rsidR="00B572B1" w:rsidRPr="006F3533" w14:paraId="0EE4033C" w14:textId="77777777" w:rsidTr="007871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9CB7A8B"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Категория сгради / съоръжения</w:t>
            </w:r>
          </w:p>
        </w:tc>
        <w:tc>
          <w:tcPr>
            <w:tcW w:w="0" w:type="auto"/>
            <w:hideMark/>
          </w:tcPr>
          <w:p w14:paraId="0E2915C5"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Краен срок за изпълнение</w:t>
            </w:r>
          </w:p>
        </w:tc>
        <w:tc>
          <w:tcPr>
            <w:tcW w:w="0" w:type="auto"/>
            <w:hideMark/>
          </w:tcPr>
          <w:p w14:paraId="5934D000"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Изискване / цел</w:t>
            </w:r>
          </w:p>
        </w:tc>
        <w:tc>
          <w:tcPr>
            <w:tcW w:w="0" w:type="auto"/>
            <w:hideMark/>
          </w:tcPr>
          <w:p w14:paraId="5A1C7AFF"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Компетентен орган</w:t>
            </w:r>
          </w:p>
        </w:tc>
        <w:tc>
          <w:tcPr>
            <w:tcW w:w="0" w:type="auto"/>
            <w:hideMark/>
          </w:tcPr>
          <w:p w14:paraId="11A7712A"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Основни източници на финансиране</w:t>
            </w:r>
          </w:p>
        </w:tc>
        <w:tc>
          <w:tcPr>
            <w:tcW w:w="0" w:type="auto"/>
            <w:hideMark/>
          </w:tcPr>
          <w:p w14:paraId="5FAD1AA5"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Очаквани резултати до 2030 г.</w:t>
            </w:r>
          </w:p>
        </w:tc>
      </w:tr>
      <w:tr w:rsidR="00B572B1" w:rsidRPr="006F3533" w14:paraId="593788B9" w14:textId="77777777" w:rsidTr="00787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C5CDFB9"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Нови обществени и нежилищни сгради с площ над 250 кв. м</w:t>
            </w:r>
          </w:p>
        </w:tc>
        <w:tc>
          <w:tcPr>
            <w:tcW w:w="0" w:type="auto"/>
            <w:hideMark/>
          </w:tcPr>
          <w:p w14:paraId="71FFAE9F"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До 31.12.2026 г.</w:t>
            </w:r>
          </w:p>
        </w:tc>
        <w:tc>
          <w:tcPr>
            <w:tcW w:w="0" w:type="auto"/>
            <w:hideMark/>
          </w:tcPr>
          <w:p w14:paraId="78DAF19C"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Задължително проектиране и изграждане на фотоволтаична или слънчево-термична инсталация, когато е технически и икономически осъществимо.</w:t>
            </w:r>
          </w:p>
        </w:tc>
        <w:tc>
          <w:tcPr>
            <w:tcW w:w="0" w:type="auto"/>
            <w:hideMark/>
          </w:tcPr>
          <w:p w14:paraId="0273E496"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МРРБ, АУЕР, общини</w:t>
            </w:r>
          </w:p>
        </w:tc>
        <w:tc>
          <w:tcPr>
            <w:tcW w:w="0" w:type="auto"/>
            <w:hideMark/>
          </w:tcPr>
          <w:p w14:paraId="33150C29"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 xml:space="preserve">Национален фонд за </w:t>
            </w:r>
            <w:proofErr w:type="spellStart"/>
            <w:r w:rsidRPr="006F3533">
              <w:rPr>
                <w:rFonts w:eastAsia="Times New Roman" w:cs="Times New Roman"/>
                <w:szCs w:val="24"/>
                <w:lang w:eastAsia="bg-BG"/>
              </w:rPr>
              <w:t>декарбонизация</w:t>
            </w:r>
            <w:proofErr w:type="spellEnd"/>
            <w:r w:rsidRPr="006F3533">
              <w:rPr>
                <w:rFonts w:eastAsia="Times New Roman" w:cs="Times New Roman"/>
                <w:szCs w:val="24"/>
                <w:lang w:eastAsia="bg-BG"/>
              </w:rPr>
              <w:t>, Програма „Енергийна ефективност и ВЕИ“, Механизъм за възстановяване и устойчивост</w:t>
            </w:r>
          </w:p>
        </w:tc>
        <w:tc>
          <w:tcPr>
            <w:tcW w:w="0" w:type="auto"/>
            <w:hideMark/>
          </w:tcPr>
          <w:p w14:paraId="4980472E"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Всички нови обществени сгради с осигурен соларен потенциал и поне частично собствено производство на енергия.</w:t>
            </w:r>
          </w:p>
        </w:tc>
      </w:tr>
      <w:tr w:rsidR="00B572B1" w:rsidRPr="006F3533" w14:paraId="70C48AF7" w14:textId="77777777" w:rsidTr="00787153">
        <w:tc>
          <w:tcPr>
            <w:cnfStyle w:val="001000000000" w:firstRow="0" w:lastRow="0" w:firstColumn="1" w:lastColumn="0" w:oddVBand="0" w:evenVBand="0" w:oddHBand="0" w:evenHBand="0" w:firstRowFirstColumn="0" w:firstRowLastColumn="0" w:lastRowFirstColumn="0" w:lastRowLastColumn="0"/>
            <w:tcW w:w="0" w:type="auto"/>
            <w:hideMark/>
          </w:tcPr>
          <w:p w14:paraId="42851951"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Съществуващи обществени сгради над 2000 кв. м</w:t>
            </w:r>
          </w:p>
        </w:tc>
        <w:tc>
          <w:tcPr>
            <w:tcW w:w="0" w:type="auto"/>
            <w:hideMark/>
          </w:tcPr>
          <w:p w14:paraId="072918CA"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До 31.12.2027 г.</w:t>
            </w:r>
          </w:p>
        </w:tc>
        <w:tc>
          <w:tcPr>
            <w:tcW w:w="0" w:type="auto"/>
            <w:hideMark/>
          </w:tcPr>
          <w:p w14:paraId="4EA8A11F"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Инсталиране на слънчеви съоръжения при извършване на основен ремонт или реконструкция.</w:t>
            </w:r>
          </w:p>
        </w:tc>
        <w:tc>
          <w:tcPr>
            <w:tcW w:w="0" w:type="auto"/>
            <w:hideMark/>
          </w:tcPr>
          <w:p w14:paraId="363A14C1"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МРРБ, МЕ, общини</w:t>
            </w:r>
          </w:p>
        </w:tc>
        <w:tc>
          <w:tcPr>
            <w:tcW w:w="0" w:type="auto"/>
            <w:hideMark/>
          </w:tcPr>
          <w:p w14:paraId="6D3AF891"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 xml:space="preserve">Национален фонд за </w:t>
            </w:r>
            <w:proofErr w:type="spellStart"/>
            <w:r w:rsidRPr="006F3533">
              <w:rPr>
                <w:rFonts w:eastAsia="Times New Roman" w:cs="Times New Roman"/>
                <w:szCs w:val="24"/>
                <w:lang w:eastAsia="bg-BG"/>
              </w:rPr>
              <w:t>декарбонизация</w:t>
            </w:r>
            <w:proofErr w:type="spellEnd"/>
            <w:r w:rsidRPr="006F3533">
              <w:rPr>
                <w:rFonts w:eastAsia="Times New Roman" w:cs="Times New Roman"/>
                <w:szCs w:val="24"/>
                <w:lang w:eastAsia="bg-BG"/>
              </w:rPr>
              <w:t>, европейски програми за публични сгради</w:t>
            </w:r>
          </w:p>
        </w:tc>
        <w:tc>
          <w:tcPr>
            <w:tcW w:w="0" w:type="auto"/>
            <w:hideMark/>
          </w:tcPr>
          <w:p w14:paraId="0A5EC552"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100% обследвани сгради, 70% оборудвани с ВЕИ инсталации.</w:t>
            </w:r>
          </w:p>
        </w:tc>
      </w:tr>
      <w:tr w:rsidR="00B572B1" w:rsidRPr="006F3533" w14:paraId="30829E9D" w14:textId="77777777" w:rsidTr="00787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F141E11"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Съществуващи обществени сгради над 750 кв. м</w:t>
            </w:r>
          </w:p>
        </w:tc>
        <w:tc>
          <w:tcPr>
            <w:tcW w:w="0" w:type="auto"/>
            <w:hideMark/>
          </w:tcPr>
          <w:p w14:paraId="01D2413B"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До 31.12.2028 г.</w:t>
            </w:r>
          </w:p>
        </w:tc>
        <w:tc>
          <w:tcPr>
            <w:tcW w:w="0" w:type="auto"/>
            <w:hideMark/>
          </w:tcPr>
          <w:p w14:paraId="7A1D19BF"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Задължително включване на слънчеви системи при основен ремонт или обновяване на покрива.</w:t>
            </w:r>
          </w:p>
        </w:tc>
        <w:tc>
          <w:tcPr>
            <w:tcW w:w="0" w:type="auto"/>
            <w:hideMark/>
          </w:tcPr>
          <w:p w14:paraId="49719FC3"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МРРБ, общини</w:t>
            </w:r>
          </w:p>
        </w:tc>
        <w:tc>
          <w:tcPr>
            <w:tcW w:w="0" w:type="auto"/>
            <w:hideMark/>
          </w:tcPr>
          <w:p w14:paraId="270AD17C"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 xml:space="preserve">Национален фонд за </w:t>
            </w:r>
            <w:proofErr w:type="spellStart"/>
            <w:r w:rsidRPr="006F3533">
              <w:rPr>
                <w:rFonts w:eastAsia="Times New Roman" w:cs="Times New Roman"/>
                <w:szCs w:val="24"/>
                <w:lang w:eastAsia="bg-BG"/>
              </w:rPr>
              <w:t>декарбонизация</w:t>
            </w:r>
            <w:proofErr w:type="spellEnd"/>
            <w:r w:rsidRPr="006F3533">
              <w:rPr>
                <w:rFonts w:eastAsia="Times New Roman" w:cs="Times New Roman"/>
                <w:szCs w:val="24"/>
                <w:lang w:eastAsia="bg-BG"/>
              </w:rPr>
              <w:t>, Програма „Региони в растеж“</w:t>
            </w:r>
          </w:p>
        </w:tc>
        <w:tc>
          <w:tcPr>
            <w:tcW w:w="0" w:type="auto"/>
            <w:hideMark/>
          </w:tcPr>
          <w:p w14:paraId="65134D20"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Постепенно разширяване на слънчевото покритие в административния фонд.</w:t>
            </w:r>
          </w:p>
        </w:tc>
      </w:tr>
      <w:tr w:rsidR="00B572B1" w:rsidRPr="006F3533" w14:paraId="042D4005" w14:textId="77777777" w:rsidTr="00787153">
        <w:tc>
          <w:tcPr>
            <w:cnfStyle w:val="001000000000" w:firstRow="0" w:lastRow="0" w:firstColumn="1" w:lastColumn="0" w:oddVBand="0" w:evenVBand="0" w:oddHBand="0" w:evenHBand="0" w:firstRowFirstColumn="0" w:firstRowLastColumn="0" w:lastRowFirstColumn="0" w:lastRowLastColumn="0"/>
            <w:tcW w:w="0" w:type="auto"/>
            <w:hideMark/>
          </w:tcPr>
          <w:p w14:paraId="1E0BCCA5"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Всички обществени сгради над 250 кв. м</w:t>
            </w:r>
          </w:p>
        </w:tc>
        <w:tc>
          <w:tcPr>
            <w:tcW w:w="0" w:type="auto"/>
            <w:hideMark/>
          </w:tcPr>
          <w:p w14:paraId="45B6A717"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До 31.12.2030 г.</w:t>
            </w:r>
          </w:p>
        </w:tc>
        <w:tc>
          <w:tcPr>
            <w:tcW w:w="0" w:type="auto"/>
            <w:hideMark/>
          </w:tcPr>
          <w:p w14:paraId="0B34EC55"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Завършване на соларизацията на публичните сгради и интеграция в сградните системи за управление на енергията.</w:t>
            </w:r>
          </w:p>
        </w:tc>
        <w:tc>
          <w:tcPr>
            <w:tcW w:w="0" w:type="auto"/>
            <w:hideMark/>
          </w:tcPr>
          <w:p w14:paraId="085B3D98"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МЕ, АУЕР, общини</w:t>
            </w:r>
          </w:p>
        </w:tc>
        <w:tc>
          <w:tcPr>
            <w:tcW w:w="0" w:type="auto"/>
            <w:hideMark/>
          </w:tcPr>
          <w:p w14:paraId="2F5692FD"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 xml:space="preserve">Национален фонд за </w:t>
            </w:r>
            <w:proofErr w:type="spellStart"/>
            <w:r w:rsidRPr="006F3533">
              <w:rPr>
                <w:rFonts w:eastAsia="Times New Roman" w:cs="Times New Roman"/>
                <w:szCs w:val="24"/>
                <w:lang w:eastAsia="bg-BG"/>
              </w:rPr>
              <w:t>декарбонизация</w:t>
            </w:r>
            <w:proofErr w:type="spellEnd"/>
            <w:r w:rsidRPr="006F3533">
              <w:rPr>
                <w:rFonts w:eastAsia="Times New Roman" w:cs="Times New Roman"/>
                <w:szCs w:val="24"/>
                <w:lang w:eastAsia="bg-BG"/>
              </w:rPr>
              <w:t>, „Енергийна ефективност и ВЕИ“, бъдещи програми за публичен сектор</w:t>
            </w:r>
          </w:p>
        </w:tc>
        <w:tc>
          <w:tcPr>
            <w:tcW w:w="0" w:type="auto"/>
            <w:hideMark/>
          </w:tcPr>
          <w:p w14:paraId="2751B22D"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Над 80% от публичния сграден фонд с ВЕИ системи.</w:t>
            </w:r>
          </w:p>
        </w:tc>
      </w:tr>
      <w:tr w:rsidR="00B572B1" w:rsidRPr="006F3533" w14:paraId="704CD492" w14:textId="77777777" w:rsidTr="00787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6FDA0DC"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lastRenderedPageBreak/>
              <w:t>Съществуващи нежилищни сгради над 500 кв. м</w:t>
            </w:r>
          </w:p>
        </w:tc>
        <w:tc>
          <w:tcPr>
            <w:tcW w:w="0" w:type="auto"/>
            <w:hideMark/>
          </w:tcPr>
          <w:p w14:paraId="5B10F5BB"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До 31.12.2027 г.</w:t>
            </w:r>
          </w:p>
        </w:tc>
        <w:tc>
          <w:tcPr>
            <w:tcW w:w="0" w:type="auto"/>
            <w:hideMark/>
          </w:tcPr>
          <w:p w14:paraId="34AFF0A9"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Инсталиране на слънчеви съоръжения при ремонт на покрив или смяна на сградни инсталации.</w:t>
            </w:r>
          </w:p>
        </w:tc>
        <w:tc>
          <w:tcPr>
            <w:tcW w:w="0" w:type="auto"/>
            <w:hideMark/>
          </w:tcPr>
          <w:p w14:paraId="5CB0422F"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МРРБ, общини</w:t>
            </w:r>
          </w:p>
        </w:tc>
        <w:tc>
          <w:tcPr>
            <w:tcW w:w="0" w:type="auto"/>
            <w:hideMark/>
          </w:tcPr>
          <w:p w14:paraId="70E7E727"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 xml:space="preserve">Национален фонд за </w:t>
            </w:r>
            <w:proofErr w:type="spellStart"/>
            <w:r w:rsidRPr="006F3533">
              <w:rPr>
                <w:rFonts w:eastAsia="Times New Roman" w:cs="Times New Roman"/>
                <w:szCs w:val="24"/>
                <w:lang w:eastAsia="bg-BG"/>
              </w:rPr>
              <w:t>декарбонизация</w:t>
            </w:r>
            <w:proofErr w:type="spellEnd"/>
            <w:r w:rsidRPr="006F3533">
              <w:rPr>
                <w:rFonts w:eastAsia="Times New Roman" w:cs="Times New Roman"/>
                <w:szCs w:val="24"/>
                <w:lang w:eastAsia="bg-BG"/>
              </w:rPr>
              <w:t>, частни инвестиции, договори за енергийни услуги</w:t>
            </w:r>
          </w:p>
        </w:tc>
        <w:tc>
          <w:tcPr>
            <w:tcW w:w="0" w:type="auto"/>
            <w:hideMark/>
          </w:tcPr>
          <w:p w14:paraId="0B9BBA75"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 xml:space="preserve">Висок дял на частни нежилищни сгради с </w:t>
            </w:r>
            <w:proofErr w:type="spellStart"/>
            <w:r w:rsidRPr="006F3533">
              <w:rPr>
                <w:rFonts w:eastAsia="Times New Roman" w:cs="Times New Roman"/>
                <w:szCs w:val="24"/>
                <w:lang w:eastAsia="bg-BG"/>
              </w:rPr>
              <w:t>фотоволтаици</w:t>
            </w:r>
            <w:proofErr w:type="spellEnd"/>
            <w:r w:rsidRPr="006F3533">
              <w:rPr>
                <w:rFonts w:eastAsia="Times New Roman" w:cs="Times New Roman"/>
                <w:szCs w:val="24"/>
                <w:lang w:eastAsia="bg-BG"/>
              </w:rPr>
              <w:t xml:space="preserve"> за собствено потребление.</w:t>
            </w:r>
          </w:p>
        </w:tc>
      </w:tr>
      <w:tr w:rsidR="00B572B1" w:rsidRPr="006F3533" w14:paraId="527D7F0A" w14:textId="77777777" w:rsidTr="00787153">
        <w:tc>
          <w:tcPr>
            <w:cnfStyle w:val="001000000000" w:firstRow="0" w:lastRow="0" w:firstColumn="1" w:lastColumn="0" w:oddVBand="0" w:evenVBand="0" w:oddHBand="0" w:evenHBand="0" w:firstRowFirstColumn="0" w:firstRowLastColumn="0" w:lastRowFirstColumn="0" w:lastRowLastColumn="0"/>
            <w:tcW w:w="0" w:type="auto"/>
            <w:hideMark/>
          </w:tcPr>
          <w:p w14:paraId="4E83DC79"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Нови жилищни сгради</w:t>
            </w:r>
          </w:p>
        </w:tc>
        <w:tc>
          <w:tcPr>
            <w:tcW w:w="0" w:type="auto"/>
            <w:hideMark/>
          </w:tcPr>
          <w:p w14:paraId="33ADFC7A"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До 31.12.2029 г.</w:t>
            </w:r>
          </w:p>
        </w:tc>
        <w:tc>
          <w:tcPr>
            <w:tcW w:w="0" w:type="auto"/>
            <w:hideMark/>
          </w:tcPr>
          <w:p w14:paraId="34BBAB17"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Задължително проектиране и изграждане на слънчеви инсталации (</w:t>
            </w:r>
            <w:proofErr w:type="spellStart"/>
            <w:r w:rsidRPr="006F3533">
              <w:rPr>
                <w:rFonts w:eastAsia="Times New Roman" w:cs="Times New Roman"/>
                <w:szCs w:val="24"/>
                <w:lang w:eastAsia="bg-BG"/>
              </w:rPr>
              <w:t>фотоволтаици</w:t>
            </w:r>
            <w:proofErr w:type="spellEnd"/>
            <w:r w:rsidRPr="006F3533">
              <w:rPr>
                <w:rFonts w:eastAsia="Times New Roman" w:cs="Times New Roman"/>
                <w:szCs w:val="24"/>
                <w:lang w:eastAsia="bg-BG"/>
              </w:rPr>
              <w:t xml:space="preserve"> или слънчево-термични).</w:t>
            </w:r>
          </w:p>
        </w:tc>
        <w:tc>
          <w:tcPr>
            <w:tcW w:w="0" w:type="auto"/>
            <w:hideMark/>
          </w:tcPr>
          <w:p w14:paraId="1E9F51DF"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МРРБ, общини</w:t>
            </w:r>
          </w:p>
        </w:tc>
        <w:tc>
          <w:tcPr>
            <w:tcW w:w="0" w:type="auto"/>
            <w:hideMark/>
          </w:tcPr>
          <w:p w14:paraId="61149A8C"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 xml:space="preserve">Национален фонд за </w:t>
            </w:r>
            <w:proofErr w:type="spellStart"/>
            <w:r w:rsidRPr="006F3533">
              <w:rPr>
                <w:rFonts w:eastAsia="Times New Roman" w:cs="Times New Roman"/>
                <w:szCs w:val="24"/>
                <w:lang w:eastAsia="bg-BG"/>
              </w:rPr>
              <w:t>декарбонизация</w:t>
            </w:r>
            <w:proofErr w:type="spellEnd"/>
            <w:r w:rsidRPr="006F3533">
              <w:rPr>
                <w:rFonts w:eastAsia="Times New Roman" w:cs="Times New Roman"/>
                <w:szCs w:val="24"/>
                <w:lang w:eastAsia="bg-BG"/>
              </w:rPr>
              <w:t>, ипотечни и зелени кредити, частни инвестиции</w:t>
            </w:r>
          </w:p>
        </w:tc>
        <w:tc>
          <w:tcPr>
            <w:tcW w:w="0" w:type="auto"/>
            <w:hideMark/>
          </w:tcPr>
          <w:p w14:paraId="6E79D216"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Утвърждаване на стандарта „соларно готова“ жилищна сграда.</w:t>
            </w:r>
          </w:p>
        </w:tc>
      </w:tr>
      <w:tr w:rsidR="00B572B1" w:rsidRPr="006F3533" w14:paraId="56D4B494" w14:textId="77777777" w:rsidTr="00787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37F95F3"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Нови покрити паркинги в непосредствена близост до сгради</w:t>
            </w:r>
          </w:p>
        </w:tc>
        <w:tc>
          <w:tcPr>
            <w:tcW w:w="0" w:type="auto"/>
            <w:hideMark/>
          </w:tcPr>
          <w:p w14:paraId="40A853A9"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До 31.12.2029 г.</w:t>
            </w:r>
          </w:p>
        </w:tc>
        <w:tc>
          <w:tcPr>
            <w:tcW w:w="0" w:type="auto"/>
            <w:hideMark/>
          </w:tcPr>
          <w:p w14:paraId="149E3FB5"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Инсталиране на фотоволтаични навеси или панели за захранване на общи нужди и зарядни станции.</w:t>
            </w:r>
          </w:p>
        </w:tc>
        <w:tc>
          <w:tcPr>
            <w:tcW w:w="0" w:type="auto"/>
            <w:hideMark/>
          </w:tcPr>
          <w:p w14:paraId="15FEB6E8"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МРРБ, общини, инвеститори</w:t>
            </w:r>
          </w:p>
        </w:tc>
        <w:tc>
          <w:tcPr>
            <w:tcW w:w="0" w:type="auto"/>
            <w:hideMark/>
          </w:tcPr>
          <w:p w14:paraId="67BBA5F0"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Частни инвестиции, НФД, програми за устойчива мобилност</w:t>
            </w:r>
          </w:p>
        </w:tc>
        <w:tc>
          <w:tcPr>
            <w:tcW w:w="0" w:type="auto"/>
            <w:hideMark/>
          </w:tcPr>
          <w:p w14:paraId="24D9E937"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Над 30% от новите паркинги с интегрирани ВЕИ системи.</w:t>
            </w:r>
          </w:p>
        </w:tc>
      </w:tr>
    </w:tbl>
    <w:p w14:paraId="39206430" w14:textId="77777777" w:rsidR="00B572B1" w:rsidRPr="006F3533" w:rsidRDefault="00B572B1" w:rsidP="00077D42">
      <w:pPr>
        <w:spacing w:line="240" w:lineRule="auto"/>
        <w:jc w:val="both"/>
        <w:rPr>
          <w:rFonts w:cs="Times New Roman"/>
          <w:i/>
          <w:iCs/>
          <w:color w:val="0070C0"/>
          <w:szCs w:val="24"/>
          <w:lang w:val="bg-BG"/>
        </w:rPr>
      </w:pPr>
    </w:p>
    <w:p w14:paraId="2AB057C9" w14:textId="77777777" w:rsidR="00B572B1" w:rsidRPr="006F3533" w:rsidRDefault="00B572B1" w:rsidP="00077D42">
      <w:pPr>
        <w:spacing w:line="240" w:lineRule="auto"/>
        <w:jc w:val="both"/>
        <w:rPr>
          <w:rFonts w:cs="Times New Roman"/>
          <w:szCs w:val="24"/>
          <w:lang w:val="bg-BG"/>
        </w:rPr>
      </w:pPr>
    </w:p>
    <w:p w14:paraId="4A248566" w14:textId="77777777" w:rsidR="00B572B1" w:rsidRPr="006F3533" w:rsidRDefault="00B572B1" w:rsidP="00077D42">
      <w:pPr>
        <w:spacing w:line="240" w:lineRule="auto"/>
        <w:jc w:val="both"/>
        <w:rPr>
          <w:rFonts w:cs="Times New Roman"/>
          <w:szCs w:val="24"/>
          <w:lang w:val="bg-BG"/>
        </w:rPr>
      </w:pPr>
    </w:p>
    <w:tbl>
      <w:tblPr>
        <w:tblStyle w:val="GridTable5Dark-Accent1"/>
        <w:tblW w:w="0" w:type="auto"/>
        <w:tblLook w:val="04A0" w:firstRow="1" w:lastRow="0" w:firstColumn="1" w:lastColumn="0" w:noHBand="0" w:noVBand="1"/>
      </w:tblPr>
      <w:tblGrid>
        <w:gridCol w:w="4485"/>
        <w:gridCol w:w="1601"/>
        <w:gridCol w:w="2434"/>
        <w:gridCol w:w="1856"/>
        <w:gridCol w:w="3618"/>
      </w:tblGrid>
      <w:tr w:rsidR="00B572B1" w:rsidRPr="006F3533" w14:paraId="782F5AEB" w14:textId="77777777" w:rsidTr="007871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61E698D"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Политическа/техническа мярка</w:t>
            </w:r>
          </w:p>
        </w:tc>
        <w:tc>
          <w:tcPr>
            <w:tcW w:w="0" w:type="auto"/>
            <w:hideMark/>
          </w:tcPr>
          <w:p w14:paraId="07C43BB7"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Водеща институция</w:t>
            </w:r>
          </w:p>
        </w:tc>
        <w:tc>
          <w:tcPr>
            <w:tcW w:w="0" w:type="auto"/>
            <w:hideMark/>
          </w:tcPr>
          <w:p w14:paraId="0E3387C4"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Партньори</w:t>
            </w:r>
          </w:p>
        </w:tc>
        <w:tc>
          <w:tcPr>
            <w:tcW w:w="0" w:type="auto"/>
            <w:hideMark/>
          </w:tcPr>
          <w:p w14:paraId="69EC2B17"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Период на изпълнение</w:t>
            </w:r>
          </w:p>
        </w:tc>
        <w:tc>
          <w:tcPr>
            <w:tcW w:w="0" w:type="auto"/>
            <w:hideMark/>
          </w:tcPr>
          <w:p w14:paraId="243DF6BC"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Очакван ефект</w:t>
            </w:r>
          </w:p>
        </w:tc>
      </w:tr>
      <w:tr w:rsidR="00B572B1" w:rsidRPr="006F3533" w14:paraId="37A7C409" w14:textId="77777777" w:rsidTr="00787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BFD44B"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Разработване на национални критерии и освобождавания по член 10</w:t>
            </w:r>
          </w:p>
        </w:tc>
        <w:tc>
          <w:tcPr>
            <w:tcW w:w="0" w:type="auto"/>
            <w:hideMark/>
          </w:tcPr>
          <w:p w14:paraId="194022E1"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МРРБ, МЕ</w:t>
            </w:r>
          </w:p>
        </w:tc>
        <w:tc>
          <w:tcPr>
            <w:tcW w:w="0" w:type="auto"/>
            <w:hideMark/>
          </w:tcPr>
          <w:p w14:paraId="4C86DF37"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НИНКН, АУЕР, НСОРБ</w:t>
            </w:r>
          </w:p>
        </w:tc>
        <w:tc>
          <w:tcPr>
            <w:tcW w:w="0" w:type="auto"/>
            <w:hideMark/>
          </w:tcPr>
          <w:p w14:paraId="6D2E13C6"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2025–2026 г.</w:t>
            </w:r>
          </w:p>
        </w:tc>
        <w:tc>
          <w:tcPr>
            <w:tcW w:w="0" w:type="auto"/>
            <w:hideMark/>
          </w:tcPr>
          <w:p w14:paraId="1BB9881F"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Ясни правила за прилагане и обосновано освобождаване на защитени обекти.</w:t>
            </w:r>
          </w:p>
        </w:tc>
      </w:tr>
      <w:tr w:rsidR="00B572B1" w:rsidRPr="006F3533" w14:paraId="4D907180" w14:textId="77777777" w:rsidTr="00787153">
        <w:tc>
          <w:tcPr>
            <w:cnfStyle w:val="001000000000" w:firstRow="0" w:lastRow="0" w:firstColumn="1" w:lastColumn="0" w:oddVBand="0" w:evenVBand="0" w:oddHBand="0" w:evenHBand="0" w:firstRowFirstColumn="0" w:firstRowLastColumn="0" w:lastRowFirstColumn="0" w:lastRowLastColumn="0"/>
            <w:tcW w:w="0" w:type="auto"/>
            <w:hideMark/>
          </w:tcPr>
          <w:p w14:paraId="3A185EA4"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Въвеждане на опростена процедура за уведомление и цифрова платформа за присъединяване</w:t>
            </w:r>
          </w:p>
        </w:tc>
        <w:tc>
          <w:tcPr>
            <w:tcW w:w="0" w:type="auto"/>
            <w:hideMark/>
          </w:tcPr>
          <w:p w14:paraId="53F39D75"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МЕ, ЕРП оператори</w:t>
            </w:r>
          </w:p>
        </w:tc>
        <w:tc>
          <w:tcPr>
            <w:tcW w:w="0" w:type="auto"/>
            <w:hideMark/>
          </w:tcPr>
          <w:p w14:paraId="43EC7037"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КЕВР, общини</w:t>
            </w:r>
          </w:p>
        </w:tc>
        <w:tc>
          <w:tcPr>
            <w:tcW w:w="0" w:type="auto"/>
            <w:hideMark/>
          </w:tcPr>
          <w:p w14:paraId="6099B83C"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2025–2027 г.</w:t>
            </w:r>
          </w:p>
        </w:tc>
        <w:tc>
          <w:tcPr>
            <w:tcW w:w="0" w:type="auto"/>
            <w:hideMark/>
          </w:tcPr>
          <w:p w14:paraId="043DAFDD"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Намаляване на административното време за присъединяване под 1 месец.</w:t>
            </w:r>
          </w:p>
        </w:tc>
      </w:tr>
      <w:tr w:rsidR="00B572B1" w:rsidRPr="006F3533" w14:paraId="09E1E98D" w14:textId="77777777" w:rsidTr="00787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95F0887" w14:textId="18E6D9D5"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lastRenderedPageBreak/>
              <w:t xml:space="preserve">Национална програма за </w:t>
            </w:r>
            <w:r w:rsidR="00855103" w:rsidRPr="006F3533">
              <w:rPr>
                <w:rFonts w:eastAsia="Times New Roman" w:cs="Times New Roman"/>
                <w:szCs w:val="24"/>
                <w:lang w:eastAsia="bg-BG"/>
              </w:rPr>
              <w:t>слънчеви инсталации</w:t>
            </w:r>
            <w:r w:rsidRPr="006F3533">
              <w:rPr>
                <w:rFonts w:eastAsia="Times New Roman" w:cs="Times New Roman"/>
                <w:szCs w:val="24"/>
                <w:lang w:eastAsia="bg-BG"/>
              </w:rPr>
              <w:t xml:space="preserve"> на публичните сгради</w:t>
            </w:r>
          </w:p>
        </w:tc>
        <w:tc>
          <w:tcPr>
            <w:tcW w:w="0" w:type="auto"/>
            <w:hideMark/>
          </w:tcPr>
          <w:p w14:paraId="0DD6F265"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МЕ, МРРБ</w:t>
            </w:r>
          </w:p>
        </w:tc>
        <w:tc>
          <w:tcPr>
            <w:tcW w:w="0" w:type="auto"/>
            <w:hideMark/>
          </w:tcPr>
          <w:p w14:paraId="0A1DCDE2"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АУЕР, НСОРБ</w:t>
            </w:r>
          </w:p>
        </w:tc>
        <w:tc>
          <w:tcPr>
            <w:tcW w:w="0" w:type="auto"/>
            <w:hideMark/>
          </w:tcPr>
          <w:p w14:paraId="34700BA1"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2026–2030 г.</w:t>
            </w:r>
          </w:p>
        </w:tc>
        <w:tc>
          <w:tcPr>
            <w:tcW w:w="0" w:type="auto"/>
            <w:hideMark/>
          </w:tcPr>
          <w:p w14:paraId="497ADFA0"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Постигнато покритие над 80% от публичния сграден фонд.</w:t>
            </w:r>
          </w:p>
        </w:tc>
      </w:tr>
      <w:tr w:rsidR="00B572B1" w:rsidRPr="006F3533" w14:paraId="5FF9BC9E" w14:textId="77777777" w:rsidTr="00787153">
        <w:tc>
          <w:tcPr>
            <w:cnfStyle w:val="001000000000" w:firstRow="0" w:lastRow="0" w:firstColumn="1" w:lastColumn="0" w:oddVBand="0" w:evenVBand="0" w:oddHBand="0" w:evenHBand="0" w:firstRowFirstColumn="0" w:firstRowLastColumn="0" w:lastRowFirstColumn="0" w:lastRowLastColumn="0"/>
            <w:tcW w:w="0" w:type="auto"/>
            <w:hideMark/>
          </w:tcPr>
          <w:p w14:paraId="3AC97355"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Интегрирани решения (</w:t>
            </w:r>
            <w:proofErr w:type="spellStart"/>
            <w:r w:rsidRPr="006F3533">
              <w:rPr>
                <w:rFonts w:eastAsia="Times New Roman" w:cs="Times New Roman"/>
                <w:szCs w:val="24"/>
                <w:lang w:eastAsia="bg-BG"/>
              </w:rPr>
              <w:t>фотоволтаици</w:t>
            </w:r>
            <w:proofErr w:type="spellEnd"/>
            <w:r w:rsidRPr="006F3533">
              <w:rPr>
                <w:rFonts w:eastAsia="Times New Roman" w:cs="Times New Roman"/>
                <w:szCs w:val="24"/>
                <w:lang w:eastAsia="bg-BG"/>
              </w:rPr>
              <w:t xml:space="preserve"> + съхранение + управление)</w:t>
            </w:r>
          </w:p>
        </w:tc>
        <w:tc>
          <w:tcPr>
            <w:tcW w:w="0" w:type="auto"/>
            <w:hideMark/>
          </w:tcPr>
          <w:p w14:paraId="5D5A44B1"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МЕ</w:t>
            </w:r>
          </w:p>
        </w:tc>
        <w:tc>
          <w:tcPr>
            <w:tcW w:w="0" w:type="auto"/>
            <w:hideMark/>
          </w:tcPr>
          <w:p w14:paraId="6B0A18B5"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НФД, ББР, частни инвеститори</w:t>
            </w:r>
          </w:p>
        </w:tc>
        <w:tc>
          <w:tcPr>
            <w:tcW w:w="0" w:type="auto"/>
            <w:hideMark/>
          </w:tcPr>
          <w:p w14:paraId="7D62D2DC"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2025–2030 г.</w:t>
            </w:r>
          </w:p>
        </w:tc>
        <w:tc>
          <w:tcPr>
            <w:tcW w:w="0" w:type="auto"/>
            <w:hideMark/>
          </w:tcPr>
          <w:p w14:paraId="53402C8B"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 xml:space="preserve">Повишаване на </w:t>
            </w:r>
            <w:proofErr w:type="spellStart"/>
            <w:r w:rsidRPr="006F3533">
              <w:rPr>
                <w:rFonts w:eastAsia="Times New Roman" w:cs="Times New Roman"/>
                <w:szCs w:val="24"/>
                <w:lang w:eastAsia="bg-BG"/>
              </w:rPr>
              <w:t>самопотреблението</w:t>
            </w:r>
            <w:proofErr w:type="spellEnd"/>
            <w:r w:rsidRPr="006F3533">
              <w:rPr>
                <w:rFonts w:eastAsia="Times New Roman" w:cs="Times New Roman"/>
                <w:szCs w:val="24"/>
                <w:lang w:eastAsia="bg-BG"/>
              </w:rPr>
              <w:t xml:space="preserve"> и мрежова гъвкавост.</w:t>
            </w:r>
          </w:p>
        </w:tc>
      </w:tr>
      <w:tr w:rsidR="00B572B1" w:rsidRPr="006F3533" w14:paraId="3C0FB055" w14:textId="77777777" w:rsidTr="007871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C5D75D"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Обучение и квалификация на проектанти и инсталатори</w:t>
            </w:r>
          </w:p>
        </w:tc>
        <w:tc>
          <w:tcPr>
            <w:tcW w:w="0" w:type="auto"/>
            <w:hideMark/>
          </w:tcPr>
          <w:p w14:paraId="62E3B5B8" w14:textId="22D2E06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НАПОО</w:t>
            </w:r>
          </w:p>
        </w:tc>
        <w:tc>
          <w:tcPr>
            <w:tcW w:w="0" w:type="auto"/>
            <w:hideMark/>
          </w:tcPr>
          <w:p w14:paraId="54BF30C1"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Професионални гимназии, университети</w:t>
            </w:r>
          </w:p>
        </w:tc>
        <w:tc>
          <w:tcPr>
            <w:tcW w:w="0" w:type="auto"/>
            <w:hideMark/>
          </w:tcPr>
          <w:p w14:paraId="45BE3EF2"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2025–2028 г.</w:t>
            </w:r>
          </w:p>
        </w:tc>
        <w:tc>
          <w:tcPr>
            <w:tcW w:w="0" w:type="auto"/>
            <w:hideMark/>
          </w:tcPr>
          <w:p w14:paraId="2E8193CB"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Създаване на мрежа от сертифицирани специалисти за ВЕИ инсталации.</w:t>
            </w:r>
          </w:p>
        </w:tc>
      </w:tr>
      <w:tr w:rsidR="00B572B1" w:rsidRPr="006F3533" w14:paraId="01904A9F" w14:textId="77777777" w:rsidTr="00787153">
        <w:tc>
          <w:tcPr>
            <w:cnfStyle w:val="001000000000" w:firstRow="0" w:lastRow="0" w:firstColumn="1" w:lastColumn="0" w:oddVBand="0" w:evenVBand="0" w:oddHBand="0" w:evenHBand="0" w:firstRowFirstColumn="0" w:firstRowLastColumn="0" w:lastRowFirstColumn="0" w:lastRowLastColumn="0"/>
            <w:tcW w:w="0" w:type="auto"/>
            <w:hideMark/>
          </w:tcPr>
          <w:p w14:paraId="40EC81B3" w14:textId="77777777" w:rsidR="00B572B1" w:rsidRPr="006F3533" w:rsidRDefault="00B572B1" w:rsidP="00077D42">
            <w:pPr>
              <w:jc w:val="both"/>
              <w:rPr>
                <w:rFonts w:eastAsia="Times New Roman" w:cs="Times New Roman"/>
                <w:szCs w:val="24"/>
                <w:lang w:eastAsia="bg-BG"/>
              </w:rPr>
            </w:pPr>
            <w:r w:rsidRPr="006F3533">
              <w:rPr>
                <w:rFonts w:eastAsia="Times New Roman" w:cs="Times New Roman"/>
                <w:szCs w:val="24"/>
                <w:lang w:eastAsia="bg-BG"/>
              </w:rPr>
              <w:t>Национален регистър на слънчевите инсталации</w:t>
            </w:r>
          </w:p>
        </w:tc>
        <w:tc>
          <w:tcPr>
            <w:tcW w:w="0" w:type="auto"/>
            <w:hideMark/>
          </w:tcPr>
          <w:p w14:paraId="4C387B2E"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АУЕР</w:t>
            </w:r>
          </w:p>
        </w:tc>
        <w:tc>
          <w:tcPr>
            <w:tcW w:w="0" w:type="auto"/>
            <w:hideMark/>
          </w:tcPr>
          <w:p w14:paraId="2DDA74AB"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МЕ, КЕВР, общини</w:t>
            </w:r>
          </w:p>
        </w:tc>
        <w:tc>
          <w:tcPr>
            <w:tcW w:w="0" w:type="auto"/>
            <w:hideMark/>
          </w:tcPr>
          <w:p w14:paraId="30BA9F9C"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2026 г. и след това ежегодно</w:t>
            </w:r>
          </w:p>
        </w:tc>
        <w:tc>
          <w:tcPr>
            <w:tcW w:w="0" w:type="auto"/>
            <w:hideMark/>
          </w:tcPr>
          <w:p w14:paraId="0289F533"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bg-BG"/>
              </w:rPr>
            </w:pPr>
            <w:r w:rsidRPr="006F3533">
              <w:rPr>
                <w:rFonts w:eastAsia="Times New Roman" w:cs="Times New Roman"/>
                <w:szCs w:val="24"/>
                <w:lang w:eastAsia="bg-BG"/>
              </w:rPr>
              <w:t>Пълна проследимост и публичност на напредъка.</w:t>
            </w:r>
          </w:p>
        </w:tc>
      </w:tr>
    </w:tbl>
    <w:p w14:paraId="178B65DF" w14:textId="77777777" w:rsidR="00B572B1" w:rsidRPr="006F3533" w:rsidRDefault="00B572B1" w:rsidP="00077D42">
      <w:pPr>
        <w:spacing w:line="240" w:lineRule="auto"/>
        <w:jc w:val="both"/>
        <w:rPr>
          <w:rFonts w:cs="Times New Roman"/>
          <w:szCs w:val="24"/>
          <w:lang w:val="bg-BG"/>
        </w:rPr>
        <w:sectPr w:rsidR="00B572B1" w:rsidRPr="006F3533" w:rsidSect="00B572B1">
          <w:pgSz w:w="16838" w:h="11906" w:orient="landscape"/>
          <w:pgMar w:top="1417" w:right="1417" w:bottom="1417" w:left="1417" w:header="708" w:footer="708" w:gutter="0"/>
          <w:cols w:space="708"/>
          <w:docGrid w:linePitch="360"/>
        </w:sectPr>
      </w:pPr>
    </w:p>
    <w:p w14:paraId="59CFD7A6" w14:textId="77777777" w:rsidR="00B572B1" w:rsidRPr="006F3533" w:rsidRDefault="00B572B1" w:rsidP="00077D42">
      <w:pPr>
        <w:pStyle w:val="ListParagraph"/>
        <w:spacing w:line="240" w:lineRule="auto"/>
        <w:ind w:left="1068"/>
        <w:jc w:val="both"/>
        <w:rPr>
          <w:rFonts w:cs="Times New Roman"/>
          <w:szCs w:val="24"/>
          <w:lang w:val="bg-BG"/>
        </w:rPr>
      </w:pPr>
    </w:p>
    <w:p w14:paraId="50104BA9" w14:textId="77777777" w:rsidR="00B572B1" w:rsidRPr="006F3533" w:rsidRDefault="00B572B1" w:rsidP="00077D42">
      <w:pPr>
        <w:pStyle w:val="Heading2"/>
        <w:jc w:val="both"/>
        <w:rPr>
          <w:lang w:val="bg-BG"/>
        </w:rPr>
      </w:pPr>
      <w:bookmarkStart w:id="336" w:name="_Toc217888863"/>
      <w:r w:rsidRPr="006F3533">
        <w:rPr>
          <w:lang w:val="bg-BG"/>
        </w:rPr>
        <w:t>(j) Намаляване на емисиите на парникови газове през целия жизнен цикъл на сградите и насърчаване на улавянето и съхранението на въглерод</w:t>
      </w:r>
      <w:bookmarkEnd w:id="336"/>
    </w:p>
    <w:p w14:paraId="5C7CEB66" w14:textId="1C2C0FED" w:rsidR="00077D42" w:rsidRPr="006F3533" w:rsidRDefault="00077D42" w:rsidP="00077D42">
      <w:pPr>
        <w:pStyle w:val="NormalWeb"/>
        <w:jc w:val="both"/>
        <w:rPr>
          <w:rStyle w:val="relative"/>
          <w:rFonts w:ascii="Aptos" w:hAnsi="Aptos"/>
          <w:lang w:val="bg-BG"/>
        </w:rPr>
      </w:pPr>
      <w:r w:rsidRPr="006F3533">
        <w:rPr>
          <w:rFonts w:ascii="Aptos" w:hAnsi="Aptos"/>
          <w:lang w:val="bg-BG"/>
        </w:rPr>
        <w:t xml:space="preserve">Жизненият цикъл на сградите – от добива на суровини за производство на строителни продукти, през строителство и експлоатация, до тяхното разрушаване и рециклиране – генерира значителна част от емисиите на парникови газове в Европа. Според Европейската агенция по околна среда сградите са отговорни за над </w:t>
      </w:r>
      <w:r w:rsidRPr="006F3533">
        <w:rPr>
          <w:rStyle w:val="Strong"/>
          <w:rFonts w:ascii="Aptos" w:hAnsi="Aptos"/>
          <w:lang w:val="bg-BG"/>
        </w:rPr>
        <w:t>35% от емисиите на парникови газове</w:t>
      </w:r>
      <w:r w:rsidRPr="006F3533">
        <w:rPr>
          <w:rFonts w:ascii="Aptos" w:hAnsi="Aptos"/>
          <w:lang w:val="bg-BG"/>
        </w:rPr>
        <w:t xml:space="preserve"> и за около </w:t>
      </w:r>
      <w:r w:rsidRPr="006F3533">
        <w:rPr>
          <w:rStyle w:val="Strong"/>
          <w:rFonts w:ascii="Aptos" w:hAnsi="Aptos"/>
          <w:lang w:val="bg-BG"/>
        </w:rPr>
        <w:t>една трета от всички материали, използвани в ЕС</w:t>
      </w:r>
      <w:r w:rsidRPr="006F3533">
        <w:rPr>
          <w:rFonts w:ascii="Aptos" w:hAnsi="Aptos"/>
          <w:lang w:val="bg-BG"/>
        </w:rPr>
        <w:t>, което ги прави сектор с най-висок екологичен отпечатък.</w:t>
      </w:r>
    </w:p>
    <w:p w14:paraId="3F5FA1BD" w14:textId="022E600E" w:rsidR="00077D42" w:rsidRPr="006F3533" w:rsidRDefault="00077D42" w:rsidP="00077D42">
      <w:pPr>
        <w:pStyle w:val="NormalWeb"/>
        <w:jc w:val="both"/>
        <w:rPr>
          <w:rFonts w:ascii="Aptos" w:hAnsi="Aptos"/>
          <w:lang w:val="bg-BG"/>
        </w:rPr>
      </w:pPr>
      <w:r w:rsidRPr="006F3533">
        <w:rPr>
          <w:rFonts w:ascii="Aptos" w:hAnsi="Aptos"/>
          <w:lang w:val="bg-BG"/>
        </w:rPr>
        <w:t xml:space="preserve">Намаляването на емисиите </w:t>
      </w:r>
      <w:r w:rsidR="001C557B" w:rsidRPr="006F3533">
        <w:rPr>
          <w:rFonts w:ascii="Aptos" w:hAnsi="Aptos"/>
          <w:lang w:val="bg-BG"/>
        </w:rPr>
        <w:t xml:space="preserve">от парникови газове </w:t>
      </w:r>
      <w:r w:rsidRPr="006F3533">
        <w:rPr>
          <w:rFonts w:ascii="Aptos" w:hAnsi="Aptos"/>
          <w:lang w:val="bg-BG"/>
        </w:rPr>
        <w:t>през целия жизнен цикъл</w:t>
      </w:r>
      <w:r w:rsidR="001C557B" w:rsidRPr="006F3533">
        <w:rPr>
          <w:rFonts w:ascii="Aptos" w:hAnsi="Aptos"/>
          <w:lang w:val="bg-BG"/>
        </w:rPr>
        <w:t xml:space="preserve"> на сградите</w:t>
      </w:r>
      <w:r w:rsidRPr="006F3533">
        <w:rPr>
          <w:rFonts w:ascii="Aptos" w:hAnsi="Aptos"/>
          <w:lang w:val="bg-BG"/>
        </w:rPr>
        <w:t xml:space="preserve"> (</w:t>
      </w:r>
      <w:proofErr w:type="spellStart"/>
      <w:r w:rsidRPr="006F3533">
        <w:rPr>
          <w:rFonts w:ascii="Aptos" w:hAnsi="Aptos"/>
          <w:lang w:val="bg-BG"/>
        </w:rPr>
        <w:t>Whole</w:t>
      </w:r>
      <w:proofErr w:type="spellEnd"/>
      <w:r w:rsidRPr="006F3533">
        <w:rPr>
          <w:rFonts w:ascii="Aptos" w:hAnsi="Aptos"/>
          <w:lang w:val="bg-BG"/>
        </w:rPr>
        <w:t xml:space="preserve"> Life </w:t>
      </w:r>
      <w:proofErr w:type="spellStart"/>
      <w:r w:rsidRPr="006F3533">
        <w:rPr>
          <w:rFonts w:ascii="Aptos" w:hAnsi="Aptos"/>
          <w:lang w:val="bg-BG"/>
        </w:rPr>
        <w:t>Carbon</w:t>
      </w:r>
      <w:proofErr w:type="spellEnd"/>
      <w:r w:rsidRPr="006F3533">
        <w:rPr>
          <w:rFonts w:ascii="Aptos" w:hAnsi="Aptos"/>
          <w:lang w:val="bg-BG"/>
        </w:rPr>
        <w:t xml:space="preserve"> – WLC) е нов приоритет на политиката за устойчиво строителство и се разглежда като съществена част от пътя към </w:t>
      </w:r>
      <w:proofErr w:type="spellStart"/>
      <w:r w:rsidRPr="006F3533">
        <w:rPr>
          <w:rFonts w:ascii="Aptos" w:hAnsi="Aptos"/>
          <w:lang w:val="bg-BG"/>
        </w:rPr>
        <w:t>нулевоемисионния</w:t>
      </w:r>
      <w:proofErr w:type="spellEnd"/>
      <w:r w:rsidRPr="006F3533">
        <w:rPr>
          <w:rFonts w:ascii="Aptos" w:hAnsi="Aptos"/>
          <w:lang w:val="bg-BG"/>
        </w:rPr>
        <w:t xml:space="preserve"> сграден фонд на ЕС до 2050 г. Този подход допълва мерките за намаляване на оперативните емисии чрез повишена енергийна ефективност и използване на възобновяеми източници, като акцентира върху </w:t>
      </w:r>
      <w:r w:rsidRPr="006F3533">
        <w:rPr>
          <w:rStyle w:val="Strong"/>
          <w:rFonts w:ascii="Aptos" w:hAnsi="Aptos"/>
          <w:lang w:val="bg-BG"/>
        </w:rPr>
        <w:t>въплътените емисии</w:t>
      </w:r>
      <w:r w:rsidRPr="006F3533">
        <w:rPr>
          <w:rFonts w:ascii="Aptos" w:hAnsi="Aptos"/>
          <w:lang w:val="bg-BG"/>
        </w:rPr>
        <w:t xml:space="preserve"> – тези, които възникват при процесите свързани с производството на строителни материали и елементи, по време на строителството, ремонта и разрушаването на сградите.</w:t>
      </w:r>
    </w:p>
    <w:p w14:paraId="52CCA8E6" w14:textId="77777777" w:rsidR="00077D42" w:rsidRPr="006F3533" w:rsidRDefault="00077D42" w:rsidP="00077D42">
      <w:pPr>
        <w:jc w:val="both"/>
        <w:rPr>
          <w:b/>
          <w:bCs/>
          <w:lang w:val="bg-BG"/>
        </w:rPr>
      </w:pPr>
      <w:r w:rsidRPr="006F3533">
        <w:rPr>
          <w:b/>
          <w:bCs/>
          <w:lang w:val="bg-BG"/>
        </w:rPr>
        <w:t>1. Интегриране на оценка на жизнения цикъл в строителните наредби</w:t>
      </w:r>
    </w:p>
    <w:p w14:paraId="10786636" w14:textId="776D5DAF" w:rsidR="00077D42" w:rsidRPr="006F3533" w:rsidRDefault="00077D42" w:rsidP="00077D42">
      <w:pPr>
        <w:pStyle w:val="NormalWeb"/>
        <w:jc w:val="both"/>
        <w:rPr>
          <w:rFonts w:ascii="Aptos" w:hAnsi="Aptos"/>
          <w:lang w:val="bg-BG"/>
        </w:rPr>
      </w:pPr>
      <w:r w:rsidRPr="006F3533">
        <w:rPr>
          <w:rFonts w:ascii="Aptos" w:hAnsi="Aptos"/>
          <w:lang w:val="bg-BG"/>
        </w:rPr>
        <w:t xml:space="preserve">България ще въведе </w:t>
      </w:r>
      <w:r w:rsidRPr="006F3533">
        <w:rPr>
          <w:rStyle w:val="Strong"/>
          <w:rFonts w:ascii="Aptos" w:hAnsi="Aptos"/>
          <w:lang w:val="bg-BG"/>
        </w:rPr>
        <w:t>ограничителни стойности за общото количество емисии от парникови газове, произведени по време на жизнения цикъл на сградите</w:t>
      </w:r>
      <w:r w:rsidRPr="006F3533">
        <w:rPr>
          <w:rFonts w:ascii="Aptos" w:hAnsi="Aptos"/>
          <w:lang w:val="bg-BG"/>
        </w:rPr>
        <w:t>, съгласно член 7, параграф 5 от ДЕХС. Тези стойности ще бъдат разграничавани по типове сгради и постепенно ще се затягат на всеки две години, като целта е да се постигне съответствие с европейските норми за въглеродна неутралност на сектора.</w:t>
      </w:r>
      <w:r w:rsidRPr="006F3533">
        <w:rPr>
          <w:rFonts w:ascii="Aptos" w:hAnsi="Aptos"/>
          <w:lang w:val="bg-BG" w:eastAsia="bg-BG"/>
        </w:rPr>
        <w:t xml:space="preserve"> </w:t>
      </w:r>
      <w:r w:rsidRPr="006F3533">
        <w:rPr>
          <w:rFonts w:ascii="Aptos" w:hAnsi="Aptos"/>
          <w:lang w:val="bg-BG"/>
        </w:rPr>
        <w:t xml:space="preserve">Изискванията за изчисляване на общото количество емисии ще бъдат интегрирани в методиката за определяне на енергийните характеристики на сградите (съгласувано с Приложение III от ДЕХС) и ще се базират на европейската рамка </w:t>
      </w:r>
      <w:proofErr w:type="spellStart"/>
      <w:r w:rsidRPr="006F3533">
        <w:rPr>
          <w:rStyle w:val="Strong"/>
          <w:rFonts w:ascii="Aptos" w:hAnsi="Aptos"/>
          <w:lang w:val="bg-BG"/>
        </w:rPr>
        <w:t>Level</w:t>
      </w:r>
      <w:proofErr w:type="spellEnd"/>
      <w:r w:rsidRPr="006F3533">
        <w:rPr>
          <w:rStyle w:val="Strong"/>
          <w:rFonts w:ascii="Aptos" w:hAnsi="Aptos"/>
          <w:lang w:val="bg-BG"/>
        </w:rPr>
        <w:t>(s)</w:t>
      </w:r>
      <w:r w:rsidRPr="006F3533">
        <w:rPr>
          <w:rFonts w:ascii="Aptos" w:hAnsi="Aptos"/>
          <w:lang w:val="bg-BG"/>
        </w:rPr>
        <w:t>, която осигурява хармонизиран подход за изчисляване на екологичните показатели през целия жизнен цикъл на сградите. Крайната оценка ще бъде вписвана като част от сертификата за енергийните характеристики на сградата.</w:t>
      </w:r>
    </w:p>
    <w:p w14:paraId="75F5D33F" w14:textId="77777777" w:rsidR="00077D42" w:rsidRPr="006F3533" w:rsidRDefault="00077D42" w:rsidP="00077D42">
      <w:pPr>
        <w:jc w:val="both"/>
        <w:rPr>
          <w:b/>
          <w:bCs/>
          <w:lang w:val="bg-BG"/>
        </w:rPr>
      </w:pPr>
      <w:r w:rsidRPr="006F3533">
        <w:rPr>
          <w:b/>
          <w:bCs/>
          <w:lang w:val="bg-BG"/>
        </w:rPr>
        <w:t>2. Приоритет на обновяването пред новото строителство</w:t>
      </w:r>
    </w:p>
    <w:p w14:paraId="72B6097A" w14:textId="77777777" w:rsidR="00077D42" w:rsidRPr="006F3533" w:rsidRDefault="00077D42" w:rsidP="00077D42">
      <w:pPr>
        <w:pStyle w:val="NormalWeb"/>
        <w:jc w:val="both"/>
        <w:rPr>
          <w:rFonts w:ascii="Aptos" w:hAnsi="Aptos"/>
          <w:lang w:val="bg-BG"/>
        </w:rPr>
      </w:pPr>
      <w:r w:rsidRPr="006F3533">
        <w:rPr>
          <w:rFonts w:ascii="Aptos" w:hAnsi="Aptos"/>
          <w:lang w:val="bg-BG"/>
        </w:rPr>
        <w:t xml:space="preserve">Следвайки принципите за кръгова икономика и </w:t>
      </w:r>
      <w:r w:rsidRPr="006F3533">
        <w:rPr>
          <w:rStyle w:val="Strong"/>
          <w:rFonts w:ascii="Aptos" w:hAnsi="Aptos"/>
          <w:lang w:val="bg-BG"/>
        </w:rPr>
        <w:t>достатъчност</w:t>
      </w:r>
      <w:r w:rsidRPr="006F3533">
        <w:rPr>
          <w:rFonts w:ascii="Aptos" w:hAnsi="Aptos"/>
          <w:lang w:val="bg-BG"/>
        </w:rPr>
        <w:t xml:space="preserve"> (</w:t>
      </w:r>
      <w:proofErr w:type="spellStart"/>
      <w:r w:rsidRPr="006F3533">
        <w:rPr>
          <w:rFonts w:ascii="Aptos" w:hAnsi="Aptos"/>
          <w:lang w:val="bg-BG"/>
        </w:rPr>
        <w:t>sufficiency</w:t>
      </w:r>
      <w:proofErr w:type="spellEnd"/>
      <w:r w:rsidRPr="006F3533">
        <w:rPr>
          <w:rFonts w:ascii="Aptos" w:hAnsi="Aptos"/>
          <w:lang w:val="bg-BG"/>
        </w:rPr>
        <w:t xml:space="preserve">), националните политики ще насърчават </w:t>
      </w:r>
      <w:r w:rsidRPr="006F3533">
        <w:rPr>
          <w:rStyle w:val="Strong"/>
          <w:rFonts w:ascii="Aptos" w:hAnsi="Aptos"/>
          <w:lang w:val="bg-BG"/>
        </w:rPr>
        <w:t>обновяване на съществуващите сгради вместо ново строителство</w:t>
      </w:r>
      <w:r w:rsidRPr="006F3533">
        <w:rPr>
          <w:rFonts w:ascii="Aptos" w:hAnsi="Aptos"/>
          <w:lang w:val="bg-BG"/>
        </w:rPr>
        <w:t>, когато това е икономически и функционално възможно. Причината е, че поддържането и адаптирането на съществуващия сграден фонд води до генерирането на значително по-малко въглеродни емисии в сравнение с изграждането на нови сгради и предотвратява загубата на вече вложен ресурс.</w:t>
      </w:r>
    </w:p>
    <w:p w14:paraId="4C96753F" w14:textId="77777777" w:rsidR="00077D42" w:rsidRPr="006F3533" w:rsidRDefault="00077D42" w:rsidP="00077D42">
      <w:pPr>
        <w:pStyle w:val="NormalWeb"/>
        <w:jc w:val="both"/>
        <w:rPr>
          <w:rFonts w:ascii="Aptos" w:hAnsi="Aptos"/>
          <w:lang w:val="bg-BG"/>
        </w:rPr>
      </w:pPr>
    </w:p>
    <w:p w14:paraId="431CC954" w14:textId="76919AC8" w:rsidR="00077D42" w:rsidRPr="006F3533" w:rsidRDefault="00077D42" w:rsidP="001C557B">
      <w:pPr>
        <w:pStyle w:val="NormalWeb"/>
        <w:jc w:val="both"/>
        <w:rPr>
          <w:rFonts w:ascii="Aptos" w:hAnsi="Aptos"/>
          <w:lang w:val="bg-BG"/>
        </w:rPr>
      </w:pPr>
      <w:r w:rsidRPr="006F3533">
        <w:rPr>
          <w:rFonts w:ascii="Aptos" w:hAnsi="Aptos"/>
          <w:lang w:val="bg-BG"/>
        </w:rPr>
        <w:lastRenderedPageBreak/>
        <w:t xml:space="preserve">Този подход ще бъде отразен в уредбите за строителство и в програмите за управление на публичния сграден фонд чрез изискване </w:t>
      </w:r>
      <w:r w:rsidR="001C557B" w:rsidRPr="006F3533">
        <w:rPr>
          <w:rFonts w:ascii="Aptos" w:hAnsi="Aptos"/>
          <w:lang w:val="bg-BG"/>
        </w:rPr>
        <w:t>за предварителен</w:t>
      </w:r>
      <w:r w:rsidRPr="006F3533">
        <w:rPr>
          <w:rFonts w:ascii="Aptos" w:hAnsi="Aptos"/>
          <w:lang w:val="bg-BG"/>
        </w:rPr>
        <w:t xml:space="preserve"> одит за разрушаване. Същ</w:t>
      </w:r>
      <w:r w:rsidR="001C557B" w:rsidRPr="006F3533">
        <w:rPr>
          <w:rFonts w:ascii="Aptos" w:hAnsi="Aptos"/>
          <w:lang w:val="bg-BG"/>
        </w:rPr>
        <w:t>евременно</w:t>
      </w:r>
      <w:r w:rsidRPr="006F3533">
        <w:rPr>
          <w:rFonts w:ascii="Aptos" w:hAnsi="Aptos"/>
          <w:lang w:val="bg-BG"/>
        </w:rPr>
        <w:t xml:space="preserve">, при промяна на предназначението на сгради (например адаптиране на публични  сгради за жилищни нужди) изискванията за енергийна ефективност ще бъдат по- гъвкави и съобразени с прилагането на принципите за кръгова икономика. </w:t>
      </w:r>
    </w:p>
    <w:p w14:paraId="164FED5D" w14:textId="77777777" w:rsidR="001C557B" w:rsidRPr="006F3533" w:rsidRDefault="001C557B" w:rsidP="001C557B">
      <w:pPr>
        <w:pStyle w:val="NormalWeb"/>
        <w:jc w:val="both"/>
        <w:rPr>
          <w:rFonts w:ascii="Aptos" w:hAnsi="Aptos"/>
          <w:b/>
          <w:bCs/>
          <w:lang w:val="bg-BG"/>
        </w:rPr>
      </w:pPr>
      <w:r w:rsidRPr="006F3533">
        <w:rPr>
          <w:rFonts w:ascii="Aptos" w:hAnsi="Aptos"/>
          <w:b/>
          <w:bCs/>
          <w:lang w:val="bg-BG"/>
        </w:rPr>
        <w:t>3. Енергия от източници без емисии на парникови газове</w:t>
      </w:r>
    </w:p>
    <w:p w14:paraId="32984305" w14:textId="33E274AE" w:rsidR="001C557B" w:rsidRPr="006F3533" w:rsidRDefault="001C557B" w:rsidP="00EA1E95">
      <w:pPr>
        <w:jc w:val="both"/>
        <w:rPr>
          <w:b/>
          <w:bCs/>
          <w:lang w:val="bg-BG" w:eastAsia="en-GB"/>
        </w:rPr>
      </w:pPr>
      <w:r w:rsidRPr="006F3533">
        <w:rPr>
          <w:lang w:val="bg-BG" w:eastAsia="en-GB"/>
        </w:rPr>
        <w:t>В изчисляването на общото количество въглеродни емисии влизат сметки за експлоатационните емисии на сградите. Намаляването на тези емисии е съществена част от този документ и е тясно обвързано с целите за намаляване на първичната енергия. За покриването на енергийните нужди по време на експлоатация на сградите ще се търсят решения на системи, които се захранват от ВЕИ или други източници без излъчване на вредни емисии.</w:t>
      </w:r>
    </w:p>
    <w:p w14:paraId="42647461" w14:textId="0970D420" w:rsidR="00077D42" w:rsidRPr="006F3533" w:rsidRDefault="001C557B" w:rsidP="001C557B">
      <w:pPr>
        <w:jc w:val="both"/>
        <w:rPr>
          <w:b/>
          <w:bCs/>
          <w:lang w:val="bg-BG"/>
        </w:rPr>
      </w:pPr>
      <w:r w:rsidRPr="006F3533">
        <w:rPr>
          <w:b/>
          <w:bCs/>
          <w:lang w:val="bg-BG"/>
        </w:rPr>
        <w:t>4</w:t>
      </w:r>
      <w:r w:rsidR="00077D42" w:rsidRPr="006F3533">
        <w:rPr>
          <w:b/>
          <w:bCs/>
          <w:lang w:val="bg-BG"/>
        </w:rPr>
        <w:t>. Насърчаване на строителство с нисковъглеродни и естествени материали</w:t>
      </w:r>
    </w:p>
    <w:p w14:paraId="7EAC2E8C" w14:textId="77777777" w:rsidR="001C557B" w:rsidRPr="006F3533" w:rsidRDefault="001C557B" w:rsidP="001C557B">
      <w:pPr>
        <w:pStyle w:val="NormalWeb"/>
        <w:jc w:val="both"/>
        <w:rPr>
          <w:rFonts w:ascii="Aptos" w:hAnsi="Aptos"/>
          <w:lang w:val="bg-BG"/>
        </w:rPr>
      </w:pPr>
      <w:r w:rsidRPr="006F3533">
        <w:rPr>
          <w:rFonts w:ascii="Aptos" w:hAnsi="Aptos"/>
          <w:lang w:val="bg-BG"/>
        </w:rPr>
        <w:t xml:space="preserve">С цел ограничаване на въплътените емисии, ще бъдат въведени стимули и изисквания за използване на </w:t>
      </w:r>
      <w:r w:rsidRPr="006F3533">
        <w:rPr>
          <w:rStyle w:val="Strong"/>
          <w:rFonts w:ascii="Aptos" w:hAnsi="Aptos"/>
          <w:lang w:val="bg-BG"/>
        </w:rPr>
        <w:t>нисковъглеродни строителни продукти</w:t>
      </w:r>
      <w:r w:rsidRPr="006F3533">
        <w:rPr>
          <w:rFonts w:ascii="Aptos" w:hAnsi="Aptos"/>
          <w:lang w:val="bg-BG"/>
        </w:rPr>
        <w:t xml:space="preserve"> и </w:t>
      </w:r>
      <w:r w:rsidRPr="006F3533">
        <w:rPr>
          <w:rStyle w:val="Strong"/>
          <w:rFonts w:ascii="Aptos" w:hAnsi="Aptos"/>
          <w:lang w:val="bg-BG"/>
        </w:rPr>
        <w:t>естествени материали</w:t>
      </w:r>
      <w:r w:rsidRPr="006F3533">
        <w:rPr>
          <w:rFonts w:ascii="Aptos" w:hAnsi="Aptos"/>
          <w:lang w:val="bg-BG"/>
        </w:rPr>
        <w:t xml:space="preserve"> (устойчива дървесина, коноп, лен, слама и др.), както и </w:t>
      </w:r>
      <w:r w:rsidRPr="006F3533">
        <w:rPr>
          <w:rStyle w:val="Strong"/>
          <w:rFonts w:ascii="Aptos" w:hAnsi="Aptos"/>
          <w:lang w:val="bg-BG"/>
        </w:rPr>
        <w:t>материали с минимален транспортен отпечатък</w:t>
      </w:r>
      <w:r w:rsidRPr="006F3533">
        <w:rPr>
          <w:rFonts w:ascii="Aptos" w:hAnsi="Aptos"/>
          <w:lang w:val="bg-BG"/>
        </w:rPr>
        <w:t>.</w:t>
      </w:r>
    </w:p>
    <w:p w14:paraId="5DAA7FBE" w14:textId="0362506E" w:rsidR="00077D42" w:rsidRPr="006F3533" w:rsidRDefault="001C557B" w:rsidP="001C557B">
      <w:pPr>
        <w:pStyle w:val="NormalWeb"/>
        <w:jc w:val="both"/>
        <w:rPr>
          <w:rFonts w:ascii="Aptos" w:hAnsi="Aptos"/>
          <w:lang w:val="bg-BG"/>
        </w:rPr>
      </w:pPr>
      <w:r w:rsidRPr="006F3533">
        <w:rPr>
          <w:rFonts w:ascii="Aptos" w:hAnsi="Aptos"/>
          <w:lang w:val="bg-BG"/>
        </w:rPr>
        <w:t xml:space="preserve">Обществените поръчки ще включват критерии за </w:t>
      </w:r>
      <w:r w:rsidRPr="006F3533">
        <w:rPr>
          <w:rStyle w:val="Strong"/>
          <w:rFonts w:ascii="Aptos" w:hAnsi="Aptos"/>
          <w:lang w:val="bg-BG"/>
        </w:rPr>
        <w:t xml:space="preserve">стойности за въглероден отпечатък и за съхранение на въглерод на влаганите строителни материали и компоненти. </w:t>
      </w:r>
      <w:r w:rsidRPr="006F3533">
        <w:rPr>
          <w:rStyle w:val="Strong"/>
          <w:rFonts w:ascii="Aptos" w:hAnsi="Aptos"/>
          <w:b w:val="0"/>
          <w:bCs w:val="0"/>
          <w:lang w:val="bg-BG"/>
        </w:rPr>
        <w:t>При</w:t>
      </w:r>
      <w:r w:rsidRPr="006F3533">
        <w:rPr>
          <w:rFonts w:ascii="Aptos" w:hAnsi="Aptos"/>
          <w:b/>
          <w:bCs/>
          <w:lang w:val="bg-BG"/>
        </w:rPr>
        <w:t xml:space="preserve"> </w:t>
      </w:r>
      <w:r w:rsidRPr="006F3533">
        <w:rPr>
          <w:rFonts w:ascii="Aptos" w:hAnsi="Aptos"/>
          <w:lang w:val="bg-BG"/>
        </w:rPr>
        <w:t>равни условия ще се дава предимство на предложения, които демонстрират по-ниски емисии или съхраняват въглерод в дълготрайни строителни елементи. За по-голяма прозрачност и проследимост следва предложените материали и продукти да притежават екологична продуктова декларация (</w:t>
      </w:r>
      <w:proofErr w:type="spellStart"/>
      <w:r w:rsidRPr="006F3533">
        <w:rPr>
          <w:rFonts w:ascii="Aptos" w:hAnsi="Aptos"/>
          <w:lang w:val="bg-BG"/>
        </w:rPr>
        <w:t>Environmental</w:t>
      </w:r>
      <w:proofErr w:type="spellEnd"/>
      <w:r w:rsidRPr="006F3533">
        <w:rPr>
          <w:rFonts w:ascii="Aptos" w:hAnsi="Aptos"/>
          <w:lang w:val="bg-BG"/>
        </w:rPr>
        <w:t xml:space="preserve"> </w:t>
      </w:r>
      <w:proofErr w:type="spellStart"/>
      <w:r w:rsidRPr="006F3533">
        <w:rPr>
          <w:rFonts w:ascii="Aptos" w:hAnsi="Aptos"/>
          <w:lang w:val="bg-BG"/>
        </w:rPr>
        <w:t>Product</w:t>
      </w:r>
      <w:proofErr w:type="spellEnd"/>
      <w:r w:rsidRPr="006F3533">
        <w:rPr>
          <w:rFonts w:ascii="Aptos" w:hAnsi="Aptos"/>
          <w:lang w:val="bg-BG"/>
        </w:rPr>
        <w:t xml:space="preserve"> </w:t>
      </w:r>
      <w:proofErr w:type="spellStart"/>
      <w:r w:rsidRPr="006F3533">
        <w:rPr>
          <w:rFonts w:ascii="Aptos" w:hAnsi="Aptos"/>
          <w:lang w:val="bg-BG"/>
        </w:rPr>
        <w:t>Declaration</w:t>
      </w:r>
      <w:proofErr w:type="spellEnd"/>
      <w:r w:rsidRPr="006F3533">
        <w:rPr>
          <w:rFonts w:ascii="Aptos" w:hAnsi="Aptos"/>
          <w:lang w:val="bg-BG"/>
        </w:rPr>
        <w:t xml:space="preserve"> - EPD), която да свидетелства за стойността на въплътените емисии и да позволява сравнение между продуктите.</w:t>
      </w:r>
    </w:p>
    <w:p w14:paraId="70F38BBD" w14:textId="2CA01007" w:rsidR="00077D42" w:rsidRPr="006F3533" w:rsidRDefault="001C557B" w:rsidP="00077D42">
      <w:pPr>
        <w:jc w:val="both"/>
        <w:rPr>
          <w:b/>
          <w:bCs/>
          <w:lang w:val="bg-BG"/>
        </w:rPr>
      </w:pPr>
      <w:r w:rsidRPr="006F3533">
        <w:rPr>
          <w:b/>
          <w:bCs/>
          <w:lang w:val="bg-BG"/>
        </w:rPr>
        <w:t>5</w:t>
      </w:r>
      <w:r w:rsidR="00077D42" w:rsidRPr="006F3533">
        <w:rPr>
          <w:b/>
          <w:bCs/>
          <w:lang w:val="bg-BG"/>
        </w:rPr>
        <w:t xml:space="preserve">. </w:t>
      </w:r>
      <w:r w:rsidRPr="006F3533">
        <w:rPr>
          <w:b/>
          <w:bCs/>
          <w:lang w:val="bg-BG"/>
        </w:rPr>
        <w:t xml:space="preserve">Ползване </w:t>
      </w:r>
      <w:r w:rsidR="00EB0137" w:rsidRPr="006F3533">
        <w:rPr>
          <w:b/>
          <w:bCs/>
          <w:lang w:val="bg-BG"/>
        </w:rPr>
        <w:t>на строителни продукти и елементи през модели на кръгова икономика</w:t>
      </w:r>
    </w:p>
    <w:p w14:paraId="4C34089E" w14:textId="76763A0F" w:rsidR="00077D42" w:rsidRPr="006F3533" w:rsidRDefault="001C557B" w:rsidP="00077D42">
      <w:pPr>
        <w:pStyle w:val="NormalWeb"/>
        <w:jc w:val="both"/>
        <w:rPr>
          <w:rFonts w:ascii="Aptos" w:hAnsi="Aptos"/>
          <w:lang w:val="bg-BG"/>
        </w:rPr>
      </w:pPr>
      <w:r w:rsidRPr="006F3533">
        <w:rPr>
          <w:rFonts w:ascii="Aptos" w:hAnsi="Aptos"/>
          <w:lang w:val="bg-BG"/>
        </w:rPr>
        <w:t>В съответствие с мерките по т. (g), България ще насърчава прилагане на принципите на кръгова икономика при</w:t>
      </w:r>
      <w:r w:rsidRPr="006F3533">
        <w:rPr>
          <w:rFonts w:ascii="Aptos" w:hAnsi="Aptos"/>
          <w:b/>
          <w:bCs/>
          <w:lang w:val="bg-BG"/>
        </w:rPr>
        <w:t xml:space="preserve"> употреба на строителни материали и компоненти</w:t>
      </w:r>
      <w:r w:rsidRPr="006F3533">
        <w:rPr>
          <w:rFonts w:ascii="Aptos" w:hAnsi="Aptos"/>
          <w:lang w:val="bg-BG"/>
        </w:rPr>
        <w:t xml:space="preserve">, като създаде предпоставките за това. Чрез изискване за предварителни одити за селективно разрушаване и разработване на регионални </w:t>
      </w:r>
      <w:r w:rsidRPr="006F3533">
        <w:rPr>
          <w:rFonts w:ascii="Aptos" w:hAnsi="Aptos"/>
          <w:b/>
          <w:bCs/>
          <w:lang w:val="bg-BG"/>
        </w:rPr>
        <w:t>центрове за сортиране, повторна употреба и рециклиране на продукти от сградите</w:t>
      </w:r>
      <w:r w:rsidRPr="006F3533">
        <w:rPr>
          <w:rFonts w:ascii="Aptos" w:hAnsi="Aptos"/>
          <w:lang w:val="bg-BG"/>
        </w:rPr>
        <w:t xml:space="preserve"> ще се изгради модел на продължително извличане на полза, в който въплътеният въглерод от строителните продукти се поддържа в затворен цикъл и се предотвратява неговото отделяне при изгаряне или депониране.</w:t>
      </w:r>
    </w:p>
    <w:p w14:paraId="033B6BDF" w14:textId="76DBB46D" w:rsidR="00077D42" w:rsidRPr="006F3533" w:rsidRDefault="00EB0137" w:rsidP="00077D42">
      <w:pPr>
        <w:jc w:val="both"/>
        <w:rPr>
          <w:b/>
          <w:bCs/>
          <w:lang w:val="bg-BG"/>
        </w:rPr>
      </w:pPr>
      <w:r w:rsidRPr="006F3533">
        <w:rPr>
          <w:b/>
          <w:bCs/>
          <w:lang w:val="bg-BG"/>
        </w:rPr>
        <w:t>6</w:t>
      </w:r>
      <w:r w:rsidR="00077D42" w:rsidRPr="006F3533">
        <w:rPr>
          <w:b/>
          <w:bCs/>
          <w:lang w:val="bg-BG"/>
        </w:rPr>
        <w:t>. Улавяне и съхранение на въглеродни емисии</w:t>
      </w:r>
    </w:p>
    <w:p w14:paraId="38CBA612" w14:textId="290B1E7D" w:rsidR="00EB0137" w:rsidRPr="006F3533" w:rsidRDefault="00EB0137" w:rsidP="00EB0137">
      <w:pPr>
        <w:pStyle w:val="NormalWeb"/>
        <w:jc w:val="both"/>
        <w:rPr>
          <w:rFonts w:ascii="Aptos" w:hAnsi="Aptos"/>
          <w:lang w:val="bg-BG"/>
        </w:rPr>
      </w:pPr>
      <w:r w:rsidRPr="006F3533">
        <w:rPr>
          <w:rFonts w:ascii="Aptos" w:hAnsi="Aptos"/>
          <w:lang w:val="bg-BG"/>
        </w:rPr>
        <w:t xml:space="preserve">България ще интегрира принципите за </w:t>
      </w:r>
      <w:r w:rsidRPr="006F3533">
        <w:rPr>
          <w:rStyle w:val="Strong"/>
          <w:rFonts w:ascii="Aptos" w:hAnsi="Aptos"/>
          <w:lang w:val="bg-BG"/>
        </w:rPr>
        <w:t>улавяне и съхранение на въглерод</w:t>
      </w:r>
      <w:r w:rsidRPr="006F3533">
        <w:rPr>
          <w:rFonts w:ascii="Aptos" w:hAnsi="Aptos"/>
          <w:lang w:val="bg-BG"/>
        </w:rPr>
        <w:t xml:space="preserve"> в строителния сектор, в съответствие с предстоящия </w:t>
      </w:r>
      <w:r w:rsidRPr="006F3533">
        <w:rPr>
          <w:rStyle w:val="Strong"/>
          <w:rFonts w:ascii="Aptos" w:hAnsi="Aptos"/>
          <w:lang w:val="bg-BG"/>
        </w:rPr>
        <w:t>Регламент за сертифициране на уловените въглеродни емисии (CRCF)</w:t>
      </w:r>
      <w:r w:rsidRPr="006F3533">
        <w:rPr>
          <w:rFonts w:ascii="Aptos" w:hAnsi="Aptos"/>
          <w:lang w:val="bg-BG"/>
        </w:rPr>
        <w:t>. Основните насоки включват:</w:t>
      </w:r>
    </w:p>
    <w:p w14:paraId="77AEC073" w14:textId="77777777" w:rsidR="00EB0137" w:rsidRPr="006F3533" w:rsidRDefault="00EB0137" w:rsidP="00551FED">
      <w:pPr>
        <w:pStyle w:val="NormalWeb"/>
        <w:numPr>
          <w:ilvl w:val="0"/>
          <w:numId w:val="52"/>
        </w:numPr>
        <w:jc w:val="both"/>
        <w:rPr>
          <w:rFonts w:ascii="Aptos" w:hAnsi="Aptos"/>
          <w:lang w:val="bg-BG"/>
        </w:rPr>
      </w:pPr>
      <w:r w:rsidRPr="006F3533">
        <w:rPr>
          <w:rFonts w:ascii="Aptos" w:hAnsi="Aptos"/>
          <w:lang w:val="bg-BG"/>
        </w:rPr>
        <w:lastRenderedPageBreak/>
        <w:t xml:space="preserve">въвеждане на </w:t>
      </w:r>
      <w:r w:rsidRPr="006F3533">
        <w:rPr>
          <w:rStyle w:val="Strong"/>
          <w:rFonts w:ascii="Aptos" w:hAnsi="Aptos"/>
          <w:lang w:val="bg-BG"/>
        </w:rPr>
        <w:t>индикатор за съхранен въглерод</w:t>
      </w:r>
      <w:r w:rsidRPr="006F3533">
        <w:rPr>
          <w:rFonts w:ascii="Aptos" w:hAnsi="Aptos"/>
          <w:lang w:val="bg-BG"/>
        </w:rPr>
        <w:t xml:space="preserve"> в сертификатите за енергийни характеристики (СЕХ) на сградите;</w:t>
      </w:r>
    </w:p>
    <w:p w14:paraId="0619F9A9" w14:textId="77777777" w:rsidR="00EB0137" w:rsidRPr="006F3533" w:rsidRDefault="00EB0137" w:rsidP="00551FED">
      <w:pPr>
        <w:pStyle w:val="NormalWeb"/>
        <w:numPr>
          <w:ilvl w:val="0"/>
          <w:numId w:val="52"/>
        </w:numPr>
        <w:jc w:val="both"/>
        <w:rPr>
          <w:rFonts w:ascii="Aptos" w:hAnsi="Aptos"/>
          <w:lang w:val="bg-BG"/>
        </w:rPr>
      </w:pPr>
      <w:r w:rsidRPr="006F3533">
        <w:rPr>
          <w:rFonts w:ascii="Aptos" w:hAnsi="Aptos"/>
          <w:lang w:val="bg-BG"/>
        </w:rPr>
        <w:t xml:space="preserve">включване на </w:t>
      </w:r>
      <w:r w:rsidRPr="006F3533">
        <w:rPr>
          <w:rStyle w:val="Strong"/>
          <w:rFonts w:ascii="Aptos" w:hAnsi="Aptos"/>
          <w:lang w:val="bg-BG"/>
        </w:rPr>
        <w:t>показатели за съхранени въглеродни емисии</w:t>
      </w:r>
      <w:r w:rsidRPr="006F3533">
        <w:rPr>
          <w:rFonts w:ascii="Aptos" w:hAnsi="Aptos"/>
          <w:lang w:val="bg-BG"/>
        </w:rPr>
        <w:t xml:space="preserve"> в критериите за обществени поръчки за обновяване на публични сгради;</w:t>
      </w:r>
    </w:p>
    <w:p w14:paraId="2D8B81DE" w14:textId="77777777" w:rsidR="00EB0137" w:rsidRPr="006F3533" w:rsidRDefault="00EB0137" w:rsidP="00551FED">
      <w:pPr>
        <w:pStyle w:val="NormalWeb"/>
        <w:numPr>
          <w:ilvl w:val="0"/>
          <w:numId w:val="52"/>
        </w:numPr>
        <w:jc w:val="both"/>
        <w:rPr>
          <w:rFonts w:ascii="Aptos" w:hAnsi="Aptos"/>
          <w:lang w:val="bg-BG"/>
        </w:rPr>
      </w:pPr>
      <w:r w:rsidRPr="006F3533">
        <w:rPr>
          <w:rFonts w:ascii="Aptos" w:hAnsi="Aptos"/>
          <w:lang w:val="bg-BG"/>
        </w:rPr>
        <w:t>изграждане на капацитет и повишаване на осведомеността относно способността на сградите да съхраняват въглеродните емисии и относно потенциалните бизнес модели за сертифицирано съхранение на въглерод;</w:t>
      </w:r>
    </w:p>
    <w:p w14:paraId="1DFFF620" w14:textId="3BC8FFD3" w:rsidR="00077D42" w:rsidRPr="006F3533" w:rsidRDefault="00EB0137" w:rsidP="00551FED">
      <w:pPr>
        <w:pStyle w:val="NormalWeb"/>
        <w:numPr>
          <w:ilvl w:val="0"/>
          <w:numId w:val="52"/>
        </w:numPr>
        <w:jc w:val="both"/>
        <w:rPr>
          <w:rFonts w:ascii="Aptos" w:hAnsi="Aptos"/>
          <w:lang w:val="bg-BG"/>
        </w:rPr>
      </w:pPr>
      <w:r w:rsidRPr="006F3533">
        <w:rPr>
          <w:rFonts w:ascii="Aptos" w:hAnsi="Aptos"/>
          <w:lang w:val="bg-BG"/>
        </w:rPr>
        <w:t>подкрепа за пилотни проекти, демонстриращи използването на естествени материали и иновативни решения за улавяне на въглерод в сградни елементи.</w:t>
      </w:r>
    </w:p>
    <w:p w14:paraId="7F91DC7F" w14:textId="61767937" w:rsidR="00077D42" w:rsidRPr="006F3533" w:rsidRDefault="00EB0137" w:rsidP="00077D42">
      <w:pPr>
        <w:jc w:val="both"/>
        <w:rPr>
          <w:b/>
          <w:bCs/>
          <w:lang w:val="bg-BG"/>
        </w:rPr>
      </w:pPr>
      <w:r w:rsidRPr="006F3533">
        <w:rPr>
          <w:b/>
          <w:bCs/>
          <w:lang w:val="bg-BG"/>
        </w:rPr>
        <w:t>7</w:t>
      </w:r>
      <w:r w:rsidR="00077D42" w:rsidRPr="006F3533">
        <w:rPr>
          <w:b/>
          <w:bCs/>
          <w:lang w:val="bg-BG"/>
        </w:rPr>
        <w:t xml:space="preserve">. Мониторинг и </w:t>
      </w:r>
      <w:r w:rsidRPr="006F3533">
        <w:rPr>
          <w:b/>
          <w:bCs/>
          <w:lang w:val="bg-BG"/>
        </w:rPr>
        <w:t>отчетност</w:t>
      </w:r>
    </w:p>
    <w:p w14:paraId="705B03EF" w14:textId="77777777" w:rsidR="00EB0137" w:rsidRPr="006F3533" w:rsidRDefault="00EB0137" w:rsidP="00EB0137">
      <w:pPr>
        <w:pStyle w:val="NormalWeb"/>
        <w:jc w:val="both"/>
        <w:rPr>
          <w:rFonts w:ascii="Aptos" w:hAnsi="Aptos"/>
          <w:lang w:val="bg-BG"/>
        </w:rPr>
      </w:pPr>
      <w:r w:rsidRPr="006F3533">
        <w:rPr>
          <w:rFonts w:ascii="Aptos" w:hAnsi="Aptos"/>
          <w:lang w:val="bg-BG"/>
        </w:rPr>
        <w:t xml:space="preserve">Ще бъде разработен </w:t>
      </w:r>
      <w:r w:rsidRPr="006F3533">
        <w:rPr>
          <w:rStyle w:val="Strong"/>
          <w:rFonts w:ascii="Aptos" w:hAnsi="Aptos"/>
          <w:lang w:val="bg-BG"/>
        </w:rPr>
        <w:t>национален регистър на въглеродния отпечатък на сградите</w:t>
      </w:r>
      <w:r w:rsidRPr="006F3533">
        <w:rPr>
          <w:rFonts w:ascii="Aptos" w:hAnsi="Aptos"/>
          <w:lang w:val="bg-BG"/>
        </w:rPr>
        <w:t>, интегриран в системата за енергийно сертифициране и в дигиталния строителен регистър. На тази основа ще се извършва ежегодно докладване към Европейската комисия и ще включва:</w:t>
      </w:r>
    </w:p>
    <w:p w14:paraId="6EB2DC09" w14:textId="77777777" w:rsidR="00EB0137" w:rsidRPr="006F3533" w:rsidRDefault="00EB0137" w:rsidP="00551FED">
      <w:pPr>
        <w:pStyle w:val="NormalWeb"/>
        <w:numPr>
          <w:ilvl w:val="0"/>
          <w:numId w:val="53"/>
        </w:numPr>
        <w:jc w:val="both"/>
        <w:rPr>
          <w:rFonts w:ascii="Aptos" w:hAnsi="Aptos"/>
          <w:lang w:val="bg-BG"/>
        </w:rPr>
      </w:pPr>
      <w:r w:rsidRPr="006F3533">
        <w:rPr>
          <w:rFonts w:ascii="Aptos" w:hAnsi="Aptos"/>
          <w:lang w:val="bg-BG"/>
        </w:rPr>
        <w:t>средни стойности на въплътените емисии за нови сгради по тип;</w:t>
      </w:r>
    </w:p>
    <w:p w14:paraId="5EB03AFB" w14:textId="77777777" w:rsidR="00EB0137" w:rsidRPr="006F3533" w:rsidRDefault="00EB0137" w:rsidP="00551FED">
      <w:pPr>
        <w:pStyle w:val="NormalWeb"/>
        <w:numPr>
          <w:ilvl w:val="0"/>
          <w:numId w:val="53"/>
        </w:numPr>
        <w:jc w:val="both"/>
        <w:rPr>
          <w:rFonts w:ascii="Aptos" w:hAnsi="Aptos"/>
          <w:lang w:val="bg-BG"/>
        </w:rPr>
      </w:pPr>
      <w:r w:rsidRPr="006F3533">
        <w:rPr>
          <w:rFonts w:ascii="Aptos" w:hAnsi="Aptos"/>
          <w:lang w:val="bg-BG"/>
        </w:rPr>
        <w:t>спестени емисии от повторна употреба и рециклиране на материали (отнесено към целите на подточка (g));</w:t>
      </w:r>
    </w:p>
    <w:p w14:paraId="3E255FC1" w14:textId="5DC261E8" w:rsidR="00077D42" w:rsidRPr="006F3533" w:rsidRDefault="00EB0137" w:rsidP="00551FED">
      <w:pPr>
        <w:pStyle w:val="NormalWeb"/>
        <w:numPr>
          <w:ilvl w:val="0"/>
          <w:numId w:val="53"/>
        </w:numPr>
        <w:jc w:val="both"/>
        <w:rPr>
          <w:rFonts w:ascii="Aptos" w:hAnsi="Aptos"/>
          <w:lang w:val="bg-BG"/>
        </w:rPr>
      </w:pPr>
      <w:r w:rsidRPr="006F3533">
        <w:rPr>
          <w:rFonts w:ascii="Aptos" w:hAnsi="Aptos"/>
          <w:lang w:val="bg-BG"/>
        </w:rPr>
        <w:t>количества съхранени въглеродни емисии в строителния сектор.</w:t>
      </w:r>
    </w:p>
    <w:p w14:paraId="6FD46D49" w14:textId="77777777" w:rsidR="00077D42" w:rsidRPr="006F3533" w:rsidRDefault="00077D42" w:rsidP="00077D42">
      <w:pPr>
        <w:jc w:val="both"/>
        <w:rPr>
          <w:b/>
          <w:bCs/>
          <w:lang w:val="bg-BG"/>
        </w:rPr>
      </w:pPr>
      <w:r w:rsidRPr="006F3533">
        <w:rPr>
          <w:b/>
          <w:bCs/>
          <w:lang w:val="bg-BG"/>
        </w:rPr>
        <w:t>Очаквани резултати</w:t>
      </w:r>
    </w:p>
    <w:p w14:paraId="57D11B21" w14:textId="77777777" w:rsidR="00EB0137" w:rsidRPr="006F3533" w:rsidRDefault="00EB0137" w:rsidP="00EB0137">
      <w:pPr>
        <w:pStyle w:val="NormalWeb"/>
        <w:jc w:val="both"/>
        <w:rPr>
          <w:rFonts w:ascii="Aptos" w:hAnsi="Aptos"/>
          <w:lang w:val="bg-BG"/>
        </w:rPr>
      </w:pPr>
      <w:r w:rsidRPr="006F3533">
        <w:rPr>
          <w:rFonts w:ascii="Aptos" w:hAnsi="Aptos"/>
          <w:lang w:val="bg-BG"/>
        </w:rPr>
        <w:t>До 2030 г. България ще постигне:</w:t>
      </w:r>
    </w:p>
    <w:p w14:paraId="0C0AB009" w14:textId="77777777" w:rsidR="00EB0137" w:rsidRPr="006F3533" w:rsidRDefault="00EB0137" w:rsidP="00551FED">
      <w:pPr>
        <w:pStyle w:val="NormalWeb"/>
        <w:numPr>
          <w:ilvl w:val="0"/>
          <w:numId w:val="54"/>
        </w:numPr>
        <w:jc w:val="both"/>
        <w:rPr>
          <w:rFonts w:ascii="Aptos" w:hAnsi="Aptos"/>
          <w:lang w:val="bg-BG"/>
        </w:rPr>
      </w:pPr>
      <w:r w:rsidRPr="006F3533">
        <w:rPr>
          <w:rFonts w:ascii="Aptos" w:hAnsi="Aptos"/>
          <w:lang w:val="bg-BG"/>
        </w:rPr>
        <w:t>изградена основа за въвеждане на задължителни гранични стойности за въплътените емисии на парникови газове от 2030 г. нататък;</w:t>
      </w:r>
    </w:p>
    <w:p w14:paraId="11100417" w14:textId="05C12BFA" w:rsidR="00EB0137" w:rsidRPr="006F3533" w:rsidRDefault="00EB0137" w:rsidP="00551FED">
      <w:pPr>
        <w:pStyle w:val="NormalWeb"/>
        <w:numPr>
          <w:ilvl w:val="0"/>
          <w:numId w:val="54"/>
        </w:numPr>
        <w:jc w:val="both"/>
        <w:rPr>
          <w:rFonts w:ascii="Aptos" w:hAnsi="Aptos"/>
          <w:lang w:val="bg-BG"/>
        </w:rPr>
      </w:pPr>
      <w:r w:rsidRPr="006F3533">
        <w:rPr>
          <w:rFonts w:ascii="Aptos" w:hAnsi="Aptos"/>
          <w:lang w:val="bg-BG"/>
        </w:rPr>
        <w:t>увеличен дял на нисковъглеродните и естествени материали в строителството;</w:t>
      </w:r>
    </w:p>
    <w:p w14:paraId="2E79B063" w14:textId="77777777" w:rsidR="00EB0137" w:rsidRPr="006F3533" w:rsidRDefault="00EB0137" w:rsidP="00551FED">
      <w:pPr>
        <w:pStyle w:val="NormalWeb"/>
        <w:numPr>
          <w:ilvl w:val="0"/>
          <w:numId w:val="54"/>
        </w:numPr>
        <w:jc w:val="both"/>
        <w:rPr>
          <w:rFonts w:ascii="Aptos" w:hAnsi="Aptos"/>
          <w:lang w:val="bg-BG"/>
        </w:rPr>
      </w:pPr>
      <w:r w:rsidRPr="006F3533">
        <w:rPr>
          <w:rFonts w:ascii="Aptos" w:hAnsi="Aptos"/>
          <w:lang w:val="bg-BG"/>
        </w:rPr>
        <w:t>устойчиво намаление на въплътените емисии при обновяване;</w:t>
      </w:r>
    </w:p>
    <w:p w14:paraId="0D708B21" w14:textId="77777777" w:rsidR="00EB0137" w:rsidRPr="006F3533" w:rsidRDefault="00EB0137" w:rsidP="00551FED">
      <w:pPr>
        <w:pStyle w:val="NormalWeb"/>
        <w:numPr>
          <w:ilvl w:val="0"/>
          <w:numId w:val="54"/>
        </w:numPr>
        <w:jc w:val="both"/>
        <w:rPr>
          <w:rFonts w:ascii="Aptos" w:hAnsi="Aptos"/>
          <w:lang w:val="bg-BG"/>
        </w:rPr>
      </w:pPr>
      <w:r w:rsidRPr="006F3533">
        <w:rPr>
          <w:rFonts w:ascii="Aptos" w:hAnsi="Aptos"/>
          <w:lang w:val="bg-BG"/>
        </w:rPr>
        <w:t>активен пазар за повторна употреба и рециклиране на строителни продукти;</w:t>
      </w:r>
    </w:p>
    <w:p w14:paraId="31961734" w14:textId="77777777" w:rsidR="00EB0137" w:rsidRPr="006F3533" w:rsidRDefault="00EB0137" w:rsidP="00551FED">
      <w:pPr>
        <w:pStyle w:val="NormalWeb"/>
        <w:numPr>
          <w:ilvl w:val="0"/>
          <w:numId w:val="54"/>
        </w:numPr>
        <w:jc w:val="both"/>
        <w:rPr>
          <w:rFonts w:ascii="Aptos" w:hAnsi="Aptos"/>
          <w:lang w:val="bg-BG"/>
        </w:rPr>
      </w:pPr>
      <w:r w:rsidRPr="006F3533">
        <w:rPr>
          <w:rFonts w:ascii="Aptos" w:hAnsi="Aptos"/>
          <w:lang w:val="bg-BG"/>
        </w:rPr>
        <w:t>първи сертифицирани примери за улавяне и съхранение на въглеродни емисии в строителния сектор.</w:t>
      </w:r>
    </w:p>
    <w:p w14:paraId="64DE06BE" w14:textId="6604F1CA" w:rsidR="00077D42" w:rsidRPr="006F3533" w:rsidRDefault="00EB0137" w:rsidP="00EB0137">
      <w:pPr>
        <w:pStyle w:val="NormalWeb"/>
        <w:jc w:val="both"/>
        <w:rPr>
          <w:rFonts w:ascii="Aptos" w:hAnsi="Aptos"/>
          <w:lang w:val="bg-BG"/>
        </w:rPr>
        <w:sectPr w:rsidR="00077D42" w:rsidRPr="006F3533" w:rsidSect="00077D42">
          <w:pgSz w:w="11906" w:h="16838"/>
          <w:pgMar w:top="1417" w:right="1417" w:bottom="1417" w:left="1417" w:header="708" w:footer="708" w:gutter="0"/>
          <w:cols w:space="708"/>
          <w:docGrid w:linePitch="360"/>
        </w:sectPr>
      </w:pPr>
      <w:r w:rsidRPr="006F3533">
        <w:rPr>
          <w:rFonts w:ascii="Aptos" w:hAnsi="Aptos"/>
          <w:lang w:val="bg-BG"/>
        </w:rPr>
        <w:t xml:space="preserve">Така формулирани, мерките осигуряват </w:t>
      </w:r>
      <w:r w:rsidRPr="006F3533">
        <w:rPr>
          <w:rFonts w:ascii="Aptos" w:hAnsi="Aptos"/>
          <w:b/>
          <w:bCs/>
          <w:lang w:val="bg-BG"/>
        </w:rPr>
        <w:t xml:space="preserve">синергия между </w:t>
      </w:r>
      <w:proofErr w:type="spellStart"/>
      <w:r w:rsidRPr="006F3533">
        <w:rPr>
          <w:rFonts w:ascii="Aptos" w:hAnsi="Aptos"/>
          <w:b/>
          <w:bCs/>
          <w:lang w:val="bg-BG"/>
        </w:rPr>
        <w:t>декарбонизацията</w:t>
      </w:r>
      <w:proofErr w:type="spellEnd"/>
      <w:r w:rsidRPr="006F3533">
        <w:rPr>
          <w:rFonts w:ascii="Aptos" w:hAnsi="Aptos"/>
          <w:b/>
          <w:bCs/>
          <w:lang w:val="bg-BG"/>
        </w:rPr>
        <w:t xml:space="preserve"> и кръговата икономика</w:t>
      </w:r>
      <w:r w:rsidRPr="006F3533">
        <w:rPr>
          <w:rFonts w:ascii="Aptos" w:hAnsi="Aptos"/>
          <w:lang w:val="bg-BG"/>
        </w:rPr>
        <w:t>, като ограничават натрупването на въглеродни емисии през целия жизнен цикъл на сградите, насърчават повторната употреба на ресурси и превръщат сградния сектор в активен участник в прехода към климатична неутралност</w:t>
      </w:r>
      <w:r w:rsidR="00077D42" w:rsidRPr="006F3533">
        <w:rPr>
          <w:rFonts w:ascii="Aptos" w:hAnsi="Aptos"/>
          <w:lang w:val="bg-BG"/>
        </w:rPr>
        <w:t>.</w:t>
      </w:r>
    </w:p>
    <w:p w14:paraId="7F00F662" w14:textId="77777777" w:rsidR="00B572B1" w:rsidRPr="006F3533" w:rsidRDefault="00B572B1" w:rsidP="00077D42">
      <w:pPr>
        <w:pStyle w:val="NormalWeb"/>
        <w:jc w:val="both"/>
        <w:rPr>
          <w:rFonts w:ascii="Aptos" w:hAnsi="Aptos"/>
          <w:lang w:val="bg-BG"/>
        </w:rPr>
      </w:pPr>
    </w:p>
    <w:p w14:paraId="62F901AA" w14:textId="77777777" w:rsidR="00B572B1" w:rsidRPr="006F3533" w:rsidRDefault="00B572B1" w:rsidP="00077D42">
      <w:pPr>
        <w:pStyle w:val="Heading1"/>
        <w:jc w:val="both"/>
        <w:rPr>
          <w:rFonts w:cs="Times New Roman"/>
          <w:sz w:val="24"/>
          <w:szCs w:val="24"/>
          <w:lang w:val="bg-BG"/>
        </w:rPr>
      </w:pPr>
      <w:bookmarkStart w:id="337" w:name="_Toc216816163"/>
      <w:bookmarkStart w:id="338" w:name="_Toc216857854"/>
      <w:bookmarkStart w:id="339" w:name="_Toc217888864"/>
      <w:r w:rsidRPr="006F3533">
        <w:rPr>
          <w:rFonts w:cs="Times New Roman"/>
          <w:sz w:val="24"/>
          <w:szCs w:val="24"/>
          <w:lang w:val="bg-BG"/>
        </w:rPr>
        <w:t>План за изпълнение по т. (j): документи, законови изменения, програми, срокове и отговорни органи</w:t>
      </w:r>
      <w:bookmarkEnd w:id="337"/>
      <w:bookmarkEnd w:id="338"/>
      <w:bookmarkEnd w:id="339"/>
    </w:p>
    <w:p w14:paraId="1FB72251" w14:textId="77777777" w:rsidR="00EB0137" w:rsidRPr="006F3533" w:rsidRDefault="00EB0137" w:rsidP="00EB0137">
      <w:pPr>
        <w:pStyle w:val="Heading3"/>
        <w:rPr>
          <w:rFonts w:ascii="Aptos" w:hAnsi="Aptos"/>
          <w:lang w:val="bg-BG"/>
        </w:rPr>
      </w:pPr>
      <w:bookmarkStart w:id="340" w:name="_Toc217888865"/>
      <w:r w:rsidRPr="006F3533">
        <w:rPr>
          <w:rFonts w:ascii="Aptos" w:hAnsi="Aptos"/>
          <w:lang w:val="bg-BG"/>
        </w:rPr>
        <w:t>Таблица 1. Нормативни и методически изисквания (ограничителни стойности за  количеството въглеродни емисии за целия жизнен цикъл, оценка и отчитане)</w:t>
      </w:r>
      <w:bookmarkEnd w:id="340"/>
    </w:p>
    <w:tbl>
      <w:tblPr>
        <w:tblStyle w:val="GridTable5Dark-Accent1"/>
        <w:tblW w:w="0" w:type="auto"/>
        <w:tblLook w:val="04A0" w:firstRow="1" w:lastRow="0" w:firstColumn="1" w:lastColumn="0" w:noHBand="0" w:noVBand="1"/>
      </w:tblPr>
      <w:tblGrid>
        <w:gridCol w:w="2957"/>
        <w:gridCol w:w="6191"/>
        <w:gridCol w:w="1567"/>
        <w:gridCol w:w="1017"/>
        <w:gridCol w:w="2262"/>
      </w:tblGrid>
      <w:tr w:rsidR="00EB0137" w:rsidRPr="006F3533" w14:paraId="424AC986" w14:textId="77777777" w:rsidTr="002A3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FAC4C66" w14:textId="77777777" w:rsidR="00EB0137" w:rsidRPr="006F3533" w:rsidRDefault="00EB0137" w:rsidP="002A3897">
            <w:pPr>
              <w:jc w:val="center"/>
            </w:pPr>
            <w:r w:rsidRPr="006F3533">
              <w:rPr>
                <w:b w:val="0"/>
                <w:bCs w:val="0"/>
              </w:rPr>
              <w:t>Мярка / документ</w:t>
            </w:r>
          </w:p>
        </w:tc>
        <w:tc>
          <w:tcPr>
            <w:tcW w:w="0" w:type="auto"/>
            <w:hideMark/>
          </w:tcPr>
          <w:p w14:paraId="1FFBD021"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Ключово съдържание</w:t>
            </w:r>
          </w:p>
        </w:tc>
        <w:tc>
          <w:tcPr>
            <w:tcW w:w="0" w:type="auto"/>
            <w:hideMark/>
          </w:tcPr>
          <w:p w14:paraId="1A6C4B1F"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Отговорни органи</w:t>
            </w:r>
          </w:p>
        </w:tc>
        <w:tc>
          <w:tcPr>
            <w:tcW w:w="0" w:type="auto"/>
            <w:hideMark/>
          </w:tcPr>
          <w:p w14:paraId="478AA287"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Срок за проект</w:t>
            </w:r>
          </w:p>
        </w:tc>
        <w:tc>
          <w:tcPr>
            <w:tcW w:w="0" w:type="auto"/>
            <w:hideMark/>
          </w:tcPr>
          <w:p w14:paraId="2C89ECB6"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Влизане в сила / актуализация</w:t>
            </w:r>
          </w:p>
        </w:tc>
      </w:tr>
      <w:tr w:rsidR="00EB0137" w:rsidRPr="006F3533" w14:paraId="3431ED2D"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21F77D" w14:textId="77777777" w:rsidR="00EB0137" w:rsidRPr="006F3533" w:rsidRDefault="00EB0137" w:rsidP="002A3897">
            <w:pPr>
              <w:rPr>
                <w:b w:val="0"/>
                <w:bCs w:val="0"/>
              </w:rPr>
            </w:pPr>
            <w:r w:rsidRPr="006F3533">
              <w:rPr>
                <w:rStyle w:val="Strong"/>
              </w:rPr>
              <w:t>Наредба за изчисляване на въглеродните емисии през жизнения цикъл (ЖЦ) на сградите</w:t>
            </w:r>
          </w:p>
        </w:tc>
        <w:tc>
          <w:tcPr>
            <w:tcW w:w="0" w:type="auto"/>
            <w:hideMark/>
          </w:tcPr>
          <w:p w14:paraId="14206023"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Задължителен разчет на емисиите по модули A1–A5, B4–B5, C1–C4 и отчитане на ползи/натоварвания D; методика, референтен период, единица „</w:t>
            </w:r>
            <w:proofErr w:type="spellStart"/>
            <w:r w:rsidRPr="006F3533">
              <w:t>kg</w:t>
            </w:r>
            <w:proofErr w:type="spellEnd"/>
            <w:r w:rsidRPr="006F3533">
              <w:t xml:space="preserve"> </w:t>
            </w:r>
            <w:proofErr w:type="spellStart"/>
            <w:r w:rsidRPr="006F3533">
              <w:t>CO₂eq</w:t>
            </w:r>
            <w:proofErr w:type="spellEnd"/>
            <w:r w:rsidRPr="006F3533">
              <w:t xml:space="preserve">/м² РЗП/год. живот“; хармонизация с </w:t>
            </w:r>
            <w:proofErr w:type="spellStart"/>
            <w:r w:rsidRPr="006F3533">
              <w:t>Level</w:t>
            </w:r>
            <w:proofErr w:type="spellEnd"/>
            <w:r w:rsidRPr="006F3533">
              <w:t>(s) и EN 15978/EN 15804 (EPD)</w:t>
            </w:r>
          </w:p>
        </w:tc>
        <w:tc>
          <w:tcPr>
            <w:tcW w:w="0" w:type="auto"/>
            <w:hideMark/>
          </w:tcPr>
          <w:p w14:paraId="3914DD81"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МРРБ (водещ), МЕ, МОСВ, АУЕР</w:t>
            </w:r>
          </w:p>
        </w:tc>
        <w:tc>
          <w:tcPr>
            <w:tcW w:w="0" w:type="auto"/>
            <w:hideMark/>
          </w:tcPr>
          <w:p w14:paraId="70827FF1"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Q1–Q4 2026</w:t>
            </w:r>
          </w:p>
        </w:tc>
        <w:tc>
          <w:tcPr>
            <w:tcW w:w="0" w:type="auto"/>
            <w:hideMark/>
          </w:tcPr>
          <w:p w14:paraId="597337D6"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2027; двугодишен преглед (2029, 2031…)</w:t>
            </w:r>
          </w:p>
        </w:tc>
      </w:tr>
      <w:tr w:rsidR="00EB0137" w:rsidRPr="006F3533" w14:paraId="2D5544E2" w14:textId="77777777" w:rsidTr="002A3897">
        <w:tc>
          <w:tcPr>
            <w:cnfStyle w:val="001000000000" w:firstRow="0" w:lastRow="0" w:firstColumn="1" w:lastColumn="0" w:oddVBand="0" w:evenVBand="0" w:oddHBand="0" w:evenHBand="0" w:firstRowFirstColumn="0" w:firstRowLastColumn="0" w:lastRowFirstColumn="0" w:lastRowLastColumn="0"/>
            <w:tcW w:w="0" w:type="auto"/>
            <w:hideMark/>
          </w:tcPr>
          <w:p w14:paraId="7A64A86B" w14:textId="77777777" w:rsidR="00EB0137" w:rsidRPr="006F3533" w:rsidRDefault="00EB0137" w:rsidP="002A3897">
            <w:r w:rsidRPr="006F3533">
              <w:rPr>
                <w:rStyle w:val="Strong"/>
              </w:rPr>
              <w:t>Определяне на първа серия „гранични стойности“ за въглероден отпечатък за нови сгради (чл. 7, §5 ДЕХС)</w:t>
            </w:r>
          </w:p>
        </w:tc>
        <w:tc>
          <w:tcPr>
            <w:tcW w:w="0" w:type="auto"/>
            <w:hideMark/>
          </w:tcPr>
          <w:p w14:paraId="029DFF3F" w14:textId="56AC33EC"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Разграничаване по типове сгради; механизъм за поетапно затягане на всеки 2 години; въвеждане на задължителен анализ на жизнения цикъл при основен ремонт и над определен праг на инвестиция/РЗП</w:t>
            </w:r>
          </w:p>
        </w:tc>
        <w:tc>
          <w:tcPr>
            <w:tcW w:w="0" w:type="auto"/>
            <w:hideMark/>
          </w:tcPr>
          <w:p w14:paraId="0255B66F"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МРРБ (водещ), МЕ, МОСВ, АУЕР</w:t>
            </w:r>
          </w:p>
        </w:tc>
        <w:tc>
          <w:tcPr>
            <w:tcW w:w="0" w:type="auto"/>
            <w:hideMark/>
          </w:tcPr>
          <w:p w14:paraId="2D4469B0"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Q2–Q4 2026</w:t>
            </w:r>
          </w:p>
        </w:tc>
        <w:tc>
          <w:tcPr>
            <w:tcW w:w="0" w:type="auto"/>
            <w:hideMark/>
          </w:tcPr>
          <w:p w14:paraId="3497599A"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Първи стойности: 2027; преразгледани: 2029, 2031</w:t>
            </w:r>
          </w:p>
        </w:tc>
      </w:tr>
      <w:tr w:rsidR="00EB0137" w:rsidRPr="006F3533" w14:paraId="341BE233"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406712" w14:textId="77777777" w:rsidR="00EB0137" w:rsidRPr="006F3533" w:rsidRDefault="00EB0137" w:rsidP="002A3897">
            <w:r w:rsidRPr="006F3533">
              <w:rPr>
                <w:rStyle w:val="Strong"/>
              </w:rPr>
              <w:t>Изменения в Закона за устройство на територията (ЗУТ)</w:t>
            </w:r>
          </w:p>
        </w:tc>
        <w:tc>
          <w:tcPr>
            <w:tcW w:w="0" w:type="auto"/>
            <w:hideMark/>
          </w:tcPr>
          <w:p w14:paraId="30BEF6A1"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Вписване на оценката от анализа на жизнения цикъл като част от инвестиционния проект и като условие за получаване на разрешително за строеж; изискване за одит за селективно разрушаване и план за оползотворяване на материалите при етап на извеждане от експлоатация (връзка с т. g)</w:t>
            </w:r>
          </w:p>
        </w:tc>
        <w:tc>
          <w:tcPr>
            <w:tcW w:w="0" w:type="auto"/>
            <w:hideMark/>
          </w:tcPr>
          <w:p w14:paraId="29085735"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МРРБ (водещ), МОСВ</w:t>
            </w:r>
          </w:p>
        </w:tc>
        <w:tc>
          <w:tcPr>
            <w:tcW w:w="0" w:type="auto"/>
            <w:hideMark/>
          </w:tcPr>
          <w:p w14:paraId="40064221"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Q3 2026</w:t>
            </w:r>
          </w:p>
        </w:tc>
        <w:tc>
          <w:tcPr>
            <w:tcW w:w="0" w:type="auto"/>
            <w:hideMark/>
          </w:tcPr>
          <w:p w14:paraId="4B23B677"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2027</w:t>
            </w:r>
          </w:p>
        </w:tc>
      </w:tr>
      <w:tr w:rsidR="00EB0137" w:rsidRPr="006F3533" w14:paraId="505E5A90" w14:textId="77777777" w:rsidTr="002A3897">
        <w:tc>
          <w:tcPr>
            <w:cnfStyle w:val="001000000000" w:firstRow="0" w:lastRow="0" w:firstColumn="1" w:lastColumn="0" w:oddVBand="0" w:evenVBand="0" w:oddHBand="0" w:evenHBand="0" w:firstRowFirstColumn="0" w:firstRowLastColumn="0" w:lastRowFirstColumn="0" w:lastRowLastColumn="0"/>
            <w:tcW w:w="0" w:type="auto"/>
            <w:hideMark/>
          </w:tcPr>
          <w:p w14:paraId="2CC198BE" w14:textId="77777777" w:rsidR="00EB0137" w:rsidRPr="006F3533" w:rsidRDefault="00EB0137" w:rsidP="002A3897">
            <w:r w:rsidRPr="006F3533">
              <w:rPr>
                <w:rStyle w:val="Strong"/>
              </w:rPr>
              <w:t>Изменения в подзаконовите актове за енергийните характеристики на сградите</w:t>
            </w:r>
          </w:p>
        </w:tc>
        <w:tc>
          <w:tcPr>
            <w:tcW w:w="0" w:type="auto"/>
            <w:hideMark/>
          </w:tcPr>
          <w:p w14:paraId="1A0D7F2D" w14:textId="37D738D6"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 xml:space="preserve">Въвеждане на </w:t>
            </w:r>
            <w:r w:rsidRPr="006F3533">
              <w:rPr>
                <w:rStyle w:val="Strong"/>
              </w:rPr>
              <w:t>показател за количество съхранен въглерод</w:t>
            </w:r>
            <w:r w:rsidRPr="006F3533">
              <w:t xml:space="preserve"> и за общо количество емисии за целия жизнен цикъл в сертификата за енергийни характеристики; въвеждане на дигитален „паспорт на материалите“ като част от проектната документация </w:t>
            </w:r>
          </w:p>
        </w:tc>
        <w:tc>
          <w:tcPr>
            <w:tcW w:w="0" w:type="auto"/>
            <w:hideMark/>
          </w:tcPr>
          <w:p w14:paraId="12D4A623"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МЕ (водещ), АУЕР, МРРБ</w:t>
            </w:r>
          </w:p>
        </w:tc>
        <w:tc>
          <w:tcPr>
            <w:tcW w:w="0" w:type="auto"/>
            <w:hideMark/>
          </w:tcPr>
          <w:p w14:paraId="02F63674"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Q2–Q4 2026</w:t>
            </w:r>
          </w:p>
        </w:tc>
        <w:tc>
          <w:tcPr>
            <w:tcW w:w="0" w:type="auto"/>
            <w:hideMark/>
          </w:tcPr>
          <w:p w14:paraId="3A93BA49"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2027</w:t>
            </w:r>
          </w:p>
        </w:tc>
      </w:tr>
      <w:tr w:rsidR="00EB0137" w:rsidRPr="006F3533" w14:paraId="32DA4F90"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EC52133" w14:textId="77777777" w:rsidR="00EB0137" w:rsidRPr="006F3533" w:rsidRDefault="00EB0137" w:rsidP="002A3897">
            <w:r w:rsidRPr="006F3533">
              <w:rPr>
                <w:rStyle w:val="Strong"/>
              </w:rPr>
              <w:lastRenderedPageBreak/>
              <w:t xml:space="preserve">Методически указания за прилагане на </w:t>
            </w:r>
            <w:proofErr w:type="spellStart"/>
            <w:r w:rsidRPr="006F3533">
              <w:rPr>
                <w:rStyle w:val="Strong"/>
              </w:rPr>
              <w:t>Level</w:t>
            </w:r>
            <w:proofErr w:type="spellEnd"/>
            <w:r w:rsidRPr="006F3533">
              <w:rPr>
                <w:rStyle w:val="Strong"/>
              </w:rPr>
              <w:t>(s)</w:t>
            </w:r>
          </w:p>
        </w:tc>
        <w:tc>
          <w:tcPr>
            <w:tcW w:w="0" w:type="auto"/>
            <w:hideMark/>
          </w:tcPr>
          <w:p w14:paraId="7B978807"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Шаблони за изчисления, референтни стойности за проверка/потвърждение; изисквания за EPD и поддръжка на база данни</w:t>
            </w:r>
          </w:p>
        </w:tc>
        <w:tc>
          <w:tcPr>
            <w:tcW w:w="0" w:type="auto"/>
            <w:hideMark/>
          </w:tcPr>
          <w:p w14:paraId="7F4A60F6"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МРРБ, АУЕР, КИИП/КАБ</w:t>
            </w:r>
          </w:p>
        </w:tc>
        <w:tc>
          <w:tcPr>
            <w:tcW w:w="0" w:type="auto"/>
            <w:hideMark/>
          </w:tcPr>
          <w:p w14:paraId="6376B746"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Q1–Q3 2026</w:t>
            </w:r>
          </w:p>
        </w:tc>
        <w:tc>
          <w:tcPr>
            <w:tcW w:w="0" w:type="auto"/>
            <w:hideMark/>
          </w:tcPr>
          <w:p w14:paraId="5C61E6A6"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2026; ежегодно обновяване</w:t>
            </w:r>
          </w:p>
        </w:tc>
      </w:tr>
    </w:tbl>
    <w:p w14:paraId="7C2B184E" w14:textId="77777777" w:rsidR="00EB0137" w:rsidRPr="006F3533" w:rsidRDefault="00EB0137" w:rsidP="00EB0137">
      <w:pPr>
        <w:pStyle w:val="Heading3"/>
        <w:rPr>
          <w:rFonts w:ascii="Aptos" w:hAnsi="Aptos"/>
          <w:lang w:val="bg-BG"/>
        </w:rPr>
      </w:pPr>
      <w:bookmarkStart w:id="341" w:name="_Toc217888866"/>
      <w:r w:rsidRPr="006F3533">
        <w:rPr>
          <w:rFonts w:ascii="Aptos" w:hAnsi="Aptos"/>
          <w:lang w:val="bg-BG"/>
        </w:rPr>
        <w:t>Таблица 2. Кръгова икономика и управление на материални потоци(съгласувано с т. (g))</w:t>
      </w:r>
      <w:bookmarkEnd w:id="341"/>
    </w:p>
    <w:tbl>
      <w:tblPr>
        <w:tblStyle w:val="GridTable5Dark-Accent1"/>
        <w:tblW w:w="0" w:type="auto"/>
        <w:tblLook w:val="04A0" w:firstRow="1" w:lastRow="0" w:firstColumn="1" w:lastColumn="0" w:noHBand="0" w:noVBand="1"/>
      </w:tblPr>
      <w:tblGrid>
        <w:gridCol w:w="3094"/>
        <w:gridCol w:w="6000"/>
        <w:gridCol w:w="1932"/>
        <w:gridCol w:w="1495"/>
        <w:gridCol w:w="1473"/>
      </w:tblGrid>
      <w:tr w:rsidR="00EB0137" w:rsidRPr="006F3533" w14:paraId="68AB62D3" w14:textId="77777777" w:rsidTr="002A3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C50761A" w14:textId="77777777" w:rsidR="00EB0137" w:rsidRPr="006F3533" w:rsidRDefault="00EB0137" w:rsidP="002A3897">
            <w:pPr>
              <w:jc w:val="center"/>
            </w:pPr>
            <w:r w:rsidRPr="006F3533">
              <w:rPr>
                <w:b w:val="0"/>
                <w:bCs w:val="0"/>
              </w:rPr>
              <w:t>Мярка / документ</w:t>
            </w:r>
          </w:p>
        </w:tc>
        <w:tc>
          <w:tcPr>
            <w:tcW w:w="0" w:type="auto"/>
            <w:hideMark/>
          </w:tcPr>
          <w:p w14:paraId="55CF9065"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Ключово съдържание</w:t>
            </w:r>
          </w:p>
        </w:tc>
        <w:tc>
          <w:tcPr>
            <w:tcW w:w="0" w:type="auto"/>
            <w:hideMark/>
          </w:tcPr>
          <w:p w14:paraId="16E36170"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Отговорни органи</w:t>
            </w:r>
          </w:p>
        </w:tc>
        <w:tc>
          <w:tcPr>
            <w:tcW w:w="0" w:type="auto"/>
            <w:hideMark/>
          </w:tcPr>
          <w:p w14:paraId="2C1DCAFF"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Срок за проект</w:t>
            </w:r>
          </w:p>
        </w:tc>
        <w:tc>
          <w:tcPr>
            <w:tcW w:w="0" w:type="auto"/>
            <w:hideMark/>
          </w:tcPr>
          <w:p w14:paraId="0E017327"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Влизане в сила</w:t>
            </w:r>
          </w:p>
        </w:tc>
      </w:tr>
      <w:tr w:rsidR="00EB0137" w:rsidRPr="006F3533" w14:paraId="5CEF4BB8"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1FB39AF" w14:textId="77777777" w:rsidR="00EB0137" w:rsidRPr="006F3533" w:rsidRDefault="00EB0137" w:rsidP="002A3897">
            <w:pPr>
              <w:rPr>
                <w:b w:val="0"/>
                <w:bCs w:val="0"/>
              </w:rPr>
            </w:pPr>
            <w:r w:rsidRPr="006F3533">
              <w:rPr>
                <w:rStyle w:val="Strong"/>
              </w:rPr>
              <w:t>Актуализация на Наредбата за строителните отпадъци</w:t>
            </w:r>
          </w:p>
        </w:tc>
        <w:tc>
          <w:tcPr>
            <w:tcW w:w="0" w:type="auto"/>
            <w:hideMark/>
          </w:tcPr>
          <w:p w14:paraId="6DE099CE"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Задължителни предварителни одити и планове за селективно разрушаване; целеви нива за подготовка за повторна употреба/рециклиране ≥70%  общо тегло (по-строги за публични сгради от 2030 г.); дигитална декларация за материално оползотворяване и преработване</w:t>
            </w:r>
          </w:p>
        </w:tc>
        <w:tc>
          <w:tcPr>
            <w:tcW w:w="0" w:type="auto"/>
            <w:hideMark/>
          </w:tcPr>
          <w:p w14:paraId="5C796C9E"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МОСВ (водещ), МРРБ, ИАОС, НСОРБ</w:t>
            </w:r>
          </w:p>
        </w:tc>
        <w:tc>
          <w:tcPr>
            <w:tcW w:w="0" w:type="auto"/>
            <w:hideMark/>
          </w:tcPr>
          <w:p w14:paraId="3948E21C"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Q2–Q4 2026</w:t>
            </w:r>
          </w:p>
        </w:tc>
        <w:tc>
          <w:tcPr>
            <w:tcW w:w="0" w:type="auto"/>
            <w:hideMark/>
          </w:tcPr>
          <w:p w14:paraId="3C17178D"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2027</w:t>
            </w:r>
          </w:p>
        </w:tc>
      </w:tr>
      <w:tr w:rsidR="00EB0137" w:rsidRPr="006F3533" w14:paraId="523FDA7F" w14:textId="77777777" w:rsidTr="002A3897">
        <w:tc>
          <w:tcPr>
            <w:cnfStyle w:val="001000000000" w:firstRow="0" w:lastRow="0" w:firstColumn="1" w:lastColumn="0" w:oddVBand="0" w:evenVBand="0" w:oddHBand="0" w:evenHBand="0" w:firstRowFirstColumn="0" w:firstRowLastColumn="0" w:lastRowFirstColumn="0" w:lastRowLastColumn="0"/>
            <w:tcW w:w="0" w:type="auto"/>
            <w:hideMark/>
          </w:tcPr>
          <w:p w14:paraId="6338C754" w14:textId="77777777" w:rsidR="00EB0137" w:rsidRPr="006F3533" w:rsidRDefault="00EB0137" w:rsidP="002A3897">
            <w:r w:rsidRPr="006F3533">
              <w:rPr>
                <w:rStyle w:val="Strong"/>
              </w:rPr>
              <w:t xml:space="preserve">Стандарти и указания за повторна употреба и рециклирани </w:t>
            </w:r>
            <w:proofErr w:type="spellStart"/>
            <w:r w:rsidRPr="006F3533">
              <w:rPr>
                <w:rStyle w:val="Strong"/>
              </w:rPr>
              <w:t>интертни</w:t>
            </w:r>
            <w:proofErr w:type="spellEnd"/>
            <w:r w:rsidRPr="006F3533">
              <w:rPr>
                <w:rStyle w:val="Strong"/>
              </w:rPr>
              <w:t xml:space="preserve"> материали</w:t>
            </w:r>
          </w:p>
        </w:tc>
        <w:tc>
          <w:tcPr>
            <w:tcW w:w="0" w:type="auto"/>
            <w:hideMark/>
          </w:tcPr>
          <w:p w14:paraId="1443DA87"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Технически спецификации за повторна употреба на компоненти; контрол на качеството на рециклирани инертни материали; предложения за подходящи приложения</w:t>
            </w:r>
          </w:p>
        </w:tc>
        <w:tc>
          <w:tcPr>
            <w:tcW w:w="0" w:type="auto"/>
            <w:hideMark/>
          </w:tcPr>
          <w:p w14:paraId="0A232DEF"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МРРБ (водещ), МТС, МРРБ-Нормативен съвет</w:t>
            </w:r>
          </w:p>
        </w:tc>
        <w:tc>
          <w:tcPr>
            <w:tcW w:w="0" w:type="auto"/>
            <w:hideMark/>
          </w:tcPr>
          <w:p w14:paraId="02A5E8D8"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Q2–Q4 2026</w:t>
            </w:r>
          </w:p>
        </w:tc>
        <w:tc>
          <w:tcPr>
            <w:tcW w:w="0" w:type="auto"/>
            <w:hideMark/>
          </w:tcPr>
          <w:p w14:paraId="31E250BB"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2027</w:t>
            </w:r>
          </w:p>
        </w:tc>
      </w:tr>
      <w:tr w:rsidR="00EB0137" w:rsidRPr="006F3533" w14:paraId="485D62FE"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6AE0C54" w14:textId="77777777" w:rsidR="00EB0137" w:rsidRPr="006F3533" w:rsidRDefault="00EB0137" w:rsidP="002A3897">
            <w:pPr>
              <w:rPr>
                <w:highlight w:val="yellow"/>
              </w:rPr>
            </w:pPr>
            <w:r w:rsidRPr="006F3533">
              <w:rPr>
                <w:rStyle w:val="Strong"/>
              </w:rPr>
              <w:t>Регионални хъбове/материални депа</w:t>
            </w:r>
          </w:p>
        </w:tc>
        <w:tc>
          <w:tcPr>
            <w:tcW w:w="0" w:type="auto"/>
            <w:hideMark/>
          </w:tcPr>
          <w:p w14:paraId="0E1BFCB0" w14:textId="23C61A3E"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rPr>
                <w:highlight w:val="yellow"/>
              </w:rPr>
            </w:pPr>
            <w:r w:rsidRPr="006F3533">
              <w:t>Мрежа от регионални центрове (материални депа) за преработка и повторна употреба  на ОСР; сертифицирана станция за надробяване и сортиране по фракции ОСР</w:t>
            </w:r>
          </w:p>
        </w:tc>
        <w:tc>
          <w:tcPr>
            <w:tcW w:w="0" w:type="auto"/>
            <w:hideMark/>
          </w:tcPr>
          <w:p w14:paraId="62B99D50"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МОСВ, МРРБ, общини</w:t>
            </w:r>
          </w:p>
        </w:tc>
        <w:tc>
          <w:tcPr>
            <w:tcW w:w="0" w:type="auto"/>
            <w:hideMark/>
          </w:tcPr>
          <w:p w14:paraId="05D4FACE"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Q1 2026 – Q4 2027 (първи 6 региона)</w:t>
            </w:r>
          </w:p>
        </w:tc>
        <w:tc>
          <w:tcPr>
            <w:tcW w:w="0" w:type="auto"/>
            <w:hideMark/>
          </w:tcPr>
          <w:p w14:paraId="56A66429"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2027–2028 (поетапно)</w:t>
            </w:r>
          </w:p>
        </w:tc>
      </w:tr>
    </w:tbl>
    <w:p w14:paraId="41AB8BE8" w14:textId="77777777" w:rsidR="00EB0137" w:rsidRPr="006F3533" w:rsidRDefault="00EB0137" w:rsidP="00EB0137">
      <w:pPr>
        <w:pStyle w:val="Heading3"/>
        <w:rPr>
          <w:rFonts w:ascii="Aptos" w:hAnsi="Aptos"/>
          <w:lang w:val="bg-BG"/>
        </w:rPr>
      </w:pPr>
      <w:bookmarkStart w:id="342" w:name="_Toc217888867"/>
      <w:r w:rsidRPr="006F3533">
        <w:rPr>
          <w:rFonts w:ascii="Aptos" w:hAnsi="Aptos"/>
          <w:lang w:val="bg-BG"/>
        </w:rPr>
        <w:t>Таблица 3. Насърчаване на нисковъглеродни и естествени материали; улавяне и съхранение на въглеродни емисии</w:t>
      </w:r>
      <w:bookmarkEnd w:id="342"/>
    </w:p>
    <w:tbl>
      <w:tblPr>
        <w:tblStyle w:val="GridTable5Dark-Accent1"/>
        <w:tblW w:w="0" w:type="auto"/>
        <w:tblLook w:val="04A0" w:firstRow="1" w:lastRow="0" w:firstColumn="1" w:lastColumn="0" w:noHBand="0" w:noVBand="1"/>
      </w:tblPr>
      <w:tblGrid>
        <w:gridCol w:w="2671"/>
        <w:gridCol w:w="5814"/>
        <w:gridCol w:w="2166"/>
        <w:gridCol w:w="1797"/>
        <w:gridCol w:w="1546"/>
      </w:tblGrid>
      <w:tr w:rsidR="00EB0137" w:rsidRPr="006F3533" w14:paraId="21FC493D" w14:textId="77777777" w:rsidTr="002A3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2310C1" w14:textId="77777777" w:rsidR="00EB0137" w:rsidRPr="006F3533" w:rsidRDefault="00EB0137" w:rsidP="002A3897">
            <w:pPr>
              <w:jc w:val="center"/>
            </w:pPr>
            <w:r w:rsidRPr="006F3533">
              <w:rPr>
                <w:b w:val="0"/>
                <w:bCs w:val="0"/>
              </w:rPr>
              <w:t>Мярка / инструмент</w:t>
            </w:r>
          </w:p>
        </w:tc>
        <w:tc>
          <w:tcPr>
            <w:tcW w:w="0" w:type="auto"/>
            <w:hideMark/>
          </w:tcPr>
          <w:p w14:paraId="7546B545"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Ключово съдържание</w:t>
            </w:r>
          </w:p>
        </w:tc>
        <w:tc>
          <w:tcPr>
            <w:tcW w:w="0" w:type="auto"/>
            <w:hideMark/>
          </w:tcPr>
          <w:p w14:paraId="34A50D55"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Отговорни органи</w:t>
            </w:r>
          </w:p>
        </w:tc>
        <w:tc>
          <w:tcPr>
            <w:tcW w:w="0" w:type="auto"/>
            <w:hideMark/>
          </w:tcPr>
          <w:p w14:paraId="3AFD33B2"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Срок за проект</w:t>
            </w:r>
          </w:p>
        </w:tc>
        <w:tc>
          <w:tcPr>
            <w:tcW w:w="0" w:type="auto"/>
            <w:hideMark/>
          </w:tcPr>
          <w:p w14:paraId="1EB507E3"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Стартиране</w:t>
            </w:r>
          </w:p>
        </w:tc>
      </w:tr>
      <w:tr w:rsidR="00EB0137" w:rsidRPr="006F3533" w14:paraId="29DD6EE8"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6925E5B" w14:textId="77777777" w:rsidR="00EB0137" w:rsidRPr="006F3533" w:rsidRDefault="00EB0137" w:rsidP="002A3897">
            <w:pPr>
              <w:rPr>
                <w:b w:val="0"/>
                <w:bCs w:val="0"/>
              </w:rPr>
            </w:pPr>
            <w:r w:rsidRPr="006F3533">
              <w:rPr>
                <w:rStyle w:val="Strong"/>
              </w:rPr>
              <w:t>Критерии в обществените поръчки</w:t>
            </w:r>
          </w:p>
        </w:tc>
        <w:tc>
          <w:tcPr>
            <w:tcW w:w="0" w:type="auto"/>
            <w:hideMark/>
          </w:tcPr>
          <w:p w14:paraId="183AC7EA"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 xml:space="preserve">Изисквания за минимален дял съдържание на рециклирани и естествени материали; включване на показатели за ползи от спестени въглеродни емисии </w:t>
            </w:r>
            <w:r w:rsidRPr="006F3533">
              <w:lastRenderedPageBreak/>
              <w:t xml:space="preserve">(вкл. </w:t>
            </w:r>
            <w:r w:rsidRPr="006F3533">
              <w:rPr>
                <w:rStyle w:val="Strong"/>
              </w:rPr>
              <w:t>съхранен въглерод</w:t>
            </w:r>
            <w:r w:rsidRPr="006F3533">
              <w:t>) при оценка на оферти за обществени поръчки</w:t>
            </w:r>
          </w:p>
        </w:tc>
        <w:tc>
          <w:tcPr>
            <w:tcW w:w="0" w:type="auto"/>
            <w:hideMark/>
          </w:tcPr>
          <w:p w14:paraId="22142357"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lastRenderedPageBreak/>
              <w:t>АОП (водещ), МРРБ, МОСВ</w:t>
            </w:r>
          </w:p>
        </w:tc>
        <w:tc>
          <w:tcPr>
            <w:tcW w:w="0" w:type="auto"/>
            <w:hideMark/>
          </w:tcPr>
          <w:p w14:paraId="799C9772"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Q1–Q3 2026</w:t>
            </w:r>
          </w:p>
        </w:tc>
        <w:tc>
          <w:tcPr>
            <w:tcW w:w="0" w:type="auto"/>
            <w:hideMark/>
          </w:tcPr>
          <w:p w14:paraId="076ADE43"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2026–2027</w:t>
            </w:r>
          </w:p>
        </w:tc>
      </w:tr>
      <w:tr w:rsidR="00EB0137" w:rsidRPr="006F3533" w14:paraId="331FAE84" w14:textId="77777777" w:rsidTr="002A3897">
        <w:tc>
          <w:tcPr>
            <w:cnfStyle w:val="001000000000" w:firstRow="0" w:lastRow="0" w:firstColumn="1" w:lastColumn="0" w:oddVBand="0" w:evenVBand="0" w:oddHBand="0" w:evenHBand="0" w:firstRowFirstColumn="0" w:firstRowLastColumn="0" w:lastRowFirstColumn="0" w:lastRowLastColumn="0"/>
            <w:tcW w:w="0" w:type="auto"/>
            <w:hideMark/>
          </w:tcPr>
          <w:p w14:paraId="2EF48775" w14:textId="77777777" w:rsidR="00EB0137" w:rsidRPr="006F3533" w:rsidRDefault="00EB0137" w:rsidP="002A3897">
            <w:r w:rsidRPr="006F3533">
              <w:rPr>
                <w:rStyle w:val="Strong"/>
              </w:rPr>
              <w:t>Пилотна програма „Съхранение на въглеродни емисии в сградите“</w:t>
            </w:r>
          </w:p>
        </w:tc>
        <w:tc>
          <w:tcPr>
            <w:tcW w:w="0" w:type="auto"/>
            <w:hideMark/>
          </w:tcPr>
          <w:p w14:paraId="75FD70C9"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proofErr w:type="spellStart"/>
            <w:r w:rsidRPr="006F3533">
              <w:t>Грантови</w:t>
            </w:r>
            <w:proofErr w:type="spellEnd"/>
            <w:r w:rsidRPr="006F3533">
              <w:t>/бонус механизми за проекти с доказана способност за съхранение на въглерод (примерно, чрез употреба на естествени материали- дървесина, коноп, слама и др.); подготовка за сертифициране по CRCF</w:t>
            </w:r>
          </w:p>
        </w:tc>
        <w:tc>
          <w:tcPr>
            <w:tcW w:w="0" w:type="auto"/>
            <w:hideMark/>
          </w:tcPr>
          <w:p w14:paraId="16DCD4B2"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МЕ (водещ), МОСВ, НФД</w:t>
            </w:r>
          </w:p>
        </w:tc>
        <w:tc>
          <w:tcPr>
            <w:tcW w:w="0" w:type="auto"/>
            <w:hideMark/>
          </w:tcPr>
          <w:p w14:paraId="30D865F0"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Проектиране Q2–Q4 2026</w:t>
            </w:r>
          </w:p>
        </w:tc>
        <w:tc>
          <w:tcPr>
            <w:tcW w:w="0" w:type="auto"/>
            <w:hideMark/>
          </w:tcPr>
          <w:p w14:paraId="78CB87A5"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2027–2029 (пилоти)</w:t>
            </w:r>
          </w:p>
        </w:tc>
      </w:tr>
      <w:tr w:rsidR="00EB0137" w:rsidRPr="006F3533" w14:paraId="7845ACDC"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176D53E" w14:textId="77777777" w:rsidR="00EB0137" w:rsidRPr="006F3533" w:rsidRDefault="00EB0137" w:rsidP="002A3897">
            <w:r w:rsidRPr="006F3533">
              <w:rPr>
                <w:rStyle w:val="Strong"/>
              </w:rPr>
              <w:t>Ръководство за екологични решения</w:t>
            </w:r>
          </w:p>
        </w:tc>
        <w:tc>
          <w:tcPr>
            <w:tcW w:w="0" w:type="auto"/>
            <w:hideMark/>
          </w:tcPr>
          <w:p w14:paraId="26DF9CD1"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Технически детайли и пожарна безопасност, , акустични решения, издръжливост и поддръжка на материали и компоненти; примери за конструктивни системи, съобразени с принципите на кръговата икономика</w:t>
            </w:r>
          </w:p>
        </w:tc>
        <w:tc>
          <w:tcPr>
            <w:tcW w:w="0" w:type="auto"/>
            <w:hideMark/>
          </w:tcPr>
          <w:p w14:paraId="6B8FC9FA"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МРРБ (водещ), ГДПБЗН-МВР, университети</w:t>
            </w:r>
          </w:p>
        </w:tc>
        <w:tc>
          <w:tcPr>
            <w:tcW w:w="0" w:type="auto"/>
            <w:hideMark/>
          </w:tcPr>
          <w:p w14:paraId="064463AD"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Q1–Q4 2026</w:t>
            </w:r>
          </w:p>
        </w:tc>
        <w:tc>
          <w:tcPr>
            <w:tcW w:w="0" w:type="auto"/>
            <w:hideMark/>
          </w:tcPr>
          <w:p w14:paraId="08B08E09"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2027</w:t>
            </w:r>
          </w:p>
        </w:tc>
      </w:tr>
    </w:tbl>
    <w:p w14:paraId="2405599A" w14:textId="77777777" w:rsidR="00EB0137" w:rsidRPr="006F3533" w:rsidRDefault="00EB0137" w:rsidP="00EB0137">
      <w:pPr>
        <w:pStyle w:val="Heading3"/>
        <w:rPr>
          <w:rFonts w:ascii="Aptos" w:hAnsi="Aptos"/>
          <w:lang w:val="bg-BG"/>
        </w:rPr>
      </w:pPr>
      <w:bookmarkStart w:id="343" w:name="_Toc217888868"/>
      <w:r w:rsidRPr="006F3533">
        <w:rPr>
          <w:rFonts w:ascii="Aptos" w:hAnsi="Aptos"/>
          <w:lang w:val="bg-BG"/>
        </w:rPr>
        <w:t>Таблица 4. Данни, проследимост и контрол</w:t>
      </w:r>
      <w:bookmarkEnd w:id="343"/>
    </w:p>
    <w:tbl>
      <w:tblPr>
        <w:tblStyle w:val="GridTable5Dark-Accent1"/>
        <w:tblW w:w="0" w:type="auto"/>
        <w:tblLook w:val="04A0" w:firstRow="1" w:lastRow="0" w:firstColumn="1" w:lastColumn="0" w:noHBand="0" w:noVBand="1"/>
      </w:tblPr>
      <w:tblGrid>
        <w:gridCol w:w="3654"/>
        <w:gridCol w:w="5604"/>
        <w:gridCol w:w="1885"/>
        <w:gridCol w:w="1268"/>
        <w:gridCol w:w="1583"/>
      </w:tblGrid>
      <w:tr w:rsidR="00EB0137" w:rsidRPr="006F3533" w14:paraId="7750557D" w14:textId="77777777" w:rsidTr="002A3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C4B2F26" w14:textId="77777777" w:rsidR="00EB0137" w:rsidRPr="006F3533" w:rsidRDefault="00EB0137" w:rsidP="002A3897">
            <w:pPr>
              <w:jc w:val="center"/>
            </w:pPr>
            <w:r w:rsidRPr="006F3533">
              <w:rPr>
                <w:b w:val="0"/>
                <w:bCs w:val="0"/>
              </w:rPr>
              <w:t>Мярка / система</w:t>
            </w:r>
          </w:p>
        </w:tc>
        <w:tc>
          <w:tcPr>
            <w:tcW w:w="0" w:type="auto"/>
            <w:hideMark/>
          </w:tcPr>
          <w:p w14:paraId="6B5CCC93"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Ключово съдържание</w:t>
            </w:r>
          </w:p>
        </w:tc>
        <w:tc>
          <w:tcPr>
            <w:tcW w:w="0" w:type="auto"/>
            <w:hideMark/>
          </w:tcPr>
          <w:p w14:paraId="62210256"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Отговорни органи</w:t>
            </w:r>
          </w:p>
        </w:tc>
        <w:tc>
          <w:tcPr>
            <w:tcW w:w="0" w:type="auto"/>
            <w:hideMark/>
          </w:tcPr>
          <w:p w14:paraId="27637C7A"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Срок</w:t>
            </w:r>
          </w:p>
        </w:tc>
        <w:tc>
          <w:tcPr>
            <w:tcW w:w="0" w:type="auto"/>
            <w:hideMark/>
          </w:tcPr>
          <w:p w14:paraId="2EAB28FE"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Стартиране</w:t>
            </w:r>
          </w:p>
        </w:tc>
      </w:tr>
      <w:tr w:rsidR="00EB0137" w:rsidRPr="006F3533" w14:paraId="6B801911"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FEC859C" w14:textId="77777777" w:rsidR="00EB0137" w:rsidRPr="006F3533" w:rsidRDefault="00EB0137" w:rsidP="002A3897">
            <w:pPr>
              <w:rPr>
                <w:b w:val="0"/>
                <w:bCs w:val="0"/>
              </w:rPr>
            </w:pPr>
            <w:r w:rsidRPr="006F3533">
              <w:rPr>
                <w:rStyle w:val="Strong"/>
              </w:rPr>
              <w:t>Национален регистър на общия въглероден отпечатък на сградите</w:t>
            </w:r>
          </w:p>
        </w:tc>
        <w:tc>
          <w:tcPr>
            <w:tcW w:w="0" w:type="auto"/>
            <w:hideMark/>
          </w:tcPr>
          <w:p w14:paraId="0FCE8C6A"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Интеграция с регистъра на енергийните сертификати и цифровия строителен регистър; проектни и „</w:t>
            </w:r>
            <w:proofErr w:type="spellStart"/>
            <w:r w:rsidRPr="006F3533">
              <w:t>as-built</w:t>
            </w:r>
            <w:proofErr w:type="spellEnd"/>
            <w:r w:rsidRPr="006F3533">
              <w:t>“ стойности; индикатори за обществени проекти</w:t>
            </w:r>
          </w:p>
        </w:tc>
        <w:tc>
          <w:tcPr>
            <w:tcW w:w="0" w:type="auto"/>
            <w:hideMark/>
          </w:tcPr>
          <w:p w14:paraId="01ED70B7"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АУЕР (водещ), МРРБ, МОСВ, НСИ</w:t>
            </w:r>
          </w:p>
        </w:tc>
        <w:tc>
          <w:tcPr>
            <w:tcW w:w="0" w:type="auto"/>
            <w:hideMark/>
          </w:tcPr>
          <w:p w14:paraId="0D09C46C"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Q1–Q4 2026</w:t>
            </w:r>
          </w:p>
        </w:tc>
        <w:tc>
          <w:tcPr>
            <w:tcW w:w="0" w:type="auto"/>
            <w:hideMark/>
          </w:tcPr>
          <w:p w14:paraId="4AC10F98"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2027 (първа версия)</w:t>
            </w:r>
          </w:p>
        </w:tc>
      </w:tr>
      <w:tr w:rsidR="00EB0137" w:rsidRPr="006F3533" w14:paraId="0DF25E52" w14:textId="77777777" w:rsidTr="002A3897">
        <w:tc>
          <w:tcPr>
            <w:cnfStyle w:val="001000000000" w:firstRow="0" w:lastRow="0" w:firstColumn="1" w:lastColumn="0" w:oddVBand="0" w:evenVBand="0" w:oddHBand="0" w:evenHBand="0" w:firstRowFirstColumn="0" w:firstRowLastColumn="0" w:lastRowFirstColumn="0" w:lastRowLastColumn="0"/>
            <w:tcW w:w="0" w:type="auto"/>
            <w:hideMark/>
          </w:tcPr>
          <w:p w14:paraId="2C4E9072" w14:textId="77777777" w:rsidR="00EB0137" w:rsidRPr="006F3533" w:rsidRDefault="00EB0137" w:rsidP="002A3897">
            <w:r w:rsidRPr="006F3533">
              <w:rPr>
                <w:rStyle w:val="Strong"/>
              </w:rPr>
              <w:t>Система за проверка</w:t>
            </w:r>
          </w:p>
        </w:tc>
        <w:tc>
          <w:tcPr>
            <w:tcW w:w="0" w:type="auto"/>
            <w:hideMark/>
          </w:tcPr>
          <w:p w14:paraId="5D083536"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Изисквания за независима проверка на изчисленията на жизнения цикъл; необходимост от акредитация на проверяващи</w:t>
            </w:r>
          </w:p>
        </w:tc>
        <w:tc>
          <w:tcPr>
            <w:tcW w:w="0" w:type="auto"/>
            <w:hideMark/>
          </w:tcPr>
          <w:p w14:paraId="1EEE439E"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МРРБ, БСА/ИАСУО</w:t>
            </w:r>
          </w:p>
        </w:tc>
        <w:tc>
          <w:tcPr>
            <w:tcW w:w="0" w:type="auto"/>
            <w:hideMark/>
          </w:tcPr>
          <w:p w14:paraId="35A4C690"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Q2–Q4 2026</w:t>
            </w:r>
          </w:p>
        </w:tc>
        <w:tc>
          <w:tcPr>
            <w:tcW w:w="0" w:type="auto"/>
            <w:hideMark/>
          </w:tcPr>
          <w:p w14:paraId="0D6244B4"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2027</w:t>
            </w:r>
          </w:p>
        </w:tc>
      </w:tr>
      <w:tr w:rsidR="00EB0137" w:rsidRPr="006F3533" w14:paraId="59C758AC"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193AB8" w14:textId="77777777" w:rsidR="00EB0137" w:rsidRPr="006F3533" w:rsidRDefault="00EB0137" w:rsidP="002A3897">
            <w:r w:rsidRPr="006F3533">
              <w:rPr>
                <w:rStyle w:val="Strong"/>
              </w:rPr>
              <w:t>Годишен доклад за общото количество емисии от парникови газове за целия жизнен цикъл в сградния фонд</w:t>
            </w:r>
          </w:p>
        </w:tc>
        <w:tc>
          <w:tcPr>
            <w:tcW w:w="0" w:type="auto"/>
            <w:hideMark/>
          </w:tcPr>
          <w:p w14:paraId="30EE70E6"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Средни стойности по типове сгради, прилагане на ограничителни стойности, ефект от повторна употреба/рециклиране и съхранение на въглеродни емисии</w:t>
            </w:r>
          </w:p>
        </w:tc>
        <w:tc>
          <w:tcPr>
            <w:tcW w:w="0" w:type="auto"/>
            <w:hideMark/>
          </w:tcPr>
          <w:p w14:paraId="466DE90B"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АУЕР (водещ), МОСВ</w:t>
            </w:r>
          </w:p>
        </w:tc>
        <w:tc>
          <w:tcPr>
            <w:tcW w:w="0" w:type="auto"/>
            <w:hideMark/>
          </w:tcPr>
          <w:p w14:paraId="01921B66"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ежегодно</w:t>
            </w:r>
          </w:p>
        </w:tc>
        <w:tc>
          <w:tcPr>
            <w:tcW w:w="0" w:type="auto"/>
            <w:hideMark/>
          </w:tcPr>
          <w:p w14:paraId="5D31C7B5"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от 2028 г.</w:t>
            </w:r>
          </w:p>
        </w:tc>
      </w:tr>
    </w:tbl>
    <w:p w14:paraId="4FA1B5B2" w14:textId="77777777" w:rsidR="00EB0137" w:rsidRPr="006F3533" w:rsidRDefault="00EB0137" w:rsidP="00EB0137">
      <w:pPr>
        <w:pStyle w:val="Heading3"/>
        <w:rPr>
          <w:rFonts w:ascii="Aptos" w:hAnsi="Aptos"/>
          <w:lang w:val="bg-BG"/>
        </w:rPr>
      </w:pPr>
      <w:bookmarkStart w:id="344" w:name="_Toc217888869"/>
      <w:r w:rsidRPr="006F3533">
        <w:rPr>
          <w:rFonts w:ascii="Aptos" w:hAnsi="Aptos"/>
          <w:lang w:val="bg-BG"/>
        </w:rPr>
        <w:t>Таблица 5. Програми и финансиране (синхронизация с НФД и програмите за обновяване)</w:t>
      </w:r>
      <w:bookmarkEnd w:id="344"/>
    </w:p>
    <w:tbl>
      <w:tblPr>
        <w:tblStyle w:val="GridTable5Dark-Accent1"/>
        <w:tblW w:w="0" w:type="auto"/>
        <w:tblLook w:val="04A0" w:firstRow="1" w:lastRow="0" w:firstColumn="1" w:lastColumn="0" w:noHBand="0" w:noVBand="1"/>
      </w:tblPr>
      <w:tblGrid>
        <w:gridCol w:w="2815"/>
        <w:gridCol w:w="6551"/>
        <w:gridCol w:w="2056"/>
        <w:gridCol w:w="1471"/>
        <w:gridCol w:w="1101"/>
      </w:tblGrid>
      <w:tr w:rsidR="00EB0137" w:rsidRPr="006F3533" w14:paraId="7D4394E5" w14:textId="77777777" w:rsidTr="002A3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9C44722" w14:textId="77777777" w:rsidR="00EB0137" w:rsidRPr="006F3533" w:rsidRDefault="00EB0137" w:rsidP="002A3897">
            <w:pPr>
              <w:jc w:val="center"/>
            </w:pPr>
            <w:r w:rsidRPr="006F3533">
              <w:rPr>
                <w:b w:val="0"/>
                <w:bCs w:val="0"/>
              </w:rPr>
              <w:lastRenderedPageBreak/>
              <w:t>Програма / линия</w:t>
            </w:r>
          </w:p>
        </w:tc>
        <w:tc>
          <w:tcPr>
            <w:tcW w:w="0" w:type="auto"/>
            <w:hideMark/>
          </w:tcPr>
          <w:p w14:paraId="49E9922E"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Фокус</w:t>
            </w:r>
          </w:p>
        </w:tc>
        <w:tc>
          <w:tcPr>
            <w:tcW w:w="0" w:type="auto"/>
            <w:hideMark/>
          </w:tcPr>
          <w:p w14:paraId="2099DCB5"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Бюджет / източник</w:t>
            </w:r>
          </w:p>
        </w:tc>
        <w:tc>
          <w:tcPr>
            <w:tcW w:w="0" w:type="auto"/>
            <w:hideMark/>
          </w:tcPr>
          <w:p w14:paraId="49B4D81B"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Отговорни</w:t>
            </w:r>
          </w:p>
        </w:tc>
        <w:tc>
          <w:tcPr>
            <w:tcW w:w="0" w:type="auto"/>
            <w:hideMark/>
          </w:tcPr>
          <w:p w14:paraId="39D3612C"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Период</w:t>
            </w:r>
          </w:p>
        </w:tc>
      </w:tr>
      <w:tr w:rsidR="00EB0137" w:rsidRPr="006F3533" w14:paraId="030DD56A"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B41313" w14:textId="77777777" w:rsidR="00EB0137" w:rsidRPr="006F3533" w:rsidRDefault="00EB0137" w:rsidP="002A3897">
            <w:pPr>
              <w:rPr>
                <w:b w:val="0"/>
                <w:bCs w:val="0"/>
              </w:rPr>
            </w:pPr>
            <w:r w:rsidRPr="006F3533">
              <w:rPr>
                <w:rStyle w:val="Strong"/>
              </w:rPr>
              <w:t>НФД – „Нисковъглеродно обновяване“</w:t>
            </w:r>
          </w:p>
        </w:tc>
        <w:tc>
          <w:tcPr>
            <w:tcW w:w="0" w:type="auto"/>
            <w:hideMark/>
          </w:tcPr>
          <w:p w14:paraId="2B4C7960"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 xml:space="preserve">Допълнителен бонус при доказано намаление на въглеродните емисии през целия жизнен цикъл ≥Х% и/или ≥Y </w:t>
            </w:r>
            <w:proofErr w:type="spellStart"/>
            <w:r w:rsidRPr="006F3533">
              <w:t>kg</w:t>
            </w:r>
            <w:proofErr w:type="spellEnd"/>
            <w:r w:rsidRPr="006F3533">
              <w:t xml:space="preserve"> </w:t>
            </w:r>
            <w:proofErr w:type="spellStart"/>
            <w:r w:rsidRPr="006F3533">
              <w:t>CO₂eq</w:t>
            </w:r>
            <w:proofErr w:type="spellEnd"/>
            <w:r w:rsidRPr="006F3533">
              <w:t xml:space="preserve"> съхранен въглерод</w:t>
            </w:r>
          </w:p>
        </w:tc>
        <w:tc>
          <w:tcPr>
            <w:tcW w:w="0" w:type="auto"/>
            <w:hideMark/>
          </w:tcPr>
          <w:p w14:paraId="2FD91791"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НФД, ОП/ПРО, общински средства</w:t>
            </w:r>
          </w:p>
        </w:tc>
        <w:tc>
          <w:tcPr>
            <w:tcW w:w="0" w:type="auto"/>
            <w:hideMark/>
          </w:tcPr>
          <w:p w14:paraId="3669D84A"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МЕ, НФД, МРРБ</w:t>
            </w:r>
          </w:p>
        </w:tc>
        <w:tc>
          <w:tcPr>
            <w:tcW w:w="0" w:type="auto"/>
            <w:hideMark/>
          </w:tcPr>
          <w:p w14:paraId="159B54B8"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2026–2030</w:t>
            </w:r>
          </w:p>
        </w:tc>
      </w:tr>
      <w:tr w:rsidR="00EB0137" w:rsidRPr="006F3533" w14:paraId="3DABAF5D" w14:textId="77777777" w:rsidTr="002A3897">
        <w:tc>
          <w:tcPr>
            <w:cnfStyle w:val="001000000000" w:firstRow="0" w:lastRow="0" w:firstColumn="1" w:lastColumn="0" w:oddVBand="0" w:evenVBand="0" w:oddHBand="0" w:evenHBand="0" w:firstRowFirstColumn="0" w:firstRowLastColumn="0" w:lastRowFirstColumn="0" w:lastRowLastColumn="0"/>
            <w:tcW w:w="0" w:type="auto"/>
            <w:hideMark/>
          </w:tcPr>
          <w:p w14:paraId="44C0EA52" w14:textId="77777777" w:rsidR="00EB0137" w:rsidRPr="006F3533" w:rsidRDefault="00EB0137" w:rsidP="002A3897">
            <w:r w:rsidRPr="006F3533">
              <w:rPr>
                <w:rStyle w:val="Strong"/>
              </w:rPr>
              <w:t>Модели за кръгова икономика</w:t>
            </w:r>
          </w:p>
        </w:tc>
        <w:tc>
          <w:tcPr>
            <w:tcW w:w="0" w:type="auto"/>
            <w:hideMark/>
          </w:tcPr>
          <w:p w14:paraId="37EA2914"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Финансиране и стимулиране на селективно разрушаване, провеждане на одити, сортиране по фракции; задължителни изисквания за контрол и мониторинг</w:t>
            </w:r>
          </w:p>
        </w:tc>
        <w:tc>
          <w:tcPr>
            <w:tcW w:w="0" w:type="auto"/>
            <w:hideMark/>
          </w:tcPr>
          <w:p w14:paraId="2D36B437"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ПРО/ПОС, общински</w:t>
            </w:r>
          </w:p>
        </w:tc>
        <w:tc>
          <w:tcPr>
            <w:tcW w:w="0" w:type="auto"/>
            <w:hideMark/>
          </w:tcPr>
          <w:p w14:paraId="26AC748E"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МОСВ, МРРБ</w:t>
            </w:r>
          </w:p>
        </w:tc>
        <w:tc>
          <w:tcPr>
            <w:tcW w:w="0" w:type="auto"/>
            <w:hideMark/>
          </w:tcPr>
          <w:p w14:paraId="41002581"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2026–2030</w:t>
            </w:r>
          </w:p>
        </w:tc>
      </w:tr>
      <w:tr w:rsidR="00EB0137" w:rsidRPr="006F3533" w14:paraId="0E656184"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E735308" w14:textId="77777777" w:rsidR="00EB0137" w:rsidRPr="006F3533" w:rsidRDefault="00EB0137" w:rsidP="002A3897">
            <w:r w:rsidRPr="006F3533">
              <w:rPr>
                <w:rStyle w:val="Strong"/>
              </w:rPr>
              <w:t>„Регионални материални депа“</w:t>
            </w:r>
          </w:p>
        </w:tc>
        <w:tc>
          <w:tcPr>
            <w:tcW w:w="0" w:type="auto"/>
            <w:hideMark/>
          </w:tcPr>
          <w:p w14:paraId="2945485A"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Инфраструктура и стартиращ капацитет (оператор + лаборатория)</w:t>
            </w:r>
          </w:p>
        </w:tc>
        <w:tc>
          <w:tcPr>
            <w:tcW w:w="0" w:type="auto"/>
            <w:hideMark/>
          </w:tcPr>
          <w:p w14:paraId="61F574A4"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ПРО, общини, ПЧП</w:t>
            </w:r>
          </w:p>
        </w:tc>
        <w:tc>
          <w:tcPr>
            <w:tcW w:w="0" w:type="auto"/>
            <w:hideMark/>
          </w:tcPr>
          <w:p w14:paraId="2088B084"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МОСВ, общини</w:t>
            </w:r>
          </w:p>
        </w:tc>
        <w:tc>
          <w:tcPr>
            <w:tcW w:w="0" w:type="auto"/>
            <w:hideMark/>
          </w:tcPr>
          <w:p w14:paraId="36E871E0"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2026–2029</w:t>
            </w:r>
          </w:p>
        </w:tc>
      </w:tr>
    </w:tbl>
    <w:p w14:paraId="625AAED6" w14:textId="77777777" w:rsidR="00EB0137" w:rsidRPr="006F3533" w:rsidRDefault="00EB0137" w:rsidP="00EB0137">
      <w:pPr>
        <w:pStyle w:val="Heading3"/>
        <w:rPr>
          <w:rFonts w:ascii="Aptos" w:hAnsi="Aptos"/>
          <w:lang w:val="bg-BG"/>
        </w:rPr>
      </w:pPr>
      <w:bookmarkStart w:id="345" w:name="_Toc217888870"/>
      <w:r w:rsidRPr="006F3533">
        <w:rPr>
          <w:rFonts w:ascii="Aptos" w:hAnsi="Aptos"/>
          <w:lang w:val="bg-BG"/>
        </w:rPr>
        <w:t>Таблица 6. Капацитет и осведоменост</w:t>
      </w:r>
      <w:bookmarkEnd w:id="345"/>
    </w:p>
    <w:tbl>
      <w:tblPr>
        <w:tblStyle w:val="GridTable5Dark-Accent1"/>
        <w:tblW w:w="0" w:type="auto"/>
        <w:tblLook w:val="04A0" w:firstRow="1" w:lastRow="0" w:firstColumn="1" w:lastColumn="0" w:noHBand="0" w:noVBand="1"/>
      </w:tblPr>
      <w:tblGrid>
        <w:gridCol w:w="4002"/>
        <w:gridCol w:w="6221"/>
        <w:gridCol w:w="2186"/>
        <w:gridCol w:w="1585"/>
      </w:tblGrid>
      <w:tr w:rsidR="00EB0137" w:rsidRPr="006F3533" w14:paraId="206C06D2" w14:textId="77777777" w:rsidTr="002A3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F23630" w14:textId="77777777" w:rsidR="00EB0137" w:rsidRPr="006F3533" w:rsidRDefault="00EB0137" w:rsidP="002A3897">
            <w:pPr>
              <w:jc w:val="center"/>
            </w:pPr>
            <w:r w:rsidRPr="006F3533">
              <w:rPr>
                <w:b w:val="0"/>
                <w:bCs w:val="0"/>
              </w:rPr>
              <w:t>Дейност</w:t>
            </w:r>
          </w:p>
        </w:tc>
        <w:tc>
          <w:tcPr>
            <w:tcW w:w="0" w:type="auto"/>
            <w:hideMark/>
          </w:tcPr>
          <w:p w14:paraId="26159F3D"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Съдържание</w:t>
            </w:r>
          </w:p>
        </w:tc>
        <w:tc>
          <w:tcPr>
            <w:tcW w:w="0" w:type="auto"/>
            <w:hideMark/>
          </w:tcPr>
          <w:p w14:paraId="268AABCC"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Отговорни</w:t>
            </w:r>
          </w:p>
        </w:tc>
        <w:tc>
          <w:tcPr>
            <w:tcW w:w="0" w:type="auto"/>
            <w:hideMark/>
          </w:tcPr>
          <w:p w14:paraId="30ED7346" w14:textId="77777777" w:rsidR="00EB0137" w:rsidRPr="006F3533" w:rsidRDefault="00EB0137" w:rsidP="002A3897">
            <w:pPr>
              <w:jc w:val="center"/>
              <w:cnfStyle w:val="100000000000" w:firstRow="1" w:lastRow="0" w:firstColumn="0" w:lastColumn="0" w:oddVBand="0" w:evenVBand="0" w:oddHBand="0" w:evenHBand="0" w:firstRowFirstColumn="0" w:firstRowLastColumn="0" w:lastRowFirstColumn="0" w:lastRowLastColumn="0"/>
              <w:rPr>
                <w:b w:val="0"/>
                <w:bCs w:val="0"/>
              </w:rPr>
            </w:pPr>
            <w:r w:rsidRPr="006F3533">
              <w:rPr>
                <w:b w:val="0"/>
                <w:bCs w:val="0"/>
              </w:rPr>
              <w:t>Срок</w:t>
            </w:r>
          </w:p>
        </w:tc>
      </w:tr>
      <w:tr w:rsidR="00EB0137" w:rsidRPr="006F3533" w14:paraId="5A8CD92B"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4E5737" w14:textId="77777777" w:rsidR="00EB0137" w:rsidRPr="006F3533" w:rsidRDefault="00EB0137" w:rsidP="002A3897">
            <w:pPr>
              <w:rPr>
                <w:b w:val="0"/>
                <w:bCs w:val="0"/>
              </w:rPr>
            </w:pPr>
            <w:r w:rsidRPr="006F3533">
              <w:rPr>
                <w:rStyle w:val="Strong"/>
              </w:rPr>
              <w:t>Обучение за проектанти/надзор/инвеститори</w:t>
            </w:r>
          </w:p>
        </w:tc>
        <w:tc>
          <w:tcPr>
            <w:tcW w:w="0" w:type="auto"/>
            <w:hideMark/>
          </w:tcPr>
          <w:p w14:paraId="3774CA46"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 xml:space="preserve">Курсове за изчисляване екологичен отпечатък на жизнения цикъл, приложение на </w:t>
            </w:r>
            <w:proofErr w:type="spellStart"/>
            <w:r w:rsidRPr="006F3533">
              <w:t>Level</w:t>
            </w:r>
            <w:proofErr w:type="spellEnd"/>
            <w:r w:rsidRPr="006F3533">
              <w:t>(s), подбор на материали и EPD, планирано селективно разрушаване</w:t>
            </w:r>
          </w:p>
        </w:tc>
        <w:tc>
          <w:tcPr>
            <w:tcW w:w="0" w:type="auto"/>
            <w:hideMark/>
          </w:tcPr>
          <w:p w14:paraId="1680AB7C"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МРРБ, АУЕР, НАПОО, КАБ/КИИП</w:t>
            </w:r>
          </w:p>
        </w:tc>
        <w:tc>
          <w:tcPr>
            <w:tcW w:w="0" w:type="auto"/>
            <w:hideMark/>
          </w:tcPr>
          <w:p w14:paraId="613F7588"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2026–2028</w:t>
            </w:r>
          </w:p>
        </w:tc>
      </w:tr>
      <w:tr w:rsidR="00EB0137" w:rsidRPr="006F3533" w14:paraId="27E76137" w14:textId="77777777" w:rsidTr="002A3897">
        <w:tc>
          <w:tcPr>
            <w:cnfStyle w:val="001000000000" w:firstRow="0" w:lastRow="0" w:firstColumn="1" w:lastColumn="0" w:oddVBand="0" w:evenVBand="0" w:oddHBand="0" w:evenHBand="0" w:firstRowFirstColumn="0" w:firstRowLastColumn="0" w:lastRowFirstColumn="0" w:lastRowLastColumn="0"/>
            <w:tcW w:w="0" w:type="auto"/>
            <w:hideMark/>
          </w:tcPr>
          <w:p w14:paraId="68741CA3" w14:textId="77777777" w:rsidR="00EB0137" w:rsidRPr="006F3533" w:rsidRDefault="00EB0137" w:rsidP="002A3897">
            <w:r w:rsidRPr="006F3533">
              <w:rPr>
                <w:rStyle w:val="Strong"/>
              </w:rPr>
              <w:t>Кампания „Екологично строителство“</w:t>
            </w:r>
          </w:p>
        </w:tc>
        <w:tc>
          <w:tcPr>
            <w:tcW w:w="0" w:type="auto"/>
            <w:hideMark/>
          </w:tcPr>
          <w:p w14:paraId="497B8722" w14:textId="6A52918D"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Ползи от обновявания вместо ново строителство, стимулиране на повторна употреба, естествени и биологични решения</w:t>
            </w:r>
          </w:p>
        </w:tc>
        <w:tc>
          <w:tcPr>
            <w:tcW w:w="0" w:type="auto"/>
            <w:hideMark/>
          </w:tcPr>
          <w:p w14:paraId="22FC0F1A"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МЕ, МОСВ, МРРБ</w:t>
            </w:r>
          </w:p>
        </w:tc>
        <w:tc>
          <w:tcPr>
            <w:tcW w:w="0" w:type="auto"/>
            <w:hideMark/>
          </w:tcPr>
          <w:p w14:paraId="3ADC1390" w14:textId="77777777" w:rsidR="00EB0137" w:rsidRPr="006F3533" w:rsidRDefault="00EB0137" w:rsidP="002A3897">
            <w:pPr>
              <w:cnfStyle w:val="000000000000" w:firstRow="0" w:lastRow="0" w:firstColumn="0" w:lastColumn="0" w:oddVBand="0" w:evenVBand="0" w:oddHBand="0" w:evenHBand="0" w:firstRowFirstColumn="0" w:firstRowLastColumn="0" w:lastRowFirstColumn="0" w:lastRowLastColumn="0"/>
            </w:pPr>
            <w:r w:rsidRPr="006F3533">
              <w:t>старт 2026; ежегодно</w:t>
            </w:r>
          </w:p>
        </w:tc>
      </w:tr>
      <w:tr w:rsidR="00EB0137" w:rsidRPr="006F3533" w14:paraId="5D6D55FA" w14:textId="77777777" w:rsidTr="002A3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2895604" w14:textId="77777777" w:rsidR="00EB0137" w:rsidRPr="006F3533" w:rsidRDefault="00EB0137" w:rsidP="002A3897">
            <w:r w:rsidRPr="006F3533">
              <w:rPr>
                <w:rStyle w:val="Strong"/>
              </w:rPr>
              <w:t>Каталог с примери</w:t>
            </w:r>
          </w:p>
        </w:tc>
        <w:tc>
          <w:tcPr>
            <w:tcW w:w="0" w:type="auto"/>
            <w:hideMark/>
          </w:tcPr>
          <w:p w14:paraId="19B5CBE5"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Български и европейски добри практики; конструктивни детайли и технологични решения</w:t>
            </w:r>
          </w:p>
        </w:tc>
        <w:tc>
          <w:tcPr>
            <w:tcW w:w="0" w:type="auto"/>
            <w:hideMark/>
          </w:tcPr>
          <w:p w14:paraId="6E5BCE28"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МРРБ, университети</w:t>
            </w:r>
          </w:p>
        </w:tc>
        <w:tc>
          <w:tcPr>
            <w:tcW w:w="0" w:type="auto"/>
            <w:hideMark/>
          </w:tcPr>
          <w:p w14:paraId="5300B6B0" w14:textId="77777777" w:rsidR="00EB0137" w:rsidRPr="006F3533" w:rsidRDefault="00EB0137" w:rsidP="002A3897">
            <w:pPr>
              <w:cnfStyle w:val="000000100000" w:firstRow="0" w:lastRow="0" w:firstColumn="0" w:lastColumn="0" w:oddVBand="0" w:evenVBand="0" w:oddHBand="1" w:evenHBand="0" w:firstRowFirstColumn="0" w:firstRowLastColumn="0" w:lastRowFirstColumn="0" w:lastRowLastColumn="0"/>
            </w:pPr>
            <w:r w:rsidRPr="006F3533">
              <w:t>2026–2027</w:t>
            </w:r>
          </w:p>
        </w:tc>
      </w:tr>
    </w:tbl>
    <w:p w14:paraId="3EBC11FA" w14:textId="77777777" w:rsidR="00B572B1" w:rsidRPr="006F3533" w:rsidRDefault="00B572B1" w:rsidP="00077D42">
      <w:pPr>
        <w:tabs>
          <w:tab w:val="left" w:pos="4520"/>
        </w:tabs>
        <w:jc w:val="both"/>
        <w:rPr>
          <w:rFonts w:cs="Times New Roman"/>
          <w:szCs w:val="24"/>
          <w:lang w:val="bg-BG"/>
        </w:rPr>
        <w:sectPr w:rsidR="00B572B1" w:rsidRPr="006F3533" w:rsidSect="00B572B1">
          <w:pgSz w:w="16838" w:h="11906" w:orient="landscape"/>
          <w:pgMar w:top="1417" w:right="1417" w:bottom="1417" w:left="1417" w:header="708" w:footer="708" w:gutter="0"/>
          <w:cols w:space="708"/>
          <w:docGrid w:linePitch="360"/>
        </w:sectPr>
      </w:pPr>
      <w:r w:rsidRPr="006F3533">
        <w:rPr>
          <w:rFonts w:cs="Times New Roman"/>
          <w:szCs w:val="24"/>
          <w:lang w:val="bg-BG"/>
        </w:rPr>
        <w:tab/>
      </w:r>
    </w:p>
    <w:p w14:paraId="500A854D" w14:textId="77777777" w:rsidR="00B572B1" w:rsidRPr="006F3533" w:rsidRDefault="00B572B1" w:rsidP="00077D42">
      <w:pPr>
        <w:spacing w:after="0" w:line="240" w:lineRule="auto"/>
        <w:jc w:val="both"/>
        <w:rPr>
          <w:rFonts w:cs="Times New Roman"/>
          <w:szCs w:val="24"/>
          <w:lang w:val="bg-BG"/>
        </w:rPr>
      </w:pPr>
    </w:p>
    <w:p w14:paraId="1E3D0694" w14:textId="013242D5" w:rsidR="00B572B1" w:rsidRPr="006F3533" w:rsidRDefault="00B572B1" w:rsidP="00077D42">
      <w:pPr>
        <w:pStyle w:val="Heading2"/>
        <w:jc w:val="both"/>
        <w:rPr>
          <w:lang w:val="bg-BG"/>
        </w:rPr>
      </w:pPr>
      <w:bookmarkStart w:id="346" w:name="_Toc217888871"/>
      <w:r w:rsidRPr="006F3533">
        <w:rPr>
          <w:lang w:val="bg-BG"/>
        </w:rPr>
        <w:t>k) Насърчаване на интегрирани квартални и териториални подходи и програми за обновяване</w:t>
      </w:r>
      <w:bookmarkEnd w:id="346"/>
    </w:p>
    <w:p w14:paraId="263216F6" w14:textId="77777777" w:rsidR="00B572B1" w:rsidRPr="006F3533" w:rsidRDefault="00B572B1" w:rsidP="00077D42">
      <w:pPr>
        <w:pStyle w:val="Heading3"/>
        <w:jc w:val="both"/>
        <w:rPr>
          <w:rFonts w:ascii="Aptos" w:hAnsi="Aptos"/>
          <w:sz w:val="24"/>
          <w:szCs w:val="24"/>
          <w:lang w:val="bg-BG"/>
        </w:rPr>
      </w:pPr>
      <w:bookmarkStart w:id="347" w:name="_Toc216816171"/>
      <w:bookmarkStart w:id="348" w:name="_Toc216857862"/>
      <w:bookmarkStart w:id="349" w:name="_Toc217888872"/>
      <w:r w:rsidRPr="006F3533">
        <w:rPr>
          <w:rFonts w:ascii="Aptos" w:hAnsi="Aptos"/>
          <w:sz w:val="24"/>
          <w:szCs w:val="24"/>
          <w:lang w:val="bg-BG"/>
        </w:rPr>
        <w:t>1. Настояща ситуация</w:t>
      </w:r>
      <w:bookmarkEnd w:id="347"/>
      <w:bookmarkEnd w:id="348"/>
      <w:bookmarkEnd w:id="349"/>
    </w:p>
    <w:p w14:paraId="6AA7A1DF"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В България подходите за интегрирано обновяване на ниво квартал или територия все още са в начален етап, но отделни общини и енергийни агенции вече прилагат успешни пилотни инициативи. Пример за това са проектите </w:t>
      </w:r>
      <w:proofErr w:type="spellStart"/>
      <w:r w:rsidRPr="006F3533">
        <w:rPr>
          <w:rStyle w:val="Strong"/>
          <w:rFonts w:ascii="Aptos" w:hAnsi="Aptos"/>
          <w:lang w:val="bg-BG"/>
        </w:rPr>
        <w:t>NetZeroHero</w:t>
      </w:r>
      <w:proofErr w:type="spellEnd"/>
      <w:r w:rsidRPr="006F3533">
        <w:rPr>
          <w:rFonts w:ascii="Aptos" w:hAnsi="Aptos"/>
          <w:lang w:val="bg-BG"/>
        </w:rPr>
        <w:t xml:space="preserve"> в Габрово, </w:t>
      </w:r>
      <w:proofErr w:type="spellStart"/>
      <w:r w:rsidRPr="006F3533">
        <w:rPr>
          <w:rStyle w:val="Strong"/>
          <w:rFonts w:ascii="Aptos" w:hAnsi="Aptos"/>
          <w:lang w:val="bg-BG"/>
        </w:rPr>
        <w:t>ComActivate</w:t>
      </w:r>
      <w:proofErr w:type="spellEnd"/>
      <w:r w:rsidRPr="006F3533">
        <w:rPr>
          <w:rFonts w:ascii="Aptos" w:hAnsi="Aptos"/>
          <w:lang w:val="bg-BG"/>
        </w:rPr>
        <w:t xml:space="preserve"> в Бургас и </w:t>
      </w:r>
      <w:r w:rsidRPr="006F3533">
        <w:rPr>
          <w:rFonts w:ascii="Aptos" w:hAnsi="Aptos"/>
          <w:b/>
          <w:lang w:val="bg-BG"/>
        </w:rPr>
        <w:t>GINNGER</w:t>
      </w:r>
      <w:r w:rsidRPr="006F3533">
        <w:rPr>
          <w:rFonts w:ascii="Aptos" w:hAnsi="Aptos"/>
          <w:lang w:val="bg-BG"/>
        </w:rPr>
        <w:t xml:space="preserve"> в Пловдив, които комбинират енергийно моделиране, анализ на сградния фонд, интеграция на възобновяеми източници и ангажиране на гражданите. Тези опити доказват, че комплексното планиране на обновяването може да доведе до по-висока ефективност на инвестициите, по-добро използване на местните ресурси и положителен социален ефект.</w:t>
      </w:r>
    </w:p>
    <w:p w14:paraId="3BF9E54B"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Към момента липсва формална национална рамка за такива програми, но съществуват подходящи предпоставки – териториалните планове по </w:t>
      </w:r>
      <w:r w:rsidRPr="006F3533">
        <w:rPr>
          <w:rStyle w:val="Strong"/>
          <w:rFonts w:ascii="Aptos" w:hAnsi="Aptos"/>
          <w:lang w:val="bg-BG"/>
        </w:rPr>
        <w:t>Програма „Развитие на регионите 2021–2027“</w:t>
      </w:r>
      <w:r w:rsidRPr="006F3533">
        <w:rPr>
          <w:rFonts w:ascii="Aptos" w:hAnsi="Aptos"/>
          <w:lang w:val="bg-BG"/>
        </w:rPr>
        <w:t xml:space="preserve">, които предвиждат </w:t>
      </w:r>
      <w:r w:rsidRPr="006F3533">
        <w:rPr>
          <w:rStyle w:val="Strong"/>
          <w:rFonts w:ascii="Aptos" w:hAnsi="Aptos"/>
          <w:lang w:val="bg-BG"/>
        </w:rPr>
        <w:t>интегрирани териториални инвестиции (ИТИ)</w:t>
      </w:r>
      <w:r w:rsidRPr="006F3533">
        <w:rPr>
          <w:rFonts w:ascii="Aptos" w:hAnsi="Aptos"/>
          <w:lang w:val="bg-BG"/>
        </w:rPr>
        <w:t xml:space="preserve">, както и инструментите за подготовка и реализация на проекти чрез </w:t>
      </w:r>
      <w:r w:rsidRPr="006F3533">
        <w:rPr>
          <w:rStyle w:val="Strong"/>
          <w:rFonts w:ascii="Aptos" w:hAnsi="Aptos"/>
          <w:lang w:val="bg-BG"/>
        </w:rPr>
        <w:t>Центровете за комплексно обслужване (ЦКО)</w:t>
      </w:r>
      <w:r w:rsidRPr="006F3533">
        <w:rPr>
          <w:rFonts w:ascii="Aptos" w:hAnsi="Aptos"/>
          <w:lang w:val="bg-BG"/>
        </w:rPr>
        <w:t>.</w:t>
      </w:r>
    </w:p>
    <w:p w14:paraId="7CDE3CB1" w14:textId="77777777" w:rsidR="00B572B1" w:rsidRPr="006F3533" w:rsidRDefault="00B572B1" w:rsidP="00077D42">
      <w:pPr>
        <w:pStyle w:val="Heading3"/>
        <w:jc w:val="both"/>
        <w:rPr>
          <w:rFonts w:ascii="Aptos" w:hAnsi="Aptos"/>
          <w:sz w:val="24"/>
          <w:szCs w:val="24"/>
          <w:lang w:val="bg-BG"/>
        </w:rPr>
      </w:pPr>
      <w:bookmarkStart w:id="350" w:name="_Toc216816172"/>
      <w:bookmarkStart w:id="351" w:name="_Toc216857863"/>
      <w:bookmarkStart w:id="352" w:name="_Toc217888873"/>
      <w:r w:rsidRPr="006F3533">
        <w:rPr>
          <w:rFonts w:ascii="Aptos" w:hAnsi="Aptos"/>
          <w:sz w:val="24"/>
          <w:szCs w:val="24"/>
          <w:lang w:val="bg-BG"/>
        </w:rPr>
        <w:t>2. Насоки за интегрирани подходи и координация</w:t>
      </w:r>
      <w:bookmarkEnd w:id="350"/>
      <w:bookmarkEnd w:id="351"/>
      <w:bookmarkEnd w:id="352"/>
    </w:p>
    <w:p w14:paraId="74CB5952"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В съответствие с член 34 от ДЕХС и член 25 от Директивата за енергийна ефективност, България ще насърчава общините да разработват </w:t>
      </w:r>
      <w:r w:rsidRPr="006F3533">
        <w:rPr>
          <w:rStyle w:val="Strong"/>
          <w:rFonts w:ascii="Aptos" w:hAnsi="Aptos"/>
          <w:lang w:val="bg-BG"/>
        </w:rPr>
        <w:t>интегрирани териториални инициативи</w:t>
      </w:r>
      <w:r w:rsidRPr="006F3533">
        <w:rPr>
          <w:rFonts w:ascii="Aptos" w:hAnsi="Aptos"/>
          <w:lang w:val="bg-BG"/>
        </w:rPr>
        <w:t>, които съчетават обновяването на сградите с мерки в области като енергия, мобилност, зелена и синя инфраструктура, управление на отпадъците и водите. Тези инициативи ще се изграждат постепенно и при спазване на следните принципи:</w:t>
      </w:r>
    </w:p>
    <w:p w14:paraId="382E84EB" w14:textId="77777777" w:rsidR="00B572B1" w:rsidRPr="006F3533" w:rsidRDefault="00B572B1" w:rsidP="00551FED">
      <w:pPr>
        <w:pStyle w:val="NormalWeb"/>
        <w:numPr>
          <w:ilvl w:val="0"/>
          <w:numId w:val="55"/>
        </w:numPr>
        <w:jc w:val="both"/>
        <w:rPr>
          <w:rFonts w:ascii="Aptos" w:hAnsi="Aptos"/>
          <w:lang w:val="bg-BG"/>
        </w:rPr>
      </w:pPr>
      <w:r w:rsidRPr="006F3533">
        <w:rPr>
          <w:rStyle w:val="Strong"/>
          <w:rFonts w:ascii="Aptos" w:hAnsi="Aptos"/>
          <w:lang w:val="bg-BG"/>
        </w:rPr>
        <w:t>Доброволен и поетапен подход</w:t>
      </w:r>
      <w:r w:rsidRPr="006F3533">
        <w:rPr>
          <w:rFonts w:ascii="Aptos" w:hAnsi="Aptos"/>
          <w:lang w:val="bg-BG"/>
        </w:rPr>
        <w:t xml:space="preserve">, започващ с общини, които вече разполагат с активни планове за енергия и климат, включително участващи и последователи в </w:t>
      </w:r>
      <w:r w:rsidRPr="006F3533">
        <w:rPr>
          <w:rStyle w:val="Strong"/>
          <w:rFonts w:ascii="Aptos" w:hAnsi="Aptos"/>
          <w:lang w:val="bg-BG"/>
        </w:rPr>
        <w:t>Мисията за 100-те въглеродно неутрални и интелигентни градове</w:t>
      </w:r>
      <w:r w:rsidRPr="006F3533">
        <w:rPr>
          <w:rFonts w:ascii="Aptos" w:hAnsi="Aptos"/>
          <w:lang w:val="bg-BG"/>
        </w:rPr>
        <w:t xml:space="preserve"> и в </w:t>
      </w:r>
      <w:r w:rsidRPr="006F3533">
        <w:rPr>
          <w:rStyle w:val="Strong"/>
          <w:rFonts w:ascii="Aptos" w:hAnsi="Aptos"/>
          <w:lang w:val="bg-BG"/>
        </w:rPr>
        <w:t>Мисията за адаптация към климатичните промени</w:t>
      </w:r>
      <w:r w:rsidRPr="006F3533">
        <w:rPr>
          <w:rFonts w:ascii="Aptos" w:hAnsi="Aptos"/>
          <w:lang w:val="bg-BG"/>
        </w:rPr>
        <w:t>.</w:t>
      </w:r>
    </w:p>
    <w:p w14:paraId="6BADF506" w14:textId="77777777" w:rsidR="00B572B1" w:rsidRPr="006F3533" w:rsidRDefault="00B572B1" w:rsidP="00551FED">
      <w:pPr>
        <w:pStyle w:val="NormalWeb"/>
        <w:numPr>
          <w:ilvl w:val="0"/>
          <w:numId w:val="55"/>
        </w:numPr>
        <w:jc w:val="both"/>
        <w:rPr>
          <w:rFonts w:ascii="Aptos" w:hAnsi="Aptos"/>
          <w:lang w:val="bg-BG"/>
        </w:rPr>
      </w:pPr>
      <w:r w:rsidRPr="006F3533">
        <w:rPr>
          <w:rStyle w:val="Strong"/>
          <w:rFonts w:ascii="Aptos" w:hAnsi="Aptos"/>
          <w:lang w:val="bg-BG"/>
        </w:rPr>
        <w:t>Съчетаване на усилията с плановете за отопление и охлаждане</w:t>
      </w:r>
      <w:r w:rsidRPr="006F3533">
        <w:rPr>
          <w:rFonts w:ascii="Aptos" w:hAnsi="Aptos"/>
          <w:lang w:val="bg-BG"/>
        </w:rPr>
        <w:t xml:space="preserve">, които общините с население над 45 000 души разработват съгласно изискванията на Директивата за енергийна ефективност. Така ще се гарантира синхрон между сградното обновяване, енергийната инфраструктура и целите за </w:t>
      </w:r>
      <w:proofErr w:type="spellStart"/>
      <w:r w:rsidRPr="006F3533">
        <w:rPr>
          <w:rFonts w:ascii="Aptos" w:hAnsi="Aptos"/>
          <w:lang w:val="bg-BG"/>
        </w:rPr>
        <w:t>декарбонизация</w:t>
      </w:r>
      <w:proofErr w:type="spellEnd"/>
      <w:r w:rsidRPr="006F3533">
        <w:rPr>
          <w:rFonts w:ascii="Aptos" w:hAnsi="Aptos"/>
          <w:lang w:val="bg-BG"/>
        </w:rPr>
        <w:t>.</w:t>
      </w:r>
    </w:p>
    <w:p w14:paraId="0B9DD63A" w14:textId="77777777" w:rsidR="00B572B1" w:rsidRPr="006F3533" w:rsidRDefault="00B572B1" w:rsidP="00551FED">
      <w:pPr>
        <w:pStyle w:val="NormalWeb"/>
        <w:numPr>
          <w:ilvl w:val="0"/>
          <w:numId w:val="55"/>
        </w:numPr>
        <w:jc w:val="both"/>
        <w:rPr>
          <w:rFonts w:ascii="Aptos" w:hAnsi="Aptos"/>
          <w:lang w:val="bg-BG"/>
        </w:rPr>
      </w:pPr>
      <w:r w:rsidRPr="006F3533">
        <w:rPr>
          <w:rStyle w:val="Strong"/>
          <w:rFonts w:ascii="Aptos" w:hAnsi="Aptos"/>
          <w:lang w:val="bg-BG"/>
        </w:rPr>
        <w:t>Стимулиране на използването на цифрови инструменти</w:t>
      </w:r>
      <w:r w:rsidRPr="006F3533">
        <w:rPr>
          <w:rFonts w:ascii="Aptos" w:hAnsi="Aptos"/>
          <w:lang w:val="bg-BG"/>
        </w:rPr>
        <w:t xml:space="preserve"> – интегрирани географски информационни системи, енергийни карти и модели на потребление, които вече се развиват в Габрово (проект </w:t>
      </w:r>
      <w:proofErr w:type="spellStart"/>
      <w:r w:rsidRPr="006F3533">
        <w:rPr>
          <w:rFonts w:ascii="Aptos" w:hAnsi="Aptos"/>
          <w:lang w:val="bg-BG"/>
        </w:rPr>
        <w:t>NetZeroHero</w:t>
      </w:r>
      <w:proofErr w:type="spellEnd"/>
      <w:r w:rsidRPr="006F3533">
        <w:rPr>
          <w:rFonts w:ascii="Aptos" w:hAnsi="Aptos"/>
          <w:lang w:val="bg-BG"/>
        </w:rPr>
        <w:t>), Пловдив (проект MULTIHOME) и други градове.</w:t>
      </w:r>
    </w:p>
    <w:p w14:paraId="41302A0A" w14:textId="77777777" w:rsidR="00B572B1" w:rsidRPr="006F3533" w:rsidRDefault="00B572B1" w:rsidP="00551FED">
      <w:pPr>
        <w:pStyle w:val="NormalWeb"/>
        <w:numPr>
          <w:ilvl w:val="0"/>
          <w:numId w:val="55"/>
        </w:numPr>
        <w:jc w:val="both"/>
        <w:rPr>
          <w:rFonts w:ascii="Aptos" w:hAnsi="Aptos"/>
          <w:lang w:val="bg-BG"/>
        </w:rPr>
      </w:pPr>
      <w:r w:rsidRPr="006F3533">
        <w:rPr>
          <w:rStyle w:val="Strong"/>
          <w:rFonts w:ascii="Aptos" w:hAnsi="Aptos"/>
          <w:lang w:val="bg-BG"/>
        </w:rPr>
        <w:t>Възможност за интегриране в концепциите за ИТИ</w:t>
      </w:r>
      <w:r w:rsidRPr="006F3533">
        <w:rPr>
          <w:rFonts w:ascii="Aptos" w:hAnsi="Aptos"/>
          <w:lang w:val="bg-BG"/>
        </w:rPr>
        <w:t xml:space="preserve"> по Програма „Развитие на регионите“, където общините и техните партньори могат да обединяват ресурси за реализиране на комплексни проекти с висока добавена стойност.</w:t>
      </w:r>
    </w:p>
    <w:p w14:paraId="6FC99999" w14:textId="77777777" w:rsidR="00B572B1" w:rsidRPr="006F3533" w:rsidRDefault="00B572B1" w:rsidP="00551FED">
      <w:pPr>
        <w:pStyle w:val="NormalWeb"/>
        <w:numPr>
          <w:ilvl w:val="0"/>
          <w:numId w:val="55"/>
        </w:numPr>
        <w:jc w:val="both"/>
        <w:rPr>
          <w:rFonts w:ascii="Aptos" w:hAnsi="Aptos"/>
          <w:lang w:val="bg-BG"/>
        </w:rPr>
      </w:pPr>
      <w:r w:rsidRPr="006F3533">
        <w:rPr>
          <w:rStyle w:val="Strong"/>
          <w:rFonts w:ascii="Aptos" w:hAnsi="Aptos"/>
          <w:lang w:val="bg-BG"/>
        </w:rPr>
        <w:lastRenderedPageBreak/>
        <w:t>Отворен достъп до данни</w:t>
      </w:r>
      <w:r w:rsidRPr="006F3533">
        <w:rPr>
          <w:rFonts w:ascii="Aptos" w:hAnsi="Aptos"/>
          <w:lang w:val="bg-BG"/>
        </w:rPr>
        <w:t xml:space="preserve"> и междуинституционална съвместимост на информационните системи (енергийни, кадастрални, строителни, екологични), които ще позволят по-добро планиране и наблюдение на резултатите.</w:t>
      </w:r>
    </w:p>
    <w:p w14:paraId="241665DD" w14:textId="77777777" w:rsidR="00B572B1" w:rsidRPr="006F3533" w:rsidRDefault="00B572B1" w:rsidP="00077D42">
      <w:pPr>
        <w:pStyle w:val="Heading3"/>
        <w:jc w:val="both"/>
        <w:rPr>
          <w:rFonts w:ascii="Aptos" w:hAnsi="Aptos"/>
          <w:sz w:val="24"/>
          <w:szCs w:val="24"/>
          <w:lang w:val="bg-BG"/>
        </w:rPr>
      </w:pPr>
      <w:bookmarkStart w:id="353" w:name="_Toc216816173"/>
      <w:bookmarkStart w:id="354" w:name="_Toc216857864"/>
      <w:bookmarkStart w:id="355" w:name="_Toc217888874"/>
      <w:r w:rsidRPr="006F3533">
        <w:rPr>
          <w:rFonts w:ascii="Aptos" w:hAnsi="Aptos"/>
          <w:sz w:val="24"/>
          <w:szCs w:val="24"/>
          <w:lang w:val="bg-BG"/>
        </w:rPr>
        <w:t>3. Подкрепа и изграждане на капацитет</w:t>
      </w:r>
      <w:bookmarkEnd w:id="353"/>
      <w:bookmarkEnd w:id="354"/>
      <w:bookmarkEnd w:id="355"/>
    </w:p>
    <w:p w14:paraId="0A4E9CB1" w14:textId="77777777" w:rsidR="00B572B1" w:rsidRPr="006F3533" w:rsidRDefault="00B572B1" w:rsidP="00077D42">
      <w:pPr>
        <w:pStyle w:val="NormalWeb"/>
        <w:jc w:val="both"/>
        <w:rPr>
          <w:rFonts w:ascii="Aptos" w:hAnsi="Aptos"/>
          <w:lang w:val="bg-BG"/>
        </w:rPr>
      </w:pPr>
      <w:r w:rsidRPr="006F3533">
        <w:rPr>
          <w:rFonts w:ascii="Aptos" w:hAnsi="Aptos"/>
          <w:lang w:val="bg-BG"/>
        </w:rPr>
        <w:t>За успешното прилагане на квартални и териториални подходи е необходимо укрепване на експертния и административен капацитет на общините. В тази връзка се предвижда:</w:t>
      </w:r>
    </w:p>
    <w:p w14:paraId="04DDD7C5" w14:textId="77777777" w:rsidR="00B572B1" w:rsidRPr="006F3533" w:rsidRDefault="00B572B1" w:rsidP="00551FED">
      <w:pPr>
        <w:pStyle w:val="NormalWeb"/>
        <w:numPr>
          <w:ilvl w:val="0"/>
          <w:numId w:val="56"/>
        </w:numPr>
        <w:jc w:val="both"/>
        <w:rPr>
          <w:rFonts w:ascii="Aptos" w:hAnsi="Aptos"/>
          <w:lang w:val="bg-BG"/>
        </w:rPr>
      </w:pPr>
      <w:r w:rsidRPr="006F3533">
        <w:rPr>
          <w:rFonts w:ascii="Aptos" w:hAnsi="Aptos"/>
          <w:lang w:val="bg-BG"/>
        </w:rPr>
        <w:t xml:space="preserve">развитие на </w:t>
      </w:r>
      <w:r w:rsidRPr="006F3533">
        <w:rPr>
          <w:rStyle w:val="Strong"/>
          <w:rFonts w:ascii="Aptos" w:hAnsi="Aptos"/>
          <w:lang w:val="bg-BG"/>
        </w:rPr>
        <w:t>обучителни и консултантски програми</w:t>
      </w:r>
      <w:r w:rsidRPr="006F3533">
        <w:rPr>
          <w:rFonts w:ascii="Aptos" w:hAnsi="Aptos"/>
          <w:lang w:val="bg-BG"/>
        </w:rPr>
        <w:t xml:space="preserve"> чрез ЦКО и специализирани структури (енергийни агенции, университети, професионални организации);</w:t>
      </w:r>
    </w:p>
    <w:p w14:paraId="4DAB4D26" w14:textId="77777777" w:rsidR="00B572B1" w:rsidRPr="006F3533" w:rsidRDefault="00B572B1" w:rsidP="00551FED">
      <w:pPr>
        <w:pStyle w:val="NormalWeb"/>
        <w:numPr>
          <w:ilvl w:val="0"/>
          <w:numId w:val="56"/>
        </w:numPr>
        <w:jc w:val="both"/>
        <w:rPr>
          <w:rFonts w:ascii="Aptos" w:hAnsi="Aptos"/>
          <w:lang w:val="bg-BG"/>
        </w:rPr>
      </w:pPr>
      <w:r w:rsidRPr="006F3533">
        <w:rPr>
          <w:rFonts w:ascii="Aptos" w:hAnsi="Aptos"/>
          <w:lang w:val="bg-BG"/>
        </w:rPr>
        <w:t xml:space="preserve">подпомагане на общините при </w:t>
      </w:r>
      <w:r w:rsidRPr="006F3533">
        <w:rPr>
          <w:rStyle w:val="Strong"/>
          <w:rFonts w:ascii="Aptos" w:hAnsi="Aptos"/>
          <w:lang w:val="bg-BG"/>
        </w:rPr>
        <w:t>изготвяне на анализи, карти и концепции</w:t>
      </w:r>
      <w:r w:rsidRPr="006F3533">
        <w:rPr>
          <w:rFonts w:ascii="Aptos" w:hAnsi="Aptos"/>
          <w:lang w:val="bg-BG"/>
        </w:rPr>
        <w:t xml:space="preserve"> за потенциални зони на обновяване;</w:t>
      </w:r>
    </w:p>
    <w:p w14:paraId="3FBB8791" w14:textId="77777777" w:rsidR="00B572B1" w:rsidRPr="006F3533" w:rsidRDefault="00B572B1" w:rsidP="00551FED">
      <w:pPr>
        <w:pStyle w:val="NormalWeb"/>
        <w:numPr>
          <w:ilvl w:val="0"/>
          <w:numId w:val="56"/>
        </w:numPr>
        <w:jc w:val="both"/>
        <w:rPr>
          <w:rFonts w:ascii="Aptos" w:hAnsi="Aptos"/>
          <w:lang w:val="bg-BG"/>
        </w:rPr>
      </w:pPr>
      <w:r w:rsidRPr="006F3533">
        <w:rPr>
          <w:rFonts w:ascii="Aptos" w:hAnsi="Aptos"/>
          <w:lang w:val="bg-BG"/>
        </w:rPr>
        <w:t xml:space="preserve">създаване на </w:t>
      </w:r>
      <w:r w:rsidRPr="006F3533">
        <w:rPr>
          <w:rStyle w:val="Strong"/>
          <w:rFonts w:ascii="Aptos" w:hAnsi="Aptos"/>
          <w:lang w:val="bg-BG"/>
        </w:rPr>
        <w:t xml:space="preserve">пилотни проекти с подкрепа от Националния фонд за </w:t>
      </w:r>
      <w:proofErr w:type="spellStart"/>
      <w:r w:rsidRPr="006F3533">
        <w:rPr>
          <w:rStyle w:val="Strong"/>
          <w:rFonts w:ascii="Aptos" w:hAnsi="Aptos"/>
          <w:lang w:val="bg-BG"/>
        </w:rPr>
        <w:t>декарбонизация</w:t>
      </w:r>
      <w:proofErr w:type="spellEnd"/>
      <w:r w:rsidRPr="006F3533">
        <w:rPr>
          <w:rStyle w:val="Strong"/>
          <w:rFonts w:ascii="Aptos" w:hAnsi="Aptos"/>
          <w:lang w:val="bg-BG"/>
        </w:rPr>
        <w:t xml:space="preserve"> (НФД)</w:t>
      </w:r>
      <w:r w:rsidRPr="006F3533">
        <w:rPr>
          <w:rFonts w:ascii="Aptos" w:hAnsi="Aptos"/>
          <w:lang w:val="bg-BG"/>
        </w:rPr>
        <w:t>, които да демонстрират ефективни модели за интегрирано обновяване и да послужат като база за оценка на рисковете и институционалните потребности;</w:t>
      </w:r>
    </w:p>
    <w:p w14:paraId="184C9A93" w14:textId="77777777" w:rsidR="00B572B1" w:rsidRPr="006F3533" w:rsidRDefault="00B572B1" w:rsidP="00551FED">
      <w:pPr>
        <w:pStyle w:val="NormalWeb"/>
        <w:numPr>
          <w:ilvl w:val="0"/>
          <w:numId w:val="56"/>
        </w:numPr>
        <w:jc w:val="both"/>
        <w:rPr>
          <w:rFonts w:ascii="Aptos" w:hAnsi="Aptos"/>
          <w:lang w:val="bg-BG"/>
        </w:rPr>
      </w:pPr>
      <w:r w:rsidRPr="006F3533">
        <w:rPr>
          <w:rFonts w:ascii="Aptos" w:hAnsi="Aptos"/>
          <w:lang w:val="bg-BG"/>
        </w:rPr>
        <w:t xml:space="preserve">координация между </w:t>
      </w:r>
      <w:r w:rsidRPr="006F3533">
        <w:rPr>
          <w:rStyle w:val="Strong"/>
          <w:rFonts w:ascii="Aptos" w:hAnsi="Aptos"/>
          <w:lang w:val="bg-BG"/>
        </w:rPr>
        <w:t>МЕ, МРРБ, МОСВ, НСОРБ и общините</w:t>
      </w:r>
      <w:r w:rsidRPr="006F3533">
        <w:rPr>
          <w:rFonts w:ascii="Aptos" w:hAnsi="Aptos"/>
          <w:lang w:val="bg-BG"/>
        </w:rPr>
        <w:t xml:space="preserve"> за осигуряване на последователност между енергийните, климатичните и пространствените политики.</w:t>
      </w:r>
    </w:p>
    <w:p w14:paraId="4DD2A529" w14:textId="77777777" w:rsidR="00B572B1" w:rsidRPr="006F3533" w:rsidRDefault="00B572B1" w:rsidP="00077D42">
      <w:pPr>
        <w:pStyle w:val="Heading3"/>
        <w:jc w:val="both"/>
        <w:rPr>
          <w:rFonts w:ascii="Aptos" w:hAnsi="Aptos"/>
          <w:sz w:val="24"/>
          <w:szCs w:val="24"/>
          <w:lang w:val="bg-BG"/>
        </w:rPr>
      </w:pPr>
      <w:bookmarkStart w:id="356" w:name="_Toc216816174"/>
      <w:bookmarkStart w:id="357" w:name="_Toc216857865"/>
      <w:bookmarkStart w:id="358" w:name="_Toc217888875"/>
      <w:r w:rsidRPr="006F3533">
        <w:rPr>
          <w:rFonts w:ascii="Aptos" w:hAnsi="Aptos"/>
          <w:sz w:val="24"/>
          <w:szCs w:val="24"/>
          <w:lang w:val="bg-BG"/>
        </w:rPr>
        <w:t>4. Очаквани резултати</w:t>
      </w:r>
      <w:bookmarkEnd w:id="356"/>
      <w:bookmarkEnd w:id="357"/>
      <w:bookmarkEnd w:id="358"/>
    </w:p>
    <w:p w14:paraId="2516F2BC" w14:textId="77777777" w:rsidR="00B572B1" w:rsidRPr="006F3533" w:rsidRDefault="00B572B1" w:rsidP="00551FED">
      <w:pPr>
        <w:pStyle w:val="NormalWeb"/>
        <w:numPr>
          <w:ilvl w:val="0"/>
          <w:numId w:val="57"/>
        </w:numPr>
        <w:jc w:val="both"/>
        <w:rPr>
          <w:rFonts w:ascii="Aptos" w:hAnsi="Aptos"/>
          <w:lang w:val="bg-BG"/>
        </w:rPr>
      </w:pPr>
      <w:r w:rsidRPr="006F3533">
        <w:rPr>
          <w:rFonts w:ascii="Aptos" w:hAnsi="Aptos"/>
          <w:lang w:val="bg-BG"/>
        </w:rPr>
        <w:t>Повишаване на интегрираното планиране на местно ниво и по-добра координация между секторните политики;</w:t>
      </w:r>
    </w:p>
    <w:p w14:paraId="7C6ACBCB" w14:textId="77777777" w:rsidR="00B572B1" w:rsidRPr="006F3533" w:rsidRDefault="00B572B1" w:rsidP="00551FED">
      <w:pPr>
        <w:pStyle w:val="NormalWeb"/>
        <w:numPr>
          <w:ilvl w:val="0"/>
          <w:numId w:val="57"/>
        </w:numPr>
        <w:jc w:val="both"/>
        <w:rPr>
          <w:rFonts w:ascii="Aptos" w:hAnsi="Aptos"/>
          <w:lang w:val="bg-BG"/>
        </w:rPr>
      </w:pPr>
      <w:r w:rsidRPr="006F3533">
        <w:rPr>
          <w:rFonts w:ascii="Aptos" w:hAnsi="Aptos"/>
          <w:lang w:val="bg-BG"/>
        </w:rPr>
        <w:t>Постепенно изграждане на капацитет в общините за разработване на териториални програми с висока степен на обществено участие;</w:t>
      </w:r>
    </w:p>
    <w:p w14:paraId="28191F1D" w14:textId="77777777" w:rsidR="00B572B1" w:rsidRPr="006F3533" w:rsidRDefault="00B572B1" w:rsidP="00551FED">
      <w:pPr>
        <w:pStyle w:val="NormalWeb"/>
        <w:numPr>
          <w:ilvl w:val="0"/>
          <w:numId w:val="57"/>
        </w:numPr>
        <w:jc w:val="both"/>
        <w:rPr>
          <w:rFonts w:ascii="Aptos" w:hAnsi="Aptos"/>
          <w:lang w:val="bg-BG"/>
        </w:rPr>
      </w:pPr>
      <w:r w:rsidRPr="006F3533">
        <w:rPr>
          <w:rFonts w:ascii="Aptos" w:hAnsi="Aptos"/>
          <w:lang w:val="bg-BG"/>
        </w:rPr>
        <w:t>Подготовка на пилотни проекти, които могат да бъдат разширени чрез НФД или бъдещи програми на ЕС;</w:t>
      </w:r>
    </w:p>
    <w:p w14:paraId="66CB5275" w14:textId="77777777" w:rsidR="00B572B1" w:rsidRPr="006F3533" w:rsidRDefault="00B572B1" w:rsidP="00551FED">
      <w:pPr>
        <w:pStyle w:val="NormalWeb"/>
        <w:numPr>
          <w:ilvl w:val="0"/>
          <w:numId w:val="57"/>
        </w:numPr>
        <w:jc w:val="both"/>
        <w:rPr>
          <w:rFonts w:ascii="Aptos" w:hAnsi="Aptos"/>
          <w:lang w:val="bg-BG"/>
        </w:rPr>
      </w:pPr>
      <w:r w:rsidRPr="006F3533">
        <w:rPr>
          <w:rFonts w:ascii="Aptos" w:hAnsi="Aptos"/>
          <w:lang w:val="bg-BG"/>
        </w:rPr>
        <w:t>Повишаване на ефективността на инвестициите и качеството на градската среда чрез комплексен подход, включващ енергия, мобилност, околна среда и социални аспекти.</w:t>
      </w:r>
    </w:p>
    <w:p w14:paraId="32FCD97F" w14:textId="67C3339E" w:rsidR="00440FAE" w:rsidRPr="006F3533" w:rsidRDefault="00440FAE" w:rsidP="00440FAE">
      <w:pPr>
        <w:pStyle w:val="NormalWeb"/>
        <w:jc w:val="both"/>
        <w:rPr>
          <w:rFonts w:ascii="Aptos" w:hAnsi="Aptos"/>
          <w:b/>
          <w:bCs/>
          <w:lang w:val="bg-BG"/>
        </w:rPr>
      </w:pPr>
      <w:r w:rsidRPr="006F3533">
        <w:rPr>
          <w:rFonts w:ascii="Aptos" w:hAnsi="Aptos"/>
          <w:b/>
          <w:bCs/>
          <w:lang w:val="bg-BG"/>
        </w:rPr>
        <w:t>5. Национално финансиране в подкрепа на интегрирани териториални програми</w:t>
      </w:r>
    </w:p>
    <w:p w14:paraId="41776AD8" w14:textId="7C79BDCA" w:rsidR="00440FAE" w:rsidRPr="006F3533" w:rsidRDefault="00440FAE" w:rsidP="00440FAE">
      <w:pPr>
        <w:pStyle w:val="NormalWeb"/>
        <w:jc w:val="both"/>
        <w:rPr>
          <w:rFonts w:ascii="Aptos" w:hAnsi="Aptos"/>
          <w:lang w:val="bg-BG"/>
        </w:rPr>
      </w:pPr>
      <w:r w:rsidRPr="006F3533">
        <w:rPr>
          <w:rFonts w:ascii="Aptos" w:hAnsi="Aptos"/>
          <w:lang w:val="bg-BG"/>
        </w:rPr>
        <w:t xml:space="preserve">С цел ускоряване на интегрираните квартални и териториални подходи за обновяване на сградния фонд, правителството на Република България поема ангажимент да осигури целенасочена подкрепа за общините при подготовката и изпълнението на такива програми. Приоритет ще се предоставя на градовете, участващи в инициативите на Европейския съюз за климатична неутралност и по-специално в Мисията за 100-те въглеродно неутрални и интелигентни града, както и на общини с одобрени интегрирани планове за енергия и климат в рамките на Споразумението на кметовете и/или Договори за климатична неутралност в рамките на мисията. Подкрепата ще бъде концентрирана върху обновяването на сградите, интегрирането на възобновяеми енергийни източници в сградите и развитието на ефективни системи за централно отопление и охлаждане, в </w:t>
      </w:r>
      <w:r w:rsidRPr="006F3533">
        <w:rPr>
          <w:rFonts w:ascii="Aptos" w:hAnsi="Aptos"/>
          <w:lang w:val="bg-BG"/>
        </w:rPr>
        <w:lastRenderedPageBreak/>
        <w:t xml:space="preserve">съответствие с обхвата на настоящия план. В Този смисъл, интегрираните териториални програми за обновяване следва да бъдат синхронизирани с плановете за отопление и охлаждане, изготвяни от общините с население над 45 000 души, така че сградните инвестиции да бъдат съгласувани с развитието и </w:t>
      </w:r>
      <w:proofErr w:type="spellStart"/>
      <w:r w:rsidRPr="006F3533">
        <w:rPr>
          <w:rFonts w:ascii="Aptos" w:hAnsi="Aptos"/>
          <w:lang w:val="bg-BG"/>
        </w:rPr>
        <w:t>декарбонизацията</w:t>
      </w:r>
      <w:proofErr w:type="spellEnd"/>
      <w:r w:rsidRPr="006F3533">
        <w:rPr>
          <w:rFonts w:ascii="Aptos" w:hAnsi="Aptos"/>
          <w:lang w:val="bg-BG"/>
        </w:rPr>
        <w:t xml:space="preserve"> на топлофикационните и охладителните системи и с възможностите за използване на местни възобновяеми ресурси.</w:t>
      </w:r>
    </w:p>
    <w:p w14:paraId="4D5E4130" w14:textId="5760DBEE" w:rsidR="00440FAE" w:rsidRPr="006F3533" w:rsidRDefault="00440FAE" w:rsidP="00440FAE">
      <w:pPr>
        <w:pStyle w:val="NormalWeb"/>
        <w:jc w:val="both"/>
        <w:rPr>
          <w:rFonts w:ascii="Aptos" w:hAnsi="Aptos"/>
          <w:lang w:val="bg-BG"/>
        </w:rPr>
      </w:pPr>
      <w:r w:rsidRPr="006F3533">
        <w:rPr>
          <w:rFonts w:ascii="Aptos" w:hAnsi="Aptos"/>
          <w:lang w:val="bg-BG"/>
        </w:rPr>
        <w:t xml:space="preserve">Подкрепата ще се реализира чрез комбиниране на безвъзмездна помощ, </w:t>
      </w:r>
      <w:proofErr w:type="spellStart"/>
      <w:r w:rsidRPr="006F3533">
        <w:rPr>
          <w:rFonts w:ascii="Aptos" w:hAnsi="Aptos"/>
          <w:lang w:val="bg-BG"/>
        </w:rPr>
        <w:t>възвръщаем</w:t>
      </w:r>
      <w:proofErr w:type="spellEnd"/>
      <w:r w:rsidRPr="006F3533">
        <w:rPr>
          <w:rFonts w:ascii="Aptos" w:hAnsi="Aptos"/>
          <w:lang w:val="bg-BG"/>
        </w:rPr>
        <w:t xml:space="preserve"> финансов ресурс и техническа помощ, включително чрез Националния фонд за </w:t>
      </w:r>
      <w:proofErr w:type="spellStart"/>
      <w:r w:rsidRPr="006F3533">
        <w:rPr>
          <w:rFonts w:ascii="Aptos" w:hAnsi="Aptos"/>
          <w:lang w:val="bg-BG"/>
        </w:rPr>
        <w:t>декарбонизация</w:t>
      </w:r>
      <w:proofErr w:type="spellEnd"/>
      <w:r w:rsidRPr="006F3533">
        <w:rPr>
          <w:rFonts w:ascii="Aptos" w:hAnsi="Aptos"/>
          <w:lang w:val="bg-BG"/>
        </w:rPr>
        <w:t xml:space="preserve"> (за </w:t>
      </w:r>
      <w:proofErr w:type="spellStart"/>
      <w:r w:rsidRPr="006F3533">
        <w:rPr>
          <w:rFonts w:ascii="Aptos" w:hAnsi="Aptos"/>
          <w:lang w:val="bg-BG"/>
        </w:rPr>
        <w:t>проектоподготовка</w:t>
      </w:r>
      <w:proofErr w:type="spellEnd"/>
      <w:r w:rsidRPr="006F3533">
        <w:rPr>
          <w:rFonts w:ascii="Aptos" w:hAnsi="Aptos"/>
          <w:lang w:val="bg-BG"/>
        </w:rPr>
        <w:t>, пилотни схеми и комбинирано финансиране)</w:t>
      </w:r>
      <w:r w:rsidR="00BB158E" w:rsidRPr="006F3533">
        <w:rPr>
          <w:rFonts w:ascii="Aptos" w:hAnsi="Aptos"/>
          <w:lang w:val="bg-BG"/>
        </w:rPr>
        <w:t xml:space="preserve"> и финансовите инструменти на ФМФИБ и фондовете за градско развитие</w:t>
      </w:r>
      <w:r w:rsidRPr="006F3533">
        <w:rPr>
          <w:rFonts w:ascii="Aptos" w:hAnsi="Aptos"/>
          <w:lang w:val="bg-BG"/>
        </w:rPr>
        <w:t xml:space="preserve">, както и чрез Програма „Развитие на регионите“ (вкл. концепции за интегрирани териториални инвестиции). Като количествен ориентир, до 2030 г. ще се подкрепи подготовката и стартирането на най-малко 10 пилотни интегрирани териториални програми за сградно обновяване (в т.ч. в градовете, ангажирани в Мисията за 100-те града), които да послужат за мащабиране на доказани модели и за ускоряване на изпълнението на целите за енергийна ефективност и </w:t>
      </w:r>
      <w:proofErr w:type="spellStart"/>
      <w:r w:rsidRPr="006F3533">
        <w:rPr>
          <w:rFonts w:ascii="Aptos" w:hAnsi="Aptos"/>
          <w:lang w:val="bg-BG"/>
        </w:rPr>
        <w:t>декарбонизация</w:t>
      </w:r>
      <w:proofErr w:type="spellEnd"/>
      <w:r w:rsidRPr="006F3533">
        <w:rPr>
          <w:rFonts w:ascii="Aptos" w:hAnsi="Aptos"/>
          <w:lang w:val="bg-BG"/>
        </w:rPr>
        <w:t xml:space="preserve"> на сградния фонд.</w:t>
      </w:r>
    </w:p>
    <w:p w14:paraId="6AF9F4D2" w14:textId="77777777" w:rsidR="00B572B1" w:rsidRPr="006F3533" w:rsidRDefault="00B572B1" w:rsidP="00077D42">
      <w:pPr>
        <w:pStyle w:val="Heading2"/>
        <w:jc w:val="both"/>
        <w:rPr>
          <w:lang w:val="bg-BG"/>
        </w:rPr>
      </w:pPr>
      <w:bookmarkStart w:id="359" w:name="_Toc217888876"/>
      <w:r w:rsidRPr="006F3533">
        <w:rPr>
          <w:lang w:val="bg-BG"/>
        </w:rPr>
        <w:t>(l) Подобряване на сградите, притежавани от публични органи (чл. 5, 6 и 7 от ДЕЕ)</w:t>
      </w:r>
      <w:bookmarkEnd w:id="359"/>
    </w:p>
    <w:p w14:paraId="12320AA9" w14:textId="77777777" w:rsidR="00B572B1" w:rsidRPr="006F3533" w:rsidRDefault="00B572B1" w:rsidP="00077D42">
      <w:pPr>
        <w:pStyle w:val="NormalWeb"/>
        <w:jc w:val="both"/>
        <w:rPr>
          <w:rFonts w:ascii="Aptos" w:hAnsi="Aptos"/>
          <w:lang w:val="bg-BG"/>
        </w:rPr>
      </w:pPr>
      <w:r w:rsidRPr="006F3533">
        <w:rPr>
          <w:rFonts w:ascii="Aptos" w:hAnsi="Aptos"/>
          <w:lang w:val="bg-BG"/>
        </w:rPr>
        <w:t>България ще прилага цялостна система от политики и мерки за обновяване на сградите, притежавани или ползвани от публични органи – държавни, регионални и общински. Целта е да се постигне едновременно:</w:t>
      </w:r>
    </w:p>
    <w:p w14:paraId="24CFBE4D" w14:textId="77777777" w:rsidR="00B572B1" w:rsidRPr="006F3533" w:rsidRDefault="00B572B1" w:rsidP="00551FED">
      <w:pPr>
        <w:pStyle w:val="NormalWeb"/>
        <w:numPr>
          <w:ilvl w:val="0"/>
          <w:numId w:val="58"/>
        </w:numPr>
        <w:jc w:val="both"/>
        <w:rPr>
          <w:rFonts w:ascii="Aptos" w:hAnsi="Aptos"/>
          <w:lang w:val="bg-BG"/>
        </w:rPr>
      </w:pPr>
      <w:r w:rsidRPr="006F3533">
        <w:rPr>
          <w:rFonts w:ascii="Aptos" w:hAnsi="Aptos"/>
          <w:lang w:val="bg-BG"/>
        </w:rPr>
        <w:t xml:space="preserve">годишно намаление на крайното енергийно потребление на публичния сектор с най-малко </w:t>
      </w:r>
      <w:r w:rsidRPr="006F3533">
        <w:rPr>
          <w:rStyle w:val="Strong"/>
          <w:rFonts w:ascii="Aptos" w:hAnsi="Aptos"/>
          <w:lang w:val="bg-BG"/>
        </w:rPr>
        <w:t>1,9% спрямо базовата 2021 г.</w:t>
      </w:r>
      <w:r w:rsidRPr="006F3533">
        <w:rPr>
          <w:rFonts w:ascii="Aptos" w:hAnsi="Aptos"/>
          <w:lang w:val="bg-BG"/>
        </w:rPr>
        <w:t xml:space="preserve"> (чл. 5 от Директивата за енергийна ефективност);</w:t>
      </w:r>
    </w:p>
    <w:p w14:paraId="50C45FB2" w14:textId="77777777" w:rsidR="00B572B1" w:rsidRPr="006F3533" w:rsidRDefault="00B572B1" w:rsidP="00551FED">
      <w:pPr>
        <w:pStyle w:val="NormalWeb"/>
        <w:numPr>
          <w:ilvl w:val="0"/>
          <w:numId w:val="58"/>
        </w:numPr>
        <w:jc w:val="both"/>
        <w:rPr>
          <w:rFonts w:ascii="Aptos" w:hAnsi="Aptos"/>
          <w:lang w:val="bg-BG"/>
        </w:rPr>
      </w:pPr>
      <w:r w:rsidRPr="006F3533">
        <w:rPr>
          <w:rFonts w:ascii="Aptos" w:hAnsi="Aptos"/>
          <w:lang w:val="bg-BG"/>
        </w:rPr>
        <w:t xml:space="preserve">обновяване на </w:t>
      </w:r>
      <w:r w:rsidRPr="006F3533">
        <w:rPr>
          <w:rStyle w:val="Strong"/>
          <w:rFonts w:ascii="Aptos" w:hAnsi="Aptos"/>
          <w:lang w:val="bg-BG"/>
        </w:rPr>
        <w:t>най-малко 3% от разгънатата застроена площ</w:t>
      </w:r>
      <w:r w:rsidRPr="006F3533">
        <w:rPr>
          <w:rFonts w:ascii="Aptos" w:hAnsi="Aptos"/>
          <w:lang w:val="bg-BG"/>
        </w:rPr>
        <w:t xml:space="preserve"> на отопляваните и/или охлаждани сгради с площ над 250 m² годишно, така че те да достигнат равнище </w:t>
      </w:r>
      <w:r w:rsidRPr="006F3533">
        <w:rPr>
          <w:rStyle w:val="Strong"/>
          <w:rFonts w:ascii="Aptos" w:hAnsi="Aptos"/>
          <w:lang w:val="bg-BG"/>
        </w:rPr>
        <w:t>сграда с близко до нулево потребление на енергия (СБНПЕ)</w:t>
      </w:r>
      <w:r w:rsidRPr="006F3533">
        <w:rPr>
          <w:rFonts w:ascii="Aptos" w:hAnsi="Aptos"/>
          <w:lang w:val="bg-BG"/>
        </w:rPr>
        <w:t xml:space="preserve"> или </w:t>
      </w:r>
      <w:proofErr w:type="spellStart"/>
      <w:r w:rsidRPr="006F3533">
        <w:rPr>
          <w:rStyle w:val="Strong"/>
          <w:rFonts w:ascii="Aptos" w:hAnsi="Aptos"/>
          <w:lang w:val="bg-BG"/>
        </w:rPr>
        <w:t>нулевоемисионна</w:t>
      </w:r>
      <w:proofErr w:type="spellEnd"/>
      <w:r w:rsidRPr="006F3533">
        <w:rPr>
          <w:rStyle w:val="Strong"/>
          <w:rFonts w:ascii="Aptos" w:hAnsi="Aptos"/>
          <w:lang w:val="bg-BG"/>
        </w:rPr>
        <w:t xml:space="preserve"> сграда (НЕС)</w:t>
      </w:r>
      <w:r w:rsidRPr="006F3533">
        <w:rPr>
          <w:rFonts w:ascii="Aptos" w:hAnsi="Aptos"/>
          <w:lang w:val="bg-BG"/>
        </w:rPr>
        <w:t xml:space="preserve"> (чл. 6);</w:t>
      </w:r>
    </w:p>
    <w:p w14:paraId="189813B2" w14:textId="77777777" w:rsidR="00B572B1" w:rsidRPr="006F3533" w:rsidRDefault="00B572B1" w:rsidP="00551FED">
      <w:pPr>
        <w:pStyle w:val="NormalWeb"/>
        <w:numPr>
          <w:ilvl w:val="0"/>
          <w:numId w:val="58"/>
        </w:numPr>
        <w:jc w:val="both"/>
        <w:rPr>
          <w:rFonts w:ascii="Aptos" w:hAnsi="Aptos"/>
          <w:lang w:val="bg-BG"/>
        </w:rPr>
      </w:pPr>
      <w:r w:rsidRPr="006F3533">
        <w:rPr>
          <w:rFonts w:ascii="Aptos" w:hAnsi="Aptos"/>
          <w:lang w:val="bg-BG"/>
        </w:rPr>
        <w:t>прилагане на принципа „енергийната ефективност на първо място“ и закупуване само на продукти, услуги и строителни дейности с висока енергийна ефективност при обществените поръчки (чл. 7).</w:t>
      </w:r>
    </w:p>
    <w:p w14:paraId="1D3859F3" w14:textId="77777777" w:rsidR="00B572B1" w:rsidRPr="006F3533" w:rsidRDefault="00B572B1" w:rsidP="00077D42">
      <w:pPr>
        <w:pStyle w:val="Heading3"/>
        <w:jc w:val="both"/>
        <w:rPr>
          <w:rFonts w:ascii="Aptos" w:hAnsi="Aptos"/>
          <w:sz w:val="24"/>
          <w:szCs w:val="24"/>
          <w:lang w:val="bg-BG"/>
        </w:rPr>
      </w:pPr>
      <w:bookmarkStart w:id="360" w:name="_Toc216816176"/>
      <w:bookmarkStart w:id="361" w:name="_Toc216857867"/>
      <w:bookmarkStart w:id="362" w:name="_Toc217888877"/>
      <w:r w:rsidRPr="006F3533">
        <w:rPr>
          <w:rFonts w:ascii="Aptos" w:hAnsi="Aptos"/>
          <w:sz w:val="24"/>
          <w:szCs w:val="24"/>
          <w:lang w:val="bg-BG"/>
        </w:rPr>
        <w:t>Списъци и отчетност</w:t>
      </w:r>
      <w:bookmarkEnd w:id="360"/>
      <w:bookmarkEnd w:id="361"/>
      <w:bookmarkEnd w:id="362"/>
    </w:p>
    <w:p w14:paraId="15DF814B"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До края на </w:t>
      </w:r>
      <w:r w:rsidRPr="006F3533">
        <w:rPr>
          <w:rStyle w:val="Strong"/>
          <w:rFonts w:ascii="Aptos" w:hAnsi="Aptos"/>
          <w:lang w:val="bg-BG"/>
        </w:rPr>
        <w:t>2025 г.</w:t>
      </w:r>
      <w:r w:rsidRPr="006F3533">
        <w:rPr>
          <w:rFonts w:ascii="Aptos" w:hAnsi="Aptos"/>
          <w:lang w:val="bg-BG"/>
        </w:rPr>
        <w:t xml:space="preserve"> всички публични органи, включително общините, следва да съставят </w:t>
      </w:r>
      <w:r w:rsidRPr="006F3533">
        <w:rPr>
          <w:rStyle w:val="Strong"/>
          <w:rFonts w:ascii="Aptos" w:hAnsi="Aptos"/>
          <w:lang w:val="bg-BG"/>
        </w:rPr>
        <w:t>пълен списък на отопляваните и/или охлаждани сгради с площ над 250 m²</w:t>
      </w:r>
      <w:r w:rsidRPr="006F3533">
        <w:rPr>
          <w:rFonts w:ascii="Aptos" w:hAnsi="Aptos"/>
          <w:lang w:val="bg-BG"/>
        </w:rPr>
        <w:t>, съдържащ:</w:t>
      </w:r>
    </w:p>
    <w:p w14:paraId="3A6FCEB2" w14:textId="77777777" w:rsidR="00B572B1" w:rsidRPr="006F3533" w:rsidRDefault="00B572B1" w:rsidP="00551FED">
      <w:pPr>
        <w:pStyle w:val="NormalWeb"/>
        <w:numPr>
          <w:ilvl w:val="0"/>
          <w:numId w:val="59"/>
        </w:numPr>
        <w:jc w:val="both"/>
        <w:rPr>
          <w:rFonts w:ascii="Aptos" w:hAnsi="Aptos"/>
          <w:lang w:val="bg-BG"/>
        </w:rPr>
      </w:pPr>
      <w:r w:rsidRPr="006F3533">
        <w:rPr>
          <w:rFonts w:ascii="Aptos" w:hAnsi="Aptos"/>
          <w:lang w:val="bg-BG"/>
        </w:rPr>
        <w:t>разгъната застроена площ (m²);</w:t>
      </w:r>
    </w:p>
    <w:p w14:paraId="6E596232" w14:textId="77777777" w:rsidR="00B572B1" w:rsidRPr="006F3533" w:rsidRDefault="00B572B1" w:rsidP="00551FED">
      <w:pPr>
        <w:pStyle w:val="NormalWeb"/>
        <w:numPr>
          <w:ilvl w:val="0"/>
          <w:numId w:val="59"/>
        </w:numPr>
        <w:jc w:val="both"/>
        <w:rPr>
          <w:rFonts w:ascii="Aptos" w:hAnsi="Aptos"/>
          <w:lang w:val="bg-BG"/>
        </w:rPr>
      </w:pPr>
      <w:r w:rsidRPr="006F3533">
        <w:rPr>
          <w:rFonts w:ascii="Aptos" w:hAnsi="Aptos"/>
          <w:lang w:val="bg-BG"/>
        </w:rPr>
        <w:t>измерено годишно потребление на енергия за отопление, охлаждане, електричество и БГВ (когато е налично);</w:t>
      </w:r>
    </w:p>
    <w:p w14:paraId="761908B4" w14:textId="755FCB51" w:rsidR="00B572B1" w:rsidRPr="006F3533" w:rsidRDefault="00A602DD" w:rsidP="00551FED">
      <w:pPr>
        <w:pStyle w:val="NormalWeb"/>
        <w:numPr>
          <w:ilvl w:val="0"/>
          <w:numId w:val="59"/>
        </w:numPr>
        <w:jc w:val="both"/>
        <w:rPr>
          <w:rFonts w:ascii="Aptos" w:hAnsi="Aptos"/>
          <w:lang w:val="bg-BG"/>
        </w:rPr>
      </w:pPr>
      <w:r w:rsidRPr="006F3533">
        <w:rPr>
          <w:rFonts w:ascii="Aptos" w:hAnsi="Aptos"/>
          <w:lang w:val="bg-BG"/>
        </w:rPr>
        <w:lastRenderedPageBreak/>
        <w:t>информация за наличие на</w:t>
      </w:r>
      <w:r w:rsidR="00B572B1" w:rsidRPr="006F3533">
        <w:rPr>
          <w:rFonts w:ascii="Aptos" w:hAnsi="Aptos"/>
          <w:lang w:val="bg-BG"/>
        </w:rPr>
        <w:t xml:space="preserve"> сертификат за енергийни характеристики.</w:t>
      </w:r>
    </w:p>
    <w:p w14:paraId="396FDB00"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Тези списъци ще се подават към </w:t>
      </w:r>
      <w:r w:rsidRPr="006F3533">
        <w:rPr>
          <w:rStyle w:val="Strong"/>
          <w:rFonts w:ascii="Aptos" w:hAnsi="Aptos"/>
          <w:lang w:val="bg-BG"/>
        </w:rPr>
        <w:t>Агенцията за устойчиво енергийно развитие (АУЕР)</w:t>
      </w:r>
      <w:r w:rsidRPr="006F3533">
        <w:rPr>
          <w:rFonts w:ascii="Aptos" w:hAnsi="Aptos"/>
          <w:lang w:val="bg-BG"/>
        </w:rPr>
        <w:t xml:space="preserve"> и ще се актуализират поне веднъж на две години. АУЕР ще обобщава данните в националния регистър и ще следи изпълнението на изискването за 3% годишно обновяване, както и напредъка по намаляване на крайното енергийно потребление. Общините ще отчитат резултатите като част от </w:t>
      </w:r>
      <w:r w:rsidRPr="006F3533">
        <w:rPr>
          <w:rStyle w:val="Strong"/>
          <w:rFonts w:ascii="Aptos" w:hAnsi="Aptos"/>
          <w:lang w:val="bg-BG"/>
        </w:rPr>
        <w:t>годишните отчети по общинските планове за енергийна ефективност</w:t>
      </w:r>
      <w:r w:rsidRPr="006F3533">
        <w:rPr>
          <w:rFonts w:ascii="Aptos" w:hAnsi="Aptos"/>
          <w:lang w:val="bg-BG"/>
        </w:rPr>
        <w:t>, които се подават в съответствие със Закона за енергийната ефективност.</w:t>
      </w:r>
    </w:p>
    <w:p w14:paraId="13316159" w14:textId="77777777" w:rsidR="00B572B1" w:rsidRPr="006F3533" w:rsidRDefault="00B572B1" w:rsidP="00077D42">
      <w:pPr>
        <w:pStyle w:val="Heading3"/>
        <w:jc w:val="both"/>
        <w:rPr>
          <w:rFonts w:ascii="Aptos" w:hAnsi="Aptos"/>
          <w:sz w:val="24"/>
          <w:szCs w:val="24"/>
          <w:lang w:val="bg-BG"/>
        </w:rPr>
      </w:pPr>
      <w:bookmarkStart w:id="363" w:name="_Toc216816177"/>
      <w:bookmarkStart w:id="364" w:name="_Toc216857868"/>
      <w:bookmarkStart w:id="365" w:name="_Toc217888878"/>
      <w:r w:rsidRPr="006F3533">
        <w:rPr>
          <w:rFonts w:ascii="Aptos" w:hAnsi="Aptos"/>
          <w:sz w:val="24"/>
          <w:szCs w:val="24"/>
          <w:lang w:val="bg-BG"/>
        </w:rPr>
        <w:t>Политики и мерки</w:t>
      </w:r>
      <w:bookmarkEnd w:id="363"/>
      <w:bookmarkEnd w:id="364"/>
      <w:bookmarkEnd w:id="365"/>
    </w:p>
    <w:p w14:paraId="68705EB5" w14:textId="4F59D9F2" w:rsidR="00B572B1" w:rsidRPr="006F3533" w:rsidRDefault="00B572B1" w:rsidP="00077D42">
      <w:pPr>
        <w:pStyle w:val="NormalWeb"/>
        <w:jc w:val="both"/>
        <w:rPr>
          <w:rFonts w:ascii="Aptos" w:hAnsi="Aptos"/>
          <w:lang w:val="bg-BG"/>
        </w:rPr>
      </w:pPr>
      <w:r w:rsidRPr="006F3533">
        <w:rPr>
          <w:rStyle w:val="Strong"/>
          <w:rFonts w:ascii="Aptos" w:hAnsi="Aptos"/>
          <w:lang w:val="bg-BG"/>
        </w:rPr>
        <w:t>(1) Управление и планиране</w:t>
      </w:r>
      <w:r w:rsidR="0016344B" w:rsidRPr="006F3533">
        <w:rPr>
          <w:rStyle w:val="Strong"/>
          <w:rFonts w:ascii="Aptos" w:hAnsi="Aptos"/>
          <w:lang w:val="bg-BG"/>
        </w:rPr>
        <w:t xml:space="preserve">. </w:t>
      </w:r>
      <w:r w:rsidRPr="006F3533">
        <w:rPr>
          <w:rFonts w:ascii="Aptos" w:hAnsi="Aptos"/>
          <w:lang w:val="bg-BG"/>
        </w:rPr>
        <w:t>Всяко министерство, областна и общинска администрация включва</w:t>
      </w:r>
      <w:r w:rsidR="00A602DD" w:rsidRPr="006F3533">
        <w:rPr>
          <w:rFonts w:ascii="Aptos" w:hAnsi="Aptos"/>
          <w:lang w:val="bg-BG"/>
        </w:rPr>
        <w:t xml:space="preserve"> конкретни</w:t>
      </w:r>
      <w:r w:rsidRPr="006F3533">
        <w:rPr>
          <w:rFonts w:ascii="Aptos" w:hAnsi="Aptos"/>
          <w:lang w:val="bg-BG"/>
        </w:rPr>
        <w:t xml:space="preserve"> </w:t>
      </w:r>
      <w:r w:rsidRPr="006F3533">
        <w:rPr>
          <w:rStyle w:val="Strong"/>
          <w:rFonts w:ascii="Aptos" w:hAnsi="Aptos"/>
          <w:lang w:val="bg-BG"/>
        </w:rPr>
        <w:t>планове за обновяване</w:t>
      </w:r>
      <w:r w:rsidRPr="006F3533">
        <w:rPr>
          <w:rFonts w:ascii="Aptos" w:hAnsi="Aptos"/>
          <w:lang w:val="bg-BG"/>
        </w:rPr>
        <w:t xml:space="preserve"> на сградния си фонд с </w:t>
      </w:r>
      <w:proofErr w:type="spellStart"/>
      <w:r w:rsidRPr="006F3533">
        <w:rPr>
          <w:rFonts w:ascii="Aptos" w:hAnsi="Aptos"/>
          <w:lang w:val="bg-BG"/>
        </w:rPr>
        <w:t>приоритизация</w:t>
      </w:r>
      <w:proofErr w:type="spellEnd"/>
      <w:r w:rsidRPr="006F3533">
        <w:rPr>
          <w:rFonts w:ascii="Aptos" w:hAnsi="Aptos"/>
          <w:lang w:val="bg-BG"/>
        </w:rPr>
        <w:t xml:space="preserve"> на най-неефективните сгради и планирани действия до постигане на равнището СБНПЕ/НЕС в </w:t>
      </w:r>
      <w:r w:rsidRPr="006F3533">
        <w:rPr>
          <w:rFonts w:ascii="Aptos" w:hAnsi="Aptos"/>
          <w:b/>
          <w:bCs/>
          <w:lang w:val="bg-BG"/>
        </w:rPr>
        <w:t>програмите за енергийна ефективност</w:t>
      </w:r>
      <w:r w:rsidRPr="006F3533">
        <w:rPr>
          <w:rFonts w:ascii="Aptos" w:hAnsi="Aptos"/>
          <w:lang w:val="bg-BG"/>
        </w:rPr>
        <w:t> по чл. 12 от </w:t>
      </w:r>
      <w:r w:rsidRPr="006F3533">
        <w:rPr>
          <w:rFonts w:ascii="Aptos" w:hAnsi="Aptos"/>
          <w:b/>
          <w:bCs/>
          <w:lang w:val="bg-BG"/>
        </w:rPr>
        <w:t>ЗЕЕ</w:t>
      </w:r>
      <w:r w:rsidR="00A602DD" w:rsidRPr="006F3533">
        <w:rPr>
          <w:rFonts w:ascii="Aptos" w:hAnsi="Aptos"/>
          <w:b/>
          <w:bCs/>
          <w:lang w:val="bg-BG"/>
        </w:rPr>
        <w:t xml:space="preserve">, </w:t>
      </w:r>
      <w:r w:rsidR="00A602DD" w:rsidRPr="006F3533">
        <w:rPr>
          <w:rFonts w:ascii="Aptos" w:hAnsi="Aptos"/>
          <w:lang w:val="bg-BG"/>
        </w:rPr>
        <w:t>така че</w:t>
      </w:r>
      <w:r w:rsidR="00A602DD" w:rsidRPr="006F3533">
        <w:rPr>
          <w:rFonts w:ascii="Aptos" w:hAnsi="Aptos"/>
          <w:b/>
          <w:bCs/>
          <w:lang w:val="bg-BG"/>
        </w:rPr>
        <w:t xml:space="preserve"> </w:t>
      </w:r>
      <w:r w:rsidR="00A602DD" w:rsidRPr="006F3533">
        <w:rPr>
          <w:rFonts w:ascii="Aptos" w:hAnsi="Aptos"/>
          <w:lang w:val="bg-BG"/>
        </w:rPr>
        <w:t>да се постига годишната цел за намаляване на крайното потребление на енергия с 1,9% и обновяване на минимум 3% от РЗП</w:t>
      </w:r>
      <w:r w:rsidRPr="006F3533">
        <w:rPr>
          <w:rFonts w:ascii="Aptos" w:hAnsi="Aptos"/>
          <w:lang w:val="bg-BG"/>
        </w:rPr>
        <w:t xml:space="preserve">. Допуска се и прилагането на </w:t>
      </w:r>
      <w:r w:rsidRPr="006F3533">
        <w:rPr>
          <w:rStyle w:val="Strong"/>
          <w:rFonts w:ascii="Aptos" w:hAnsi="Aptos"/>
          <w:lang w:val="bg-BG"/>
        </w:rPr>
        <w:t xml:space="preserve">алтернативния подход с „паспорти за </w:t>
      </w:r>
      <w:r w:rsidR="00A602DD" w:rsidRPr="006F3533">
        <w:rPr>
          <w:rStyle w:val="Strong"/>
          <w:rFonts w:ascii="Aptos" w:hAnsi="Aptos"/>
          <w:lang w:val="bg-BG"/>
        </w:rPr>
        <w:t>сградно обновяване</w:t>
      </w:r>
      <w:r w:rsidRPr="006F3533">
        <w:rPr>
          <w:rStyle w:val="Strong"/>
          <w:rFonts w:ascii="Aptos" w:hAnsi="Aptos"/>
          <w:lang w:val="bg-BG"/>
        </w:rPr>
        <w:t>“</w:t>
      </w:r>
      <w:r w:rsidR="00A602DD" w:rsidRPr="006F3533">
        <w:rPr>
          <w:rStyle w:val="Strong"/>
          <w:rFonts w:ascii="Aptos" w:hAnsi="Aptos"/>
          <w:lang w:val="bg-BG"/>
        </w:rPr>
        <w:t xml:space="preserve"> с пътни карти за поетапно обновяване</w:t>
      </w:r>
      <w:r w:rsidRPr="006F3533">
        <w:rPr>
          <w:rFonts w:ascii="Aptos" w:hAnsi="Aptos"/>
          <w:lang w:val="bg-BG"/>
        </w:rPr>
        <w:t xml:space="preserve">, когато обновяването се извършва </w:t>
      </w:r>
      <w:r w:rsidR="00A602DD" w:rsidRPr="006F3533">
        <w:rPr>
          <w:rFonts w:ascii="Aptos" w:hAnsi="Aptos"/>
          <w:lang w:val="bg-BG"/>
        </w:rPr>
        <w:t>най-късно</w:t>
      </w:r>
      <w:r w:rsidRPr="006F3533">
        <w:rPr>
          <w:rFonts w:ascii="Aptos" w:hAnsi="Aptos"/>
          <w:lang w:val="bg-BG"/>
        </w:rPr>
        <w:t xml:space="preserve"> до 2040 г.</w:t>
      </w:r>
    </w:p>
    <w:p w14:paraId="39EE3B9E" w14:textId="66A3723F" w:rsidR="00B572B1" w:rsidRPr="006F3533" w:rsidRDefault="00B572B1" w:rsidP="00077D42">
      <w:pPr>
        <w:pStyle w:val="NormalWeb"/>
        <w:jc w:val="both"/>
        <w:rPr>
          <w:rFonts w:ascii="Aptos" w:hAnsi="Aptos"/>
          <w:lang w:val="bg-BG"/>
        </w:rPr>
      </w:pPr>
      <w:r w:rsidRPr="006F3533">
        <w:rPr>
          <w:rStyle w:val="Strong"/>
          <w:rFonts w:ascii="Aptos" w:hAnsi="Aptos"/>
          <w:lang w:val="bg-BG"/>
        </w:rPr>
        <w:t>(2) Технически изисквания.</w:t>
      </w:r>
      <w:r w:rsidR="0016344B" w:rsidRPr="006F3533">
        <w:rPr>
          <w:rStyle w:val="Strong"/>
          <w:rFonts w:ascii="Aptos" w:hAnsi="Aptos"/>
          <w:lang w:val="bg-BG"/>
        </w:rPr>
        <w:t xml:space="preserve"> </w:t>
      </w:r>
      <w:r w:rsidRPr="006F3533">
        <w:rPr>
          <w:rFonts w:ascii="Aptos" w:hAnsi="Aptos"/>
          <w:lang w:val="bg-BG"/>
        </w:rPr>
        <w:t xml:space="preserve">За всички проекти се прилага пакет от мерки, осигуряващ </w:t>
      </w:r>
      <w:r w:rsidR="00A602DD" w:rsidRPr="006F3533">
        <w:rPr>
          <w:rFonts w:ascii="Aptos" w:hAnsi="Aptos"/>
          <w:lang w:val="bg-BG"/>
        </w:rPr>
        <w:t>дълбоко сградно обновяване</w:t>
      </w:r>
      <w:r w:rsidRPr="006F3533">
        <w:rPr>
          <w:rFonts w:ascii="Aptos" w:hAnsi="Aptos"/>
          <w:lang w:val="bg-BG"/>
        </w:rPr>
        <w:t xml:space="preserve"> и подготовка за преминаване към възобновяеми източници. Задължително се извършват енергийно обследване преди и след обновяването и се издава нов сертификат за енергийни характеристики. </w:t>
      </w:r>
      <w:r w:rsidR="00A602DD" w:rsidRPr="006F3533">
        <w:rPr>
          <w:rFonts w:ascii="Aptos" w:hAnsi="Aptos"/>
          <w:lang w:val="bg-BG"/>
        </w:rPr>
        <w:t>При прилагане по пътна карта за поетапно сградно обновяване, и</w:t>
      </w:r>
      <w:r w:rsidRPr="006F3533">
        <w:rPr>
          <w:rFonts w:ascii="Aptos" w:hAnsi="Aptos"/>
          <w:lang w:val="bg-BG"/>
        </w:rPr>
        <w:t>зпълнението следва да съответства и на</w:t>
      </w:r>
      <w:r w:rsidR="00A602DD" w:rsidRPr="006F3533">
        <w:rPr>
          <w:rFonts w:ascii="Aptos" w:hAnsi="Aptos"/>
          <w:lang w:val="bg-BG"/>
        </w:rPr>
        <w:t xml:space="preserve"> изискванията</w:t>
      </w:r>
      <w:r w:rsidRPr="006F3533">
        <w:rPr>
          <w:rFonts w:ascii="Aptos" w:hAnsi="Aptos"/>
          <w:lang w:val="bg-BG"/>
        </w:rPr>
        <w:t xml:space="preserve"> </w:t>
      </w:r>
      <w:r w:rsidRPr="006F3533">
        <w:rPr>
          <w:rStyle w:val="Strong"/>
          <w:rFonts w:ascii="Aptos" w:hAnsi="Aptos"/>
          <w:lang w:val="bg-BG"/>
        </w:rPr>
        <w:t>минималните стандарти за енергийни характеристики (МСЕХ)</w:t>
      </w:r>
      <w:r w:rsidRPr="006F3533">
        <w:rPr>
          <w:rFonts w:ascii="Aptos" w:hAnsi="Aptos"/>
          <w:lang w:val="bg-BG"/>
        </w:rPr>
        <w:t>, определени по националната методика.</w:t>
      </w:r>
    </w:p>
    <w:p w14:paraId="0371EB87" w14:textId="7D148AA9" w:rsidR="00B572B1" w:rsidRPr="006F3533" w:rsidRDefault="00B572B1" w:rsidP="00077D42">
      <w:pPr>
        <w:pStyle w:val="NormalWeb"/>
        <w:jc w:val="both"/>
        <w:rPr>
          <w:rFonts w:ascii="Aptos" w:hAnsi="Aptos"/>
          <w:lang w:val="bg-BG"/>
        </w:rPr>
      </w:pPr>
      <w:r w:rsidRPr="006F3533">
        <w:rPr>
          <w:rStyle w:val="Strong"/>
          <w:rFonts w:ascii="Aptos" w:hAnsi="Aptos"/>
          <w:lang w:val="bg-BG"/>
        </w:rPr>
        <w:t>(3) Финансиране и обществени поръчки.</w:t>
      </w:r>
      <w:r w:rsidR="0016344B" w:rsidRPr="006F3533">
        <w:rPr>
          <w:rStyle w:val="Strong"/>
          <w:rFonts w:ascii="Aptos" w:hAnsi="Aptos"/>
          <w:lang w:val="bg-BG"/>
        </w:rPr>
        <w:t xml:space="preserve"> </w:t>
      </w:r>
      <w:r w:rsidRPr="006F3533">
        <w:rPr>
          <w:rFonts w:ascii="Aptos" w:hAnsi="Aptos"/>
          <w:lang w:val="bg-BG"/>
        </w:rPr>
        <w:t xml:space="preserve">Обновяването на публичните сгради ще се финансира чрез национални и европейски програми, финансови инструменти и договори с гарантиран резултат. В процеса на възлагане на поръчки ще се прилага оценка на </w:t>
      </w:r>
      <w:r w:rsidRPr="006F3533">
        <w:rPr>
          <w:rStyle w:val="Strong"/>
          <w:rFonts w:ascii="Aptos" w:hAnsi="Aptos"/>
          <w:lang w:val="bg-BG"/>
        </w:rPr>
        <w:t>разходите и въздействието през целия жизнен цикъл</w:t>
      </w:r>
      <w:r w:rsidRPr="006F3533">
        <w:rPr>
          <w:rFonts w:ascii="Aptos" w:hAnsi="Aptos"/>
          <w:lang w:val="bg-BG"/>
        </w:rPr>
        <w:t xml:space="preserve"> на сградата, с акцент върху </w:t>
      </w:r>
      <w:r w:rsidR="00A602DD" w:rsidRPr="006F3533">
        <w:rPr>
          <w:rFonts w:ascii="Aptos" w:hAnsi="Aptos"/>
          <w:lang w:val="bg-BG"/>
        </w:rPr>
        <w:t xml:space="preserve">икономическата </w:t>
      </w:r>
      <w:r w:rsidRPr="006F3533">
        <w:rPr>
          <w:rFonts w:ascii="Aptos" w:hAnsi="Aptos"/>
          <w:lang w:val="bg-BG"/>
        </w:rPr>
        <w:t>ефективност</w:t>
      </w:r>
      <w:r w:rsidR="00A602DD" w:rsidRPr="006F3533">
        <w:rPr>
          <w:rFonts w:ascii="Aptos" w:hAnsi="Aptos"/>
          <w:lang w:val="bg-BG"/>
        </w:rPr>
        <w:t>, възможностите за рециклиране или повторна употреба на използваните материали,</w:t>
      </w:r>
      <w:r w:rsidRPr="006F3533">
        <w:rPr>
          <w:rFonts w:ascii="Aptos" w:hAnsi="Aptos"/>
          <w:lang w:val="bg-BG"/>
        </w:rPr>
        <w:t xml:space="preserve"> и </w:t>
      </w:r>
      <w:r w:rsidR="00A602DD" w:rsidRPr="006F3533">
        <w:rPr>
          <w:rFonts w:ascii="Aptos" w:hAnsi="Aptos"/>
          <w:lang w:val="bg-BG"/>
        </w:rPr>
        <w:t>намаляване на въплътените въглеродни емисии</w:t>
      </w:r>
      <w:r w:rsidRPr="006F3533">
        <w:rPr>
          <w:rFonts w:ascii="Aptos" w:hAnsi="Aptos"/>
          <w:lang w:val="bg-BG"/>
        </w:rPr>
        <w:t>.</w:t>
      </w:r>
    </w:p>
    <w:p w14:paraId="44654653" w14:textId="77777777" w:rsidR="00B572B1" w:rsidRPr="006F3533" w:rsidRDefault="00B572B1" w:rsidP="00077D42">
      <w:pPr>
        <w:pStyle w:val="NormalWeb"/>
        <w:jc w:val="both"/>
        <w:rPr>
          <w:rFonts w:ascii="Aptos" w:hAnsi="Aptos"/>
          <w:lang w:val="bg-BG"/>
        </w:rPr>
      </w:pPr>
      <w:r w:rsidRPr="006F3533">
        <w:rPr>
          <w:rFonts w:ascii="Aptos" w:hAnsi="Aptos"/>
          <w:lang w:val="bg-BG"/>
        </w:rPr>
        <w:t>За обществените поръчки с висока стойност, попадащи в обхвата на европейските директиви</w:t>
      </w:r>
      <w:r w:rsidRPr="006F3533">
        <w:rPr>
          <w:rStyle w:val="FootnoteReference"/>
          <w:rFonts w:ascii="Aptos" w:hAnsi="Aptos"/>
          <w:lang w:val="bg-BG"/>
        </w:rPr>
        <w:footnoteReference w:id="56"/>
      </w:r>
      <w:r w:rsidRPr="006F3533">
        <w:rPr>
          <w:rFonts w:ascii="Aptos" w:hAnsi="Aptos"/>
          <w:lang w:val="bg-BG"/>
        </w:rPr>
        <w:t xml:space="preserve">, възлагащите органи ще осигуряват прозрачност относно енергийните показатели и очакваните ползи от реализираните проекти. Това означава публикуване на информация за енергийната ефективност на доставяните продукти, услугите и сградите, както и за постигнатите икономии след изпълнение. Ще се насърчава използването на </w:t>
      </w:r>
      <w:r w:rsidRPr="006F3533">
        <w:rPr>
          <w:rStyle w:val="Strong"/>
          <w:rFonts w:ascii="Aptos" w:hAnsi="Aptos"/>
          <w:lang w:val="bg-BG"/>
        </w:rPr>
        <w:t>дългосрочни договори с гарантиран резултат</w:t>
      </w:r>
      <w:r w:rsidRPr="006F3533">
        <w:rPr>
          <w:rFonts w:ascii="Aptos" w:hAnsi="Aptos"/>
          <w:lang w:val="bg-BG"/>
        </w:rPr>
        <w:t xml:space="preserve">, при които изпълнителят гарантира конкретен резултат и възстановява инвестицията чрез постигнатите спестявания, както и </w:t>
      </w:r>
      <w:r w:rsidRPr="006F3533">
        <w:rPr>
          <w:rFonts w:ascii="Aptos" w:hAnsi="Aptos"/>
          <w:lang w:val="bg-BG"/>
        </w:rPr>
        <w:lastRenderedPageBreak/>
        <w:t xml:space="preserve">прилагането на </w:t>
      </w:r>
      <w:r w:rsidRPr="006F3533">
        <w:rPr>
          <w:rStyle w:val="Strong"/>
          <w:rFonts w:ascii="Aptos" w:hAnsi="Aptos"/>
          <w:lang w:val="bg-BG"/>
        </w:rPr>
        <w:t>финансови механизми с участие на трети страни</w:t>
      </w:r>
      <w:r w:rsidRPr="006F3533">
        <w:rPr>
          <w:rFonts w:ascii="Aptos" w:hAnsi="Aptos"/>
          <w:lang w:val="bg-BG"/>
        </w:rPr>
        <w:t xml:space="preserve"> (например енергийни компании или банки).</w:t>
      </w:r>
    </w:p>
    <w:p w14:paraId="7C47C566" w14:textId="77777777" w:rsidR="00B572B1" w:rsidRPr="006F3533" w:rsidRDefault="00B572B1" w:rsidP="00077D42">
      <w:pPr>
        <w:pStyle w:val="Heading3"/>
        <w:jc w:val="both"/>
        <w:rPr>
          <w:rFonts w:ascii="Aptos" w:hAnsi="Aptos"/>
          <w:sz w:val="24"/>
          <w:szCs w:val="24"/>
          <w:lang w:val="bg-BG"/>
        </w:rPr>
      </w:pPr>
      <w:bookmarkStart w:id="366" w:name="_Toc216816178"/>
      <w:bookmarkStart w:id="367" w:name="_Toc216857869"/>
      <w:bookmarkStart w:id="368" w:name="_Toc217888879"/>
      <w:r w:rsidRPr="006F3533">
        <w:rPr>
          <w:rFonts w:ascii="Aptos" w:hAnsi="Aptos"/>
          <w:sz w:val="24"/>
          <w:szCs w:val="24"/>
          <w:lang w:val="bg-BG"/>
        </w:rPr>
        <w:t>Мониторинг и координация</w:t>
      </w:r>
      <w:bookmarkEnd w:id="366"/>
      <w:bookmarkEnd w:id="367"/>
      <w:bookmarkEnd w:id="368"/>
    </w:p>
    <w:p w14:paraId="34B893CF" w14:textId="4636E143" w:rsidR="00B572B1" w:rsidRPr="006F3533" w:rsidRDefault="00B572B1" w:rsidP="00077D42">
      <w:pPr>
        <w:pStyle w:val="NormalWeb"/>
        <w:jc w:val="both"/>
        <w:rPr>
          <w:rFonts w:ascii="Aptos" w:hAnsi="Aptos"/>
          <w:lang w:val="bg-BG"/>
        </w:rPr>
      </w:pPr>
      <w:r w:rsidRPr="006F3533">
        <w:rPr>
          <w:rFonts w:ascii="Aptos" w:hAnsi="Aptos"/>
          <w:lang w:val="bg-BG"/>
        </w:rPr>
        <w:t xml:space="preserve">АУЕР ще следи и обобщава изпълнението на показателите по чл. 5 и чл. 6 чрез данните от енергийните обследвания и </w:t>
      </w:r>
      <w:r w:rsidR="009B3BC6" w:rsidRPr="006F3533">
        <w:rPr>
          <w:rFonts w:ascii="Aptos" w:hAnsi="Aptos"/>
          <w:lang w:val="bg-BG"/>
        </w:rPr>
        <w:t>ежегодните доклади</w:t>
      </w:r>
      <w:r w:rsidRPr="006F3533">
        <w:rPr>
          <w:rFonts w:ascii="Aptos" w:hAnsi="Aptos"/>
          <w:lang w:val="bg-BG"/>
        </w:rPr>
        <w:t xml:space="preserve"> на общините</w:t>
      </w:r>
      <w:r w:rsidR="009B3BC6" w:rsidRPr="006F3533">
        <w:rPr>
          <w:rFonts w:ascii="Aptos" w:hAnsi="Aptos"/>
          <w:lang w:val="bg-BG"/>
        </w:rPr>
        <w:t xml:space="preserve"> по програмите за енергийна ефективност</w:t>
      </w:r>
      <w:r w:rsidRPr="006F3533">
        <w:rPr>
          <w:rFonts w:ascii="Aptos" w:hAnsi="Aptos"/>
          <w:lang w:val="bg-BG"/>
        </w:rPr>
        <w:t xml:space="preserve">. Министерството на енергетиката и Министерството на регионалното развитие и благоустройството ще осигурят междуинституционална координация, методически указания и обучение на експерти. Резултатите ще се публикуват ежегодно в националния анализ за напредъка по </w:t>
      </w:r>
      <w:r w:rsidR="009B3BC6" w:rsidRPr="006F3533">
        <w:rPr>
          <w:rFonts w:ascii="Aptos" w:hAnsi="Aptos"/>
          <w:lang w:val="bg-BG"/>
        </w:rPr>
        <w:t xml:space="preserve">изпълнението на националните цели за </w:t>
      </w:r>
      <w:r w:rsidRPr="006F3533">
        <w:rPr>
          <w:rFonts w:ascii="Aptos" w:hAnsi="Aptos"/>
          <w:lang w:val="bg-BG"/>
        </w:rPr>
        <w:t>енергийна ефективност.</w:t>
      </w:r>
    </w:p>
    <w:tbl>
      <w:tblPr>
        <w:tblStyle w:val="GridTable5Dark-Accent1"/>
        <w:tblW w:w="0" w:type="auto"/>
        <w:tblLook w:val="04A0" w:firstRow="1" w:lastRow="0" w:firstColumn="1" w:lastColumn="0" w:noHBand="0" w:noVBand="1"/>
      </w:tblPr>
      <w:tblGrid>
        <w:gridCol w:w="462"/>
        <w:gridCol w:w="2916"/>
        <w:gridCol w:w="1601"/>
        <w:gridCol w:w="1819"/>
        <w:gridCol w:w="2552"/>
      </w:tblGrid>
      <w:tr w:rsidR="00B572B1" w:rsidRPr="006F3533" w14:paraId="57BB3922" w14:textId="77777777" w:rsidTr="00D837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80B37BB" w14:textId="77777777" w:rsidR="00B572B1" w:rsidRPr="006F3533" w:rsidRDefault="00B572B1" w:rsidP="00077D42">
            <w:pPr>
              <w:jc w:val="both"/>
              <w:rPr>
                <w:rFonts w:cs="Times New Roman"/>
                <w:szCs w:val="24"/>
              </w:rPr>
            </w:pPr>
            <w:r w:rsidRPr="006F3533">
              <w:rPr>
                <w:rFonts w:cs="Times New Roman"/>
                <w:b w:val="0"/>
                <w:bCs w:val="0"/>
                <w:szCs w:val="24"/>
              </w:rPr>
              <w:t>№</w:t>
            </w:r>
          </w:p>
        </w:tc>
        <w:tc>
          <w:tcPr>
            <w:tcW w:w="2916" w:type="dxa"/>
            <w:hideMark/>
          </w:tcPr>
          <w:p w14:paraId="5165B801"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cs="Times New Roman"/>
                <w:b w:val="0"/>
                <w:bCs w:val="0"/>
                <w:szCs w:val="24"/>
              </w:rPr>
            </w:pPr>
            <w:r w:rsidRPr="006F3533">
              <w:rPr>
                <w:rFonts w:cs="Times New Roman"/>
                <w:b w:val="0"/>
                <w:bCs w:val="0"/>
                <w:szCs w:val="24"/>
              </w:rPr>
              <w:t>Мярка / действие</w:t>
            </w:r>
          </w:p>
        </w:tc>
        <w:tc>
          <w:tcPr>
            <w:tcW w:w="1375" w:type="dxa"/>
            <w:hideMark/>
          </w:tcPr>
          <w:p w14:paraId="4650EB9C"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cs="Times New Roman"/>
                <w:b w:val="0"/>
                <w:bCs w:val="0"/>
                <w:szCs w:val="24"/>
              </w:rPr>
            </w:pPr>
            <w:r w:rsidRPr="006F3533">
              <w:rPr>
                <w:rFonts w:cs="Times New Roman"/>
                <w:b w:val="0"/>
                <w:bCs w:val="0"/>
                <w:szCs w:val="24"/>
              </w:rPr>
              <w:t>Срок за изпълнение</w:t>
            </w:r>
          </w:p>
        </w:tc>
        <w:tc>
          <w:tcPr>
            <w:tcW w:w="0" w:type="auto"/>
            <w:hideMark/>
          </w:tcPr>
          <w:p w14:paraId="296B9312"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cs="Times New Roman"/>
                <w:b w:val="0"/>
                <w:bCs w:val="0"/>
                <w:szCs w:val="24"/>
              </w:rPr>
            </w:pPr>
            <w:r w:rsidRPr="006F3533">
              <w:rPr>
                <w:rFonts w:cs="Times New Roman"/>
                <w:b w:val="0"/>
                <w:bCs w:val="0"/>
                <w:szCs w:val="24"/>
              </w:rPr>
              <w:t>Отговорни институции</w:t>
            </w:r>
          </w:p>
        </w:tc>
        <w:tc>
          <w:tcPr>
            <w:tcW w:w="0" w:type="auto"/>
            <w:hideMark/>
          </w:tcPr>
          <w:p w14:paraId="1EF5D363"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cs="Times New Roman"/>
                <w:b w:val="0"/>
                <w:bCs w:val="0"/>
                <w:szCs w:val="24"/>
              </w:rPr>
            </w:pPr>
            <w:r w:rsidRPr="006F3533">
              <w:rPr>
                <w:rFonts w:cs="Times New Roman"/>
                <w:b w:val="0"/>
                <w:bCs w:val="0"/>
                <w:szCs w:val="24"/>
              </w:rPr>
              <w:t>Основни инструменти и източници на финансиране</w:t>
            </w:r>
          </w:p>
        </w:tc>
      </w:tr>
      <w:tr w:rsidR="00B572B1" w:rsidRPr="006F3533" w14:paraId="5092BC46" w14:textId="77777777" w:rsidTr="00D837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48BA1B9" w14:textId="77777777" w:rsidR="00B572B1" w:rsidRPr="006F3533" w:rsidRDefault="00B572B1" w:rsidP="00077D42">
            <w:pPr>
              <w:jc w:val="both"/>
              <w:rPr>
                <w:rFonts w:cs="Times New Roman"/>
                <w:b w:val="0"/>
                <w:bCs w:val="0"/>
                <w:szCs w:val="24"/>
              </w:rPr>
            </w:pPr>
            <w:r w:rsidRPr="006F3533">
              <w:rPr>
                <w:rStyle w:val="Strong"/>
                <w:rFonts w:cs="Times New Roman"/>
                <w:szCs w:val="24"/>
              </w:rPr>
              <w:t>1</w:t>
            </w:r>
          </w:p>
        </w:tc>
        <w:tc>
          <w:tcPr>
            <w:tcW w:w="2916" w:type="dxa"/>
            <w:hideMark/>
          </w:tcPr>
          <w:p w14:paraId="3BC7FDEA"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Изготвяне и публикуване на пълен списък на отопляваните и/или охлаждани сгради с площ над 250 m², притежавани или ползвани от държавни, областни и общински органи</w:t>
            </w:r>
          </w:p>
        </w:tc>
        <w:tc>
          <w:tcPr>
            <w:tcW w:w="1375" w:type="dxa"/>
            <w:hideMark/>
          </w:tcPr>
          <w:p w14:paraId="0264CD55"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 xml:space="preserve">До </w:t>
            </w:r>
            <w:r w:rsidRPr="006F3533">
              <w:rPr>
                <w:rStyle w:val="Strong"/>
                <w:rFonts w:cs="Times New Roman"/>
                <w:szCs w:val="24"/>
              </w:rPr>
              <w:t>31.12.2025 г.</w:t>
            </w:r>
            <w:r w:rsidRPr="006F3533">
              <w:rPr>
                <w:rFonts w:cs="Times New Roman"/>
                <w:szCs w:val="24"/>
              </w:rPr>
              <w:t>, актуализация на всеки 2 години</w:t>
            </w:r>
          </w:p>
        </w:tc>
        <w:tc>
          <w:tcPr>
            <w:tcW w:w="0" w:type="auto"/>
            <w:hideMark/>
          </w:tcPr>
          <w:p w14:paraId="7025E8C1"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АУЕР, общини, областни управители, ресорни министерства</w:t>
            </w:r>
          </w:p>
        </w:tc>
        <w:tc>
          <w:tcPr>
            <w:tcW w:w="0" w:type="auto"/>
            <w:hideMark/>
          </w:tcPr>
          <w:p w14:paraId="795F1AC4"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Национален регистър на публичните сгради; връзка с базата данни за сертификати за енергийни характеристики</w:t>
            </w:r>
          </w:p>
        </w:tc>
      </w:tr>
      <w:tr w:rsidR="00B572B1" w:rsidRPr="006F3533" w14:paraId="32E092C1" w14:textId="77777777" w:rsidTr="00D8379B">
        <w:tc>
          <w:tcPr>
            <w:cnfStyle w:val="001000000000" w:firstRow="0" w:lastRow="0" w:firstColumn="1" w:lastColumn="0" w:oddVBand="0" w:evenVBand="0" w:oddHBand="0" w:evenHBand="0" w:firstRowFirstColumn="0" w:firstRowLastColumn="0" w:lastRowFirstColumn="0" w:lastRowLastColumn="0"/>
            <w:tcW w:w="0" w:type="auto"/>
            <w:hideMark/>
          </w:tcPr>
          <w:p w14:paraId="284DB900" w14:textId="77777777" w:rsidR="00B572B1" w:rsidRPr="006F3533" w:rsidRDefault="00B572B1" w:rsidP="00077D42">
            <w:pPr>
              <w:jc w:val="both"/>
              <w:rPr>
                <w:rFonts w:cs="Times New Roman"/>
                <w:szCs w:val="24"/>
              </w:rPr>
            </w:pPr>
            <w:r w:rsidRPr="006F3533">
              <w:rPr>
                <w:rStyle w:val="Strong"/>
                <w:rFonts w:cs="Times New Roman"/>
                <w:szCs w:val="24"/>
              </w:rPr>
              <w:t>2</w:t>
            </w:r>
          </w:p>
        </w:tc>
        <w:tc>
          <w:tcPr>
            <w:tcW w:w="2916" w:type="dxa"/>
            <w:hideMark/>
          </w:tcPr>
          <w:p w14:paraId="48BEFA3C"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 xml:space="preserve">Въвеждане на механизъм за </w:t>
            </w:r>
            <w:r w:rsidRPr="006F3533">
              <w:rPr>
                <w:rStyle w:val="Strong"/>
                <w:rFonts w:cs="Times New Roman"/>
                <w:szCs w:val="24"/>
              </w:rPr>
              <w:t>годишно отчитане</w:t>
            </w:r>
            <w:r w:rsidRPr="006F3533">
              <w:rPr>
                <w:rFonts w:cs="Times New Roman"/>
                <w:szCs w:val="24"/>
              </w:rPr>
              <w:t xml:space="preserve"> на напредъка по изискването за 3% обновяване и 1,9% намаление на крайното потребление</w:t>
            </w:r>
          </w:p>
        </w:tc>
        <w:tc>
          <w:tcPr>
            <w:tcW w:w="1375" w:type="dxa"/>
            <w:hideMark/>
          </w:tcPr>
          <w:p w14:paraId="6192A357"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 xml:space="preserve">От </w:t>
            </w:r>
            <w:r w:rsidRPr="006F3533">
              <w:rPr>
                <w:rStyle w:val="Strong"/>
                <w:rFonts w:cs="Times New Roman"/>
                <w:szCs w:val="24"/>
              </w:rPr>
              <w:t>2026 г.</w:t>
            </w:r>
            <w:r w:rsidRPr="006F3533">
              <w:rPr>
                <w:rFonts w:cs="Times New Roman"/>
                <w:szCs w:val="24"/>
              </w:rPr>
              <w:t>, ежегодно</w:t>
            </w:r>
          </w:p>
        </w:tc>
        <w:tc>
          <w:tcPr>
            <w:tcW w:w="0" w:type="auto"/>
            <w:hideMark/>
          </w:tcPr>
          <w:p w14:paraId="51912EC0"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АУЕР, МЕ, МРРБ, общини</w:t>
            </w:r>
          </w:p>
        </w:tc>
        <w:tc>
          <w:tcPr>
            <w:tcW w:w="0" w:type="auto"/>
            <w:hideMark/>
          </w:tcPr>
          <w:p w14:paraId="49BB560A"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Отчети по общинските планове за енергийна ефективност; Национален анализ на политиките по ЕЕ</w:t>
            </w:r>
          </w:p>
        </w:tc>
      </w:tr>
      <w:tr w:rsidR="00B572B1" w:rsidRPr="006F3533" w14:paraId="7934397A" w14:textId="77777777" w:rsidTr="00D837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C6AB6C6" w14:textId="77777777" w:rsidR="00B572B1" w:rsidRPr="006F3533" w:rsidRDefault="00B572B1" w:rsidP="00077D42">
            <w:pPr>
              <w:jc w:val="both"/>
              <w:rPr>
                <w:rFonts w:cs="Times New Roman"/>
                <w:szCs w:val="24"/>
              </w:rPr>
            </w:pPr>
            <w:r w:rsidRPr="006F3533">
              <w:rPr>
                <w:rStyle w:val="Strong"/>
                <w:rFonts w:cs="Times New Roman"/>
                <w:szCs w:val="24"/>
              </w:rPr>
              <w:t>3</w:t>
            </w:r>
          </w:p>
        </w:tc>
        <w:tc>
          <w:tcPr>
            <w:tcW w:w="2916" w:type="dxa"/>
            <w:hideMark/>
          </w:tcPr>
          <w:p w14:paraId="54F2C0C4"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 xml:space="preserve">Прилагане на </w:t>
            </w:r>
            <w:r w:rsidRPr="006F3533">
              <w:rPr>
                <w:rStyle w:val="Strong"/>
                <w:rFonts w:cs="Times New Roman"/>
                <w:szCs w:val="24"/>
              </w:rPr>
              <w:t>алтернативен подход с паспорти за саниране</w:t>
            </w:r>
            <w:r w:rsidRPr="006F3533">
              <w:rPr>
                <w:rFonts w:cs="Times New Roman"/>
                <w:szCs w:val="24"/>
              </w:rPr>
              <w:t xml:space="preserve"> за поетапно обновяване до достигане на ниво СБНПЕ или НЕС</w:t>
            </w:r>
          </w:p>
        </w:tc>
        <w:tc>
          <w:tcPr>
            <w:tcW w:w="1375" w:type="dxa"/>
            <w:hideMark/>
          </w:tcPr>
          <w:p w14:paraId="7FD9FC56"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2026–2040 г.</w:t>
            </w:r>
          </w:p>
        </w:tc>
        <w:tc>
          <w:tcPr>
            <w:tcW w:w="0" w:type="auto"/>
            <w:hideMark/>
          </w:tcPr>
          <w:p w14:paraId="68B266FA"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МЕ, МРРБ, АУЕР, общини</w:t>
            </w:r>
          </w:p>
        </w:tc>
        <w:tc>
          <w:tcPr>
            <w:tcW w:w="0" w:type="auto"/>
            <w:hideMark/>
          </w:tcPr>
          <w:p w14:paraId="1F2568DA"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Интеграция с Националния план за саниране (НПС); използване на LIFE CET и ELENA за подготовка на проекти</w:t>
            </w:r>
          </w:p>
        </w:tc>
      </w:tr>
      <w:tr w:rsidR="00B572B1" w:rsidRPr="006F3533" w14:paraId="3CABCD2E" w14:textId="77777777" w:rsidTr="00D8379B">
        <w:tc>
          <w:tcPr>
            <w:cnfStyle w:val="001000000000" w:firstRow="0" w:lastRow="0" w:firstColumn="1" w:lastColumn="0" w:oddVBand="0" w:evenVBand="0" w:oddHBand="0" w:evenHBand="0" w:firstRowFirstColumn="0" w:firstRowLastColumn="0" w:lastRowFirstColumn="0" w:lastRowLastColumn="0"/>
            <w:tcW w:w="0" w:type="auto"/>
            <w:hideMark/>
          </w:tcPr>
          <w:p w14:paraId="638DE5B2" w14:textId="77777777" w:rsidR="00B572B1" w:rsidRPr="006F3533" w:rsidRDefault="00B572B1" w:rsidP="00077D42">
            <w:pPr>
              <w:jc w:val="both"/>
              <w:rPr>
                <w:rFonts w:cs="Times New Roman"/>
                <w:szCs w:val="24"/>
              </w:rPr>
            </w:pPr>
            <w:r w:rsidRPr="006F3533">
              <w:rPr>
                <w:rStyle w:val="Strong"/>
                <w:rFonts w:cs="Times New Roman"/>
                <w:szCs w:val="24"/>
              </w:rPr>
              <w:t>4</w:t>
            </w:r>
          </w:p>
        </w:tc>
        <w:tc>
          <w:tcPr>
            <w:tcW w:w="2916" w:type="dxa"/>
            <w:hideMark/>
          </w:tcPr>
          <w:p w14:paraId="55B1B88D"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 xml:space="preserve">Обновяване на </w:t>
            </w:r>
            <w:r w:rsidRPr="006F3533">
              <w:rPr>
                <w:rStyle w:val="Strong"/>
                <w:rFonts w:cs="Times New Roman"/>
                <w:szCs w:val="24"/>
              </w:rPr>
              <w:t>най-малко 3% от разгънатата застроена площ</w:t>
            </w:r>
            <w:r w:rsidRPr="006F3533">
              <w:rPr>
                <w:rFonts w:cs="Times New Roman"/>
                <w:szCs w:val="24"/>
              </w:rPr>
              <w:t xml:space="preserve"> на отопляваните и/или охлаждани публични сгради с площ над 250 m²</w:t>
            </w:r>
          </w:p>
        </w:tc>
        <w:tc>
          <w:tcPr>
            <w:tcW w:w="1375" w:type="dxa"/>
            <w:hideMark/>
          </w:tcPr>
          <w:p w14:paraId="1E01DFBA" w14:textId="59199E40" w:rsidR="00B572B1" w:rsidRPr="006F3533" w:rsidRDefault="009B3BC6"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Н</w:t>
            </w:r>
            <w:r w:rsidRPr="006F3533">
              <w:t>а г</w:t>
            </w:r>
            <w:r w:rsidR="00B572B1" w:rsidRPr="006F3533">
              <w:rPr>
                <w:rFonts w:cs="Times New Roman"/>
                <w:szCs w:val="24"/>
              </w:rPr>
              <w:t>одишн</w:t>
            </w:r>
            <w:r w:rsidRPr="006F3533">
              <w:rPr>
                <w:rFonts w:cs="Times New Roman"/>
                <w:szCs w:val="24"/>
              </w:rPr>
              <w:t>а база</w:t>
            </w:r>
            <w:r w:rsidR="00B572B1" w:rsidRPr="006F3533">
              <w:rPr>
                <w:rFonts w:cs="Times New Roman"/>
                <w:szCs w:val="24"/>
              </w:rPr>
              <w:t xml:space="preserve">, от </w:t>
            </w:r>
            <w:r w:rsidR="00B572B1" w:rsidRPr="006F3533">
              <w:rPr>
                <w:rStyle w:val="Strong"/>
                <w:rFonts w:cs="Times New Roman"/>
                <w:szCs w:val="24"/>
              </w:rPr>
              <w:t>2026 г.</w:t>
            </w:r>
            <w:r w:rsidRPr="006F3533">
              <w:rPr>
                <w:rStyle w:val="Strong"/>
                <w:rFonts w:cs="Times New Roman"/>
                <w:szCs w:val="24"/>
              </w:rPr>
              <w:t xml:space="preserve">, </w:t>
            </w:r>
            <w:r w:rsidRPr="006F3533">
              <w:rPr>
                <w:rStyle w:val="Strong"/>
                <w:rFonts w:cs="Times New Roman"/>
                <w:b w:val="0"/>
                <w:bCs w:val="0"/>
                <w:szCs w:val="24"/>
              </w:rPr>
              <w:t>в рамките на дългосрочни програми</w:t>
            </w:r>
          </w:p>
        </w:tc>
        <w:tc>
          <w:tcPr>
            <w:tcW w:w="0" w:type="auto"/>
            <w:hideMark/>
          </w:tcPr>
          <w:p w14:paraId="48F0A8A1"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Собственици на сгради – държавни и общински органи</w:t>
            </w:r>
          </w:p>
        </w:tc>
        <w:tc>
          <w:tcPr>
            <w:tcW w:w="0" w:type="auto"/>
            <w:hideMark/>
          </w:tcPr>
          <w:p w14:paraId="5381FBF5"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 xml:space="preserve">Национални програми и финансови инструменти за ЕЕ; </w:t>
            </w:r>
            <w:proofErr w:type="spellStart"/>
            <w:r w:rsidRPr="006F3533">
              <w:rPr>
                <w:rFonts w:cs="Times New Roman"/>
                <w:szCs w:val="24"/>
              </w:rPr>
              <w:t>Модернизационен</w:t>
            </w:r>
            <w:proofErr w:type="spellEnd"/>
            <w:r w:rsidRPr="006F3533">
              <w:rPr>
                <w:rFonts w:cs="Times New Roman"/>
                <w:szCs w:val="24"/>
              </w:rPr>
              <w:t xml:space="preserve"> фонд; Кохезионна политика 2021–2027</w:t>
            </w:r>
          </w:p>
        </w:tc>
      </w:tr>
      <w:tr w:rsidR="00B572B1" w:rsidRPr="006F3533" w14:paraId="041DDFD6" w14:textId="77777777" w:rsidTr="00D837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EB3C1F" w14:textId="77777777" w:rsidR="00B572B1" w:rsidRPr="006F3533" w:rsidRDefault="00B572B1" w:rsidP="00077D42">
            <w:pPr>
              <w:jc w:val="both"/>
              <w:rPr>
                <w:rFonts w:cs="Times New Roman"/>
                <w:szCs w:val="24"/>
              </w:rPr>
            </w:pPr>
            <w:r w:rsidRPr="006F3533">
              <w:rPr>
                <w:rStyle w:val="Strong"/>
                <w:rFonts w:cs="Times New Roman"/>
                <w:szCs w:val="24"/>
              </w:rPr>
              <w:lastRenderedPageBreak/>
              <w:t>5</w:t>
            </w:r>
          </w:p>
        </w:tc>
        <w:tc>
          <w:tcPr>
            <w:tcW w:w="2916" w:type="dxa"/>
            <w:hideMark/>
          </w:tcPr>
          <w:p w14:paraId="4C6E4601"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 xml:space="preserve">Прилагане на принципа „енергийната ефективност на първо място“ при </w:t>
            </w:r>
            <w:r w:rsidRPr="006F3533">
              <w:rPr>
                <w:rStyle w:val="Strong"/>
                <w:rFonts w:cs="Times New Roman"/>
                <w:szCs w:val="24"/>
              </w:rPr>
              <w:t>обществени поръчки</w:t>
            </w:r>
            <w:r w:rsidRPr="006F3533">
              <w:rPr>
                <w:rFonts w:cs="Times New Roman"/>
                <w:szCs w:val="24"/>
              </w:rPr>
              <w:t xml:space="preserve"> за сгради, продукти и услуги</w:t>
            </w:r>
          </w:p>
        </w:tc>
        <w:tc>
          <w:tcPr>
            <w:tcW w:w="1375" w:type="dxa"/>
            <w:hideMark/>
          </w:tcPr>
          <w:p w14:paraId="3D807EE9"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Постоянно</w:t>
            </w:r>
          </w:p>
        </w:tc>
        <w:tc>
          <w:tcPr>
            <w:tcW w:w="0" w:type="auto"/>
            <w:hideMark/>
          </w:tcPr>
          <w:p w14:paraId="059195BA"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АОП, възлагащи органи, МЕ</w:t>
            </w:r>
          </w:p>
        </w:tc>
        <w:tc>
          <w:tcPr>
            <w:tcW w:w="0" w:type="auto"/>
            <w:hideMark/>
          </w:tcPr>
          <w:p w14:paraId="3D29B552" w14:textId="7777777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6F3533">
              <w:rPr>
                <w:rFonts w:cs="Times New Roman"/>
                <w:szCs w:val="24"/>
              </w:rPr>
              <w:t>Екологосъобразни обществени поръчки; методики за оценка на разходите и въздействието през жизнения цикъл</w:t>
            </w:r>
          </w:p>
        </w:tc>
      </w:tr>
      <w:tr w:rsidR="00B572B1" w:rsidRPr="006F3533" w14:paraId="2AF901F5" w14:textId="77777777" w:rsidTr="00D8379B">
        <w:tc>
          <w:tcPr>
            <w:cnfStyle w:val="001000000000" w:firstRow="0" w:lastRow="0" w:firstColumn="1" w:lastColumn="0" w:oddVBand="0" w:evenVBand="0" w:oddHBand="0" w:evenHBand="0" w:firstRowFirstColumn="0" w:firstRowLastColumn="0" w:lastRowFirstColumn="0" w:lastRowLastColumn="0"/>
            <w:tcW w:w="0" w:type="auto"/>
            <w:hideMark/>
          </w:tcPr>
          <w:p w14:paraId="0920CE71" w14:textId="77777777" w:rsidR="00B572B1" w:rsidRPr="006F3533" w:rsidRDefault="00B572B1" w:rsidP="00077D42">
            <w:pPr>
              <w:jc w:val="both"/>
              <w:rPr>
                <w:rFonts w:cs="Times New Roman"/>
                <w:szCs w:val="24"/>
              </w:rPr>
            </w:pPr>
            <w:r w:rsidRPr="006F3533">
              <w:rPr>
                <w:rStyle w:val="Strong"/>
                <w:rFonts w:cs="Times New Roman"/>
                <w:szCs w:val="24"/>
              </w:rPr>
              <w:t>6</w:t>
            </w:r>
          </w:p>
        </w:tc>
        <w:tc>
          <w:tcPr>
            <w:tcW w:w="2916" w:type="dxa"/>
            <w:hideMark/>
          </w:tcPr>
          <w:p w14:paraId="4A9C7348"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 xml:space="preserve">Публично отчитане на </w:t>
            </w:r>
            <w:r w:rsidRPr="006F3533">
              <w:rPr>
                <w:rStyle w:val="Strong"/>
                <w:rFonts w:cs="Times New Roman"/>
                <w:szCs w:val="24"/>
              </w:rPr>
              <w:t>резултатите от обновяването и спестената енергия</w:t>
            </w:r>
            <w:r w:rsidRPr="006F3533">
              <w:rPr>
                <w:rFonts w:cs="Times New Roman"/>
                <w:szCs w:val="24"/>
              </w:rPr>
              <w:t xml:space="preserve"> в публичния сектор</w:t>
            </w:r>
          </w:p>
        </w:tc>
        <w:tc>
          <w:tcPr>
            <w:tcW w:w="1375" w:type="dxa"/>
            <w:hideMark/>
          </w:tcPr>
          <w:p w14:paraId="6EFF6DC4"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Ежегодно</w:t>
            </w:r>
          </w:p>
        </w:tc>
        <w:tc>
          <w:tcPr>
            <w:tcW w:w="0" w:type="auto"/>
            <w:hideMark/>
          </w:tcPr>
          <w:p w14:paraId="5822E586"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АУЕР, МЕ</w:t>
            </w:r>
          </w:p>
        </w:tc>
        <w:tc>
          <w:tcPr>
            <w:tcW w:w="0" w:type="auto"/>
            <w:hideMark/>
          </w:tcPr>
          <w:p w14:paraId="4DCC201E" w14:textId="77777777"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6F3533">
              <w:rPr>
                <w:rFonts w:cs="Times New Roman"/>
                <w:szCs w:val="24"/>
              </w:rPr>
              <w:t>Национален годишен доклад за енергийната ефективност; връзка с ЕС Обсерваторията на сградния фонд</w:t>
            </w:r>
          </w:p>
        </w:tc>
      </w:tr>
    </w:tbl>
    <w:p w14:paraId="2DCCCC6D" w14:textId="77777777" w:rsidR="00B572B1" w:rsidRPr="006F3533" w:rsidRDefault="00B572B1" w:rsidP="00077D42">
      <w:pPr>
        <w:spacing w:line="240" w:lineRule="auto"/>
        <w:jc w:val="both"/>
        <w:rPr>
          <w:rFonts w:cs="Times New Roman"/>
          <w:i/>
          <w:iCs/>
          <w:color w:val="0070C0"/>
          <w:szCs w:val="24"/>
          <w:lang w:val="bg-BG"/>
        </w:rPr>
      </w:pPr>
    </w:p>
    <w:p w14:paraId="66FD276E" w14:textId="3087E321" w:rsidR="00B572B1" w:rsidRPr="006F3533" w:rsidRDefault="00B572B1" w:rsidP="00077D42">
      <w:pPr>
        <w:pStyle w:val="Heading2"/>
        <w:jc w:val="both"/>
        <w:rPr>
          <w:lang w:val="bg-BG"/>
        </w:rPr>
      </w:pPr>
      <w:bookmarkStart w:id="369" w:name="_Toc217888880"/>
      <w:r w:rsidRPr="006F3533">
        <w:rPr>
          <w:lang w:val="bg-BG"/>
        </w:rPr>
        <w:t>m) Интелигентни технологии и индикатор за интелигентна готовност на сградите (SRI)</w:t>
      </w:r>
      <w:r w:rsidR="00F94E93" w:rsidRPr="006F3533">
        <w:rPr>
          <w:rStyle w:val="FootnoteReference"/>
          <w:lang w:val="bg-BG"/>
        </w:rPr>
        <w:footnoteReference w:id="57"/>
      </w:r>
      <w:bookmarkEnd w:id="369"/>
    </w:p>
    <w:p w14:paraId="18DE848D" w14:textId="77777777" w:rsidR="00B572B1" w:rsidRPr="006F3533" w:rsidRDefault="00B572B1" w:rsidP="00077D42">
      <w:pPr>
        <w:pStyle w:val="NormalWeb"/>
        <w:jc w:val="both"/>
        <w:rPr>
          <w:rFonts w:ascii="Aptos" w:hAnsi="Aptos"/>
          <w:lang w:val="bg-BG"/>
        </w:rPr>
      </w:pPr>
      <w:r w:rsidRPr="006F3533">
        <w:rPr>
          <w:rFonts w:ascii="Aptos" w:hAnsi="Aptos"/>
          <w:lang w:val="bg-BG"/>
        </w:rPr>
        <w:t>България е сред държавите членки, които доброволно участват в тестовата фаза за прилагане на Индикатора за интелигентна готовност (</w:t>
      </w:r>
      <w:proofErr w:type="spellStart"/>
      <w:r w:rsidRPr="006F3533">
        <w:rPr>
          <w:rFonts w:ascii="Aptos" w:hAnsi="Aptos"/>
          <w:lang w:val="bg-BG"/>
        </w:rPr>
        <w:t>Smart</w:t>
      </w:r>
      <w:proofErr w:type="spellEnd"/>
      <w:r w:rsidRPr="006F3533">
        <w:rPr>
          <w:rFonts w:ascii="Aptos" w:hAnsi="Aptos"/>
          <w:lang w:val="bg-BG"/>
        </w:rPr>
        <w:t xml:space="preserve"> </w:t>
      </w:r>
      <w:proofErr w:type="spellStart"/>
      <w:r w:rsidRPr="006F3533">
        <w:rPr>
          <w:rFonts w:ascii="Aptos" w:hAnsi="Aptos"/>
          <w:lang w:val="bg-BG"/>
        </w:rPr>
        <w:t>Readiness</w:t>
      </w:r>
      <w:proofErr w:type="spellEnd"/>
      <w:r w:rsidRPr="006F3533">
        <w:rPr>
          <w:rFonts w:ascii="Aptos" w:hAnsi="Aptos"/>
          <w:lang w:val="bg-BG"/>
        </w:rPr>
        <w:t xml:space="preserve"> </w:t>
      </w:r>
      <w:proofErr w:type="spellStart"/>
      <w:r w:rsidRPr="006F3533">
        <w:rPr>
          <w:rFonts w:ascii="Aptos" w:hAnsi="Aptos"/>
          <w:lang w:val="bg-BG"/>
        </w:rPr>
        <w:t>Indicator</w:t>
      </w:r>
      <w:proofErr w:type="spellEnd"/>
      <w:r w:rsidRPr="006F3533">
        <w:rPr>
          <w:rFonts w:ascii="Aptos" w:hAnsi="Aptos"/>
          <w:lang w:val="bg-BG"/>
        </w:rPr>
        <w:t xml:space="preserve"> – SRI), въведен с Делегиран регламент (ЕС) 2020/2155 и Регламент за изпълнение (ЕС) 2020/2156. Тестовата фаза се координира от Министерството на енергетиката и Агенцията за устойчиво енергийно развитие (АУЕР), със съдействието на проекти, финансирани по програма LIFE – </w:t>
      </w:r>
      <w:r w:rsidRPr="006F3533">
        <w:rPr>
          <w:rStyle w:val="Strong"/>
          <w:rFonts w:ascii="Aptos" w:hAnsi="Aptos"/>
          <w:lang w:val="bg-BG"/>
        </w:rPr>
        <w:t>SMART²</w:t>
      </w:r>
      <w:r w:rsidRPr="006F3533">
        <w:rPr>
          <w:rFonts w:ascii="Aptos" w:hAnsi="Aptos"/>
          <w:lang w:val="bg-BG"/>
        </w:rPr>
        <w:t xml:space="preserve"> и </w:t>
      </w:r>
      <w:r w:rsidRPr="006F3533">
        <w:rPr>
          <w:rStyle w:val="Strong"/>
          <w:rFonts w:ascii="Aptos" w:hAnsi="Aptos"/>
          <w:lang w:val="bg-BG"/>
        </w:rPr>
        <w:t>SRI-ENACT</w:t>
      </w:r>
      <w:r w:rsidRPr="006F3533">
        <w:rPr>
          <w:rFonts w:ascii="Aptos" w:hAnsi="Aptos"/>
          <w:lang w:val="bg-BG"/>
        </w:rPr>
        <w:t xml:space="preserve">. </w:t>
      </w:r>
    </w:p>
    <w:p w14:paraId="2B8FC3AE" w14:textId="1D794F8B" w:rsidR="00B572B1" w:rsidRPr="006F3533" w:rsidRDefault="00F94E93" w:rsidP="00077D42">
      <w:pPr>
        <w:pStyle w:val="NormalWeb"/>
        <w:jc w:val="both"/>
        <w:rPr>
          <w:rFonts w:ascii="Aptos" w:hAnsi="Aptos"/>
          <w:lang w:val="bg-BG"/>
        </w:rPr>
      </w:pPr>
      <w:r w:rsidRPr="006F3533">
        <w:rPr>
          <w:rFonts w:ascii="Aptos" w:hAnsi="Aptos"/>
          <w:lang w:val="bg-BG"/>
        </w:rPr>
        <w:t xml:space="preserve">В рамките на тестовата фаза българските партньори адаптираха методологията към националния контекст и изготвиха специализиран </w:t>
      </w:r>
      <w:r w:rsidRPr="006F3533">
        <w:rPr>
          <w:rFonts w:ascii="Aptos" w:hAnsi="Aptos"/>
          <w:b/>
          <w:bCs/>
          <w:lang w:val="bg-BG"/>
        </w:rPr>
        <w:t>инструментариум за оценка на интелигентната готовност</w:t>
      </w:r>
      <w:r w:rsidRPr="006F3533">
        <w:rPr>
          <w:rFonts w:ascii="Aptos" w:hAnsi="Aptos"/>
          <w:lang w:val="bg-BG"/>
        </w:rPr>
        <w:t xml:space="preserve">, съчетан с </w:t>
      </w:r>
      <w:r w:rsidRPr="006F3533">
        <w:rPr>
          <w:rFonts w:ascii="Aptos" w:hAnsi="Aptos"/>
          <w:b/>
          <w:bCs/>
          <w:lang w:val="bg-BG"/>
        </w:rPr>
        <w:t>обучителни програми за енергийни одитори и специалисти по сградна автоматизация</w:t>
      </w:r>
      <w:r w:rsidRPr="006F3533">
        <w:rPr>
          <w:rFonts w:ascii="Aptos" w:hAnsi="Aptos"/>
          <w:lang w:val="bg-BG"/>
        </w:rPr>
        <w:t xml:space="preserve">. В съответствие с разработените по проекта </w:t>
      </w:r>
      <w:r w:rsidRPr="006F3533">
        <w:rPr>
          <w:rFonts w:ascii="Aptos" w:hAnsi="Aptos"/>
          <w:b/>
          <w:bCs/>
          <w:lang w:val="bg-BG"/>
        </w:rPr>
        <w:t>SMART²</w:t>
      </w:r>
      <w:r w:rsidRPr="006F3533">
        <w:rPr>
          <w:rFonts w:ascii="Aptos" w:hAnsi="Aptos"/>
          <w:lang w:val="bg-BG"/>
        </w:rPr>
        <w:t xml:space="preserve"> европейски стандарти, обученията включваха практически занятия чрез онлайн платформата </w:t>
      </w:r>
      <w:proofErr w:type="spellStart"/>
      <w:r w:rsidRPr="006F3533">
        <w:rPr>
          <w:rFonts w:ascii="Aptos" w:hAnsi="Aptos"/>
          <w:b/>
          <w:bCs/>
          <w:lang w:val="bg-BG"/>
        </w:rPr>
        <w:t>Smart</w:t>
      </w:r>
      <w:proofErr w:type="spellEnd"/>
      <w:r w:rsidRPr="006F3533">
        <w:rPr>
          <w:rFonts w:ascii="Aptos" w:hAnsi="Aptos"/>
          <w:b/>
          <w:bCs/>
          <w:lang w:val="bg-BG"/>
        </w:rPr>
        <w:t xml:space="preserve"> </w:t>
      </w:r>
      <w:proofErr w:type="spellStart"/>
      <w:r w:rsidRPr="006F3533">
        <w:rPr>
          <w:rFonts w:ascii="Aptos" w:hAnsi="Aptos"/>
          <w:b/>
          <w:bCs/>
          <w:lang w:val="bg-BG"/>
        </w:rPr>
        <w:t>Readiness</w:t>
      </w:r>
      <w:proofErr w:type="spellEnd"/>
      <w:r w:rsidRPr="006F3533">
        <w:rPr>
          <w:rFonts w:ascii="Aptos" w:hAnsi="Aptos"/>
          <w:b/>
          <w:bCs/>
          <w:lang w:val="bg-BG"/>
        </w:rPr>
        <w:t xml:space="preserve"> </w:t>
      </w:r>
      <w:proofErr w:type="spellStart"/>
      <w:r w:rsidRPr="006F3533">
        <w:rPr>
          <w:rFonts w:ascii="Aptos" w:hAnsi="Aptos"/>
          <w:b/>
          <w:bCs/>
          <w:lang w:val="bg-BG"/>
        </w:rPr>
        <w:t>Virtual</w:t>
      </w:r>
      <w:proofErr w:type="spellEnd"/>
      <w:r w:rsidRPr="006F3533">
        <w:rPr>
          <w:rFonts w:ascii="Aptos" w:hAnsi="Aptos"/>
          <w:b/>
          <w:bCs/>
          <w:lang w:val="bg-BG"/>
        </w:rPr>
        <w:t xml:space="preserve"> </w:t>
      </w:r>
      <w:proofErr w:type="spellStart"/>
      <w:r w:rsidRPr="006F3533">
        <w:rPr>
          <w:rFonts w:ascii="Aptos" w:hAnsi="Aptos"/>
          <w:b/>
          <w:bCs/>
          <w:lang w:val="bg-BG"/>
        </w:rPr>
        <w:t>Training</w:t>
      </w:r>
      <w:proofErr w:type="spellEnd"/>
      <w:r w:rsidRPr="006F3533">
        <w:rPr>
          <w:rFonts w:ascii="Aptos" w:hAnsi="Aptos"/>
          <w:b/>
          <w:bCs/>
          <w:lang w:val="bg-BG"/>
        </w:rPr>
        <w:t xml:space="preserve"> </w:t>
      </w:r>
      <w:proofErr w:type="spellStart"/>
      <w:r w:rsidRPr="006F3533">
        <w:rPr>
          <w:rFonts w:ascii="Aptos" w:hAnsi="Aptos"/>
          <w:b/>
          <w:bCs/>
          <w:lang w:val="bg-BG"/>
        </w:rPr>
        <w:t>Centre</w:t>
      </w:r>
      <w:proofErr w:type="spellEnd"/>
      <w:r w:rsidRPr="006F3533">
        <w:rPr>
          <w:rFonts w:ascii="Aptos" w:hAnsi="Aptos"/>
          <w:lang w:val="bg-BG"/>
        </w:rPr>
        <w:t xml:space="preserve">, която предоставя интерактивни обучителни модули, видеоуроци и тестови оценки, включително </w:t>
      </w:r>
      <w:proofErr w:type="spellStart"/>
      <w:r w:rsidRPr="006F3533">
        <w:rPr>
          <w:rFonts w:ascii="Aptos" w:hAnsi="Aptos"/>
          <w:lang w:val="bg-BG"/>
        </w:rPr>
        <w:t>възможнст</w:t>
      </w:r>
      <w:proofErr w:type="spellEnd"/>
      <w:r w:rsidRPr="006F3533">
        <w:rPr>
          <w:rFonts w:ascii="Aptos" w:hAnsi="Aptos"/>
          <w:lang w:val="bg-BG"/>
        </w:rPr>
        <w:t xml:space="preserve"> за получаване на сертификат за придобити компетенции след успешно издържан тест и практически изпит. Българските експерти участваха активно и в създаването на първата европейска рамка за </w:t>
      </w:r>
      <w:r w:rsidRPr="006F3533">
        <w:rPr>
          <w:rFonts w:ascii="Aptos" w:hAnsi="Aptos"/>
          <w:b/>
          <w:bCs/>
          <w:lang w:val="bg-BG"/>
        </w:rPr>
        <w:t>стандартизирани SRI одити</w:t>
      </w:r>
      <w:r w:rsidRPr="006F3533">
        <w:rPr>
          <w:rFonts w:ascii="Aptos" w:hAnsi="Aptos"/>
          <w:lang w:val="bg-BG"/>
        </w:rPr>
        <w:t xml:space="preserve"> (CWA 18193:2025), както и в изпитването на </w:t>
      </w:r>
      <w:r w:rsidRPr="006F3533">
        <w:rPr>
          <w:rFonts w:ascii="Aptos" w:hAnsi="Aptos"/>
          <w:b/>
          <w:bCs/>
          <w:lang w:val="bg-BG"/>
        </w:rPr>
        <w:t xml:space="preserve">облачната платформа </w:t>
      </w:r>
      <w:proofErr w:type="spellStart"/>
      <w:r w:rsidRPr="006F3533">
        <w:rPr>
          <w:rFonts w:ascii="Aptos" w:hAnsi="Aptos"/>
          <w:b/>
          <w:bCs/>
          <w:lang w:val="bg-BG"/>
        </w:rPr>
        <w:t>Smart</w:t>
      </w:r>
      <w:proofErr w:type="spellEnd"/>
      <w:r w:rsidRPr="006F3533">
        <w:rPr>
          <w:rFonts w:ascii="Aptos" w:hAnsi="Aptos"/>
          <w:b/>
          <w:bCs/>
          <w:lang w:val="bg-BG"/>
        </w:rPr>
        <w:t>-</w:t>
      </w:r>
      <w:proofErr w:type="spellStart"/>
      <w:r w:rsidRPr="006F3533">
        <w:rPr>
          <w:rFonts w:ascii="Aptos" w:hAnsi="Aptos"/>
          <w:b/>
          <w:bCs/>
          <w:lang w:val="bg-BG"/>
        </w:rPr>
        <w:t>Ready</w:t>
      </w:r>
      <w:proofErr w:type="spellEnd"/>
      <w:r w:rsidRPr="006F3533">
        <w:rPr>
          <w:rFonts w:ascii="Aptos" w:hAnsi="Aptos"/>
          <w:b/>
          <w:bCs/>
          <w:lang w:val="bg-BG"/>
        </w:rPr>
        <w:t>-Go!</w:t>
      </w:r>
      <w:r w:rsidRPr="006F3533">
        <w:rPr>
          <w:rFonts w:ascii="Aptos" w:hAnsi="Aptos"/>
          <w:lang w:val="bg-BG"/>
        </w:rPr>
        <w:t xml:space="preserve">, която улеснява извършването на оценки по Методи А и B на SRI (детайлен и опростен подход за експерти) и предлага възможност за бързи оценки, включително от неспециалисти, по така наречения </w:t>
      </w:r>
      <w:proofErr w:type="spellStart"/>
      <w:r w:rsidRPr="006F3533">
        <w:rPr>
          <w:rFonts w:ascii="Aptos" w:hAnsi="Aptos"/>
          <w:lang w:val="bg-BG"/>
        </w:rPr>
        <w:t>call</w:t>
      </w:r>
      <w:proofErr w:type="spellEnd"/>
      <w:r w:rsidRPr="006F3533">
        <w:rPr>
          <w:rFonts w:ascii="Aptos" w:hAnsi="Aptos"/>
          <w:lang w:val="bg-BG"/>
        </w:rPr>
        <w:t xml:space="preserve"> </w:t>
      </w:r>
      <w:proofErr w:type="spellStart"/>
      <w:r w:rsidRPr="006F3533">
        <w:rPr>
          <w:rFonts w:ascii="Aptos" w:hAnsi="Aptos"/>
          <w:lang w:val="bg-BG"/>
        </w:rPr>
        <w:t>center</w:t>
      </w:r>
      <w:proofErr w:type="spellEnd"/>
      <w:r w:rsidRPr="006F3533">
        <w:rPr>
          <w:rFonts w:ascii="Aptos" w:hAnsi="Aptos"/>
          <w:lang w:val="bg-BG"/>
        </w:rPr>
        <w:t xml:space="preserve"> метод. Платформата </w:t>
      </w:r>
      <w:proofErr w:type="spellStart"/>
      <w:r w:rsidRPr="006F3533">
        <w:rPr>
          <w:rFonts w:ascii="Aptos" w:hAnsi="Aptos"/>
          <w:b/>
          <w:bCs/>
          <w:lang w:val="bg-BG"/>
        </w:rPr>
        <w:t>Smart</w:t>
      </w:r>
      <w:proofErr w:type="spellEnd"/>
      <w:r w:rsidRPr="006F3533">
        <w:rPr>
          <w:rFonts w:ascii="Aptos" w:hAnsi="Aptos"/>
          <w:b/>
          <w:bCs/>
          <w:lang w:val="bg-BG"/>
        </w:rPr>
        <w:t>-</w:t>
      </w:r>
      <w:proofErr w:type="spellStart"/>
      <w:r w:rsidRPr="006F3533">
        <w:rPr>
          <w:rFonts w:ascii="Aptos" w:hAnsi="Aptos"/>
          <w:b/>
          <w:bCs/>
          <w:lang w:val="bg-BG"/>
        </w:rPr>
        <w:t>Ready</w:t>
      </w:r>
      <w:proofErr w:type="spellEnd"/>
      <w:r w:rsidRPr="006F3533">
        <w:rPr>
          <w:rFonts w:ascii="Aptos" w:hAnsi="Aptos"/>
          <w:b/>
          <w:bCs/>
          <w:lang w:val="bg-BG"/>
        </w:rPr>
        <w:t>-Go!</w:t>
      </w:r>
      <w:r w:rsidRPr="006F3533">
        <w:rPr>
          <w:rFonts w:ascii="Aptos" w:hAnsi="Aptos"/>
          <w:lang w:val="bg-BG"/>
        </w:rPr>
        <w:t xml:space="preserve"> вече е използвана за издаването на над 6 300 оценки в Европа, като е адаптирана </w:t>
      </w:r>
      <w:r w:rsidRPr="006F3533">
        <w:rPr>
          <w:rFonts w:ascii="Aptos" w:hAnsi="Aptos"/>
          <w:lang w:val="bg-BG"/>
        </w:rPr>
        <w:lastRenderedPageBreak/>
        <w:t xml:space="preserve">и за национално прилагане в България и има за цел да позволи интеграция със системата за бъдещите </w:t>
      </w:r>
      <w:r w:rsidRPr="006F3533">
        <w:rPr>
          <w:rFonts w:ascii="Aptos" w:hAnsi="Aptos"/>
          <w:b/>
          <w:bCs/>
          <w:lang w:val="bg-BG"/>
        </w:rPr>
        <w:t>цифрови сградни паспорти.</w:t>
      </w:r>
      <w:r w:rsidR="00B572B1" w:rsidRPr="006F3533">
        <w:rPr>
          <w:rStyle w:val="Strong"/>
          <w:rFonts w:ascii="Aptos" w:hAnsi="Aptos"/>
          <w:lang w:val="bg-BG"/>
        </w:rPr>
        <w:t xml:space="preserve"> </w:t>
      </w:r>
    </w:p>
    <w:p w14:paraId="4552B55D" w14:textId="46C18EC9" w:rsidR="00B572B1" w:rsidRPr="006F3533" w:rsidRDefault="00B572B1" w:rsidP="00077D42">
      <w:pPr>
        <w:pStyle w:val="NormalWeb"/>
        <w:jc w:val="both"/>
        <w:rPr>
          <w:rFonts w:ascii="Aptos" w:hAnsi="Aptos"/>
          <w:lang w:val="bg-BG"/>
        </w:rPr>
      </w:pPr>
      <w:r w:rsidRPr="006F3533">
        <w:rPr>
          <w:rFonts w:ascii="Aptos" w:hAnsi="Aptos"/>
          <w:lang w:val="bg-BG"/>
        </w:rPr>
        <w:t xml:space="preserve">Обученията, организирани от </w:t>
      </w:r>
      <w:r w:rsidRPr="006F3533">
        <w:rPr>
          <w:rStyle w:val="Strong"/>
          <w:rFonts w:ascii="Aptos" w:hAnsi="Aptos"/>
          <w:lang w:val="bg-BG"/>
        </w:rPr>
        <w:t>Черноморския изследователски енергиен център</w:t>
      </w:r>
      <w:r w:rsidRPr="006F3533">
        <w:rPr>
          <w:rFonts w:ascii="Aptos" w:hAnsi="Aptos"/>
          <w:lang w:val="bg-BG"/>
        </w:rPr>
        <w:t xml:space="preserve"> и </w:t>
      </w:r>
      <w:proofErr w:type="spellStart"/>
      <w:r w:rsidRPr="006F3533">
        <w:rPr>
          <w:rStyle w:val="Strong"/>
          <w:rFonts w:ascii="Aptos" w:hAnsi="Aptos"/>
          <w:lang w:val="bg-BG"/>
        </w:rPr>
        <w:t>ЕнЕфект</w:t>
      </w:r>
      <w:proofErr w:type="spellEnd"/>
      <w:r w:rsidRPr="006F3533">
        <w:rPr>
          <w:rFonts w:ascii="Aptos" w:hAnsi="Aptos"/>
          <w:lang w:val="bg-BG"/>
        </w:rPr>
        <w:t xml:space="preserve">, доведоха до сертифициране на 13 одитори, които извършиха </w:t>
      </w:r>
      <w:r w:rsidRPr="006F3533">
        <w:rPr>
          <w:rStyle w:val="Strong"/>
          <w:rFonts w:ascii="Aptos" w:hAnsi="Aptos"/>
          <w:lang w:val="bg-BG"/>
        </w:rPr>
        <w:t>135 пилотни оценки</w:t>
      </w:r>
      <w:r w:rsidRPr="006F3533">
        <w:rPr>
          <w:rFonts w:ascii="Aptos" w:hAnsi="Aptos"/>
          <w:lang w:val="bg-BG"/>
        </w:rPr>
        <w:t xml:space="preserve"> на различни типове сгради – учебни (30), административни (33), здравни (9), други обществени (39) и жилищни (24). Средната стойност на SRI за извадката е </w:t>
      </w:r>
      <w:r w:rsidRPr="006F3533">
        <w:rPr>
          <w:rStyle w:val="Strong"/>
          <w:rFonts w:ascii="Aptos" w:hAnsi="Aptos"/>
          <w:lang w:val="bg-BG"/>
        </w:rPr>
        <w:t>35,3</w:t>
      </w:r>
      <w:r w:rsidR="00560454" w:rsidRPr="006F3533">
        <w:rPr>
          <w:rStyle w:val="Strong"/>
          <w:rFonts w:ascii="Aptos" w:hAnsi="Aptos"/>
          <w:lang w:val="bg-BG"/>
        </w:rPr>
        <w:t>%</w:t>
      </w:r>
      <w:r w:rsidRPr="006F3533">
        <w:rPr>
          <w:rFonts w:ascii="Aptos" w:hAnsi="Aptos"/>
          <w:lang w:val="bg-BG"/>
        </w:rPr>
        <w:t xml:space="preserve">, като България постига </w:t>
      </w:r>
      <w:r w:rsidRPr="006F3533">
        <w:rPr>
          <w:rStyle w:val="Strong"/>
          <w:rFonts w:ascii="Aptos" w:hAnsi="Aptos"/>
          <w:lang w:val="bg-BG"/>
        </w:rPr>
        <w:t>най-висок среден резултат сред осемте пилотни държави по проект SRI-ENACT</w:t>
      </w:r>
      <w:r w:rsidRPr="006F3533">
        <w:rPr>
          <w:rFonts w:ascii="Aptos" w:hAnsi="Aptos"/>
          <w:lang w:val="bg-BG"/>
        </w:rPr>
        <w:t xml:space="preserve">. Най-високи оценки са отчетени в областите </w:t>
      </w:r>
      <w:r w:rsidRPr="006F3533">
        <w:rPr>
          <w:rStyle w:val="Strong"/>
          <w:rFonts w:ascii="Aptos" w:hAnsi="Aptos"/>
          <w:lang w:val="bg-BG"/>
        </w:rPr>
        <w:t>енергийна ефективност, комфорт, удобство, здраве и достъпност</w:t>
      </w:r>
      <w:r w:rsidRPr="006F3533">
        <w:rPr>
          <w:rFonts w:ascii="Aptos" w:hAnsi="Aptos"/>
          <w:lang w:val="bg-BG"/>
        </w:rPr>
        <w:t>. Добри резултати са регистрирани при сградите с внедрени фотоволтаични системи, термопомпи и системи за централизирано управление и мониторинг (BACS/BMS). Анализите показват, че дори без големи инвестиции могат да се постигнат значителни подобрения чрез оптимизация на съществуващите системи за автоматизация и контрол.</w:t>
      </w:r>
    </w:p>
    <w:p w14:paraId="110491BF"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В хода на тестването бе установено, че основни пречки пред по-широкото прилагане на интелигентни технологии остават липсата на конкретни </w:t>
      </w:r>
      <w:r w:rsidRPr="006F3533">
        <w:rPr>
          <w:rStyle w:val="Strong"/>
          <w:rFonts w:ascii="Aptos" w:hAnsi="Aptos"/>
          <w:lang w:val="bg-BG"/>
        </w:rPr>
        <w:t>законодателни и нормативни изисквания</w:t>
      </w:r>
      <w:r w:rsidRPr="006F3533">
        <w:rPr>
          <w:rFonts w:ascii="Aptos" w:hAnsi="Aptos"/>
          <w:lang w:val="bg-BG"/>
        </w:rPr>
        <w:t xml:space="preserve">, както и </w:t>
      </w:r>
      <w:r w:rsidRPr="006F3533">
        <w:rPr>
          <w:rStyle w:val="Strong"/>
          <w:rFonts w:ascii="Aptos" w:hAnsi="Aptos"/>
          <w:lang w:val="bg-BG"/>
        </w:rPr>
        <w:t>недостатъчният капацитет на проектантите и одиторите</w:t>
      </w:r>
      <w:r w:rsidRPr="006F3533">
        <w:rPr>
          <w:rFonts w:ascii="Aptos" w:hAnsi="Aptos"/>
          <w:lang w:val="bg-BG"/>
        </w:rPr>
        <w:t xml:space="preserve">. Затова проектите </w:t>
      </w:r>
      <w:r w:rsidRPr="006F3533">
        <w:rPr>
          <w:rStyle w:val="Strong"/>
          <w:rFonts w:ascii="Aptos" w:hAnsi="Aptos"/>
          <w:lang w:val="bg-BG"/>
        </w:rPr>
        <w:t>SMART²</w:t>
      </w:r>
      <w:r w:rsidRPr="006F3533">
        <w:rPr>
          <w:rFonts w:ascii="Aptos" w:hAnsi="Aptos"/>
          <w:lang w:val="bg-BG"/>
        </w:rPr>
        <w:t xml:space="preserve"> и </w:t>
      </w:r>
      <w:r w:rsidRPr="006F3533">
        <w:rPr>
          <w:rStyle w:val="Strong"/>
          <w:rFonts w:ascii="Aptos" w:hAnsi="Aptos"/>
          <w:lang w:val="bg-BG"/>
        </w:rPr>
        <w:t>SRI-ENACT</w:t>
      </w:r>
      <w:r w:rsidRPr="006F3533">
        <w:rPr>
          <w:rFonts w:ascii="Aptos" w:hAnsi="Aptos"/>
          <w:lang w:val="bg-BG"/>
        </w:rPr>
        <w:t xml:space="preserve"> предложиха следните приоритетни насоки за следващия етап:</w:t>
      </w:r>
    </w:p>
    <w:p w14:paraId="5DABEDD9" w14:textId="40E8E570" w:rsidR="00F94E93" w:rsidRPr="006F3533" w:rsidRDefault="00F94E93" w:rsidP="00551FED">
      <w:pPr>
        <w:pStyle w:val="NormalWeb"/>
        <w:numPr>
          <w:ilvl w:val="0"/>
          <w:numId w:val="60"/>
        </w:numPr>
        <w:rPr>
          <w:rFonts w:ascii="Aptos" w:hAnsi="Aptos"/>
          <w:lang w:val="bg-BG"/>
        </w:rPr>
      </w:pPr>
      <w:r w:rsidRPr="006F3533">
        <w:rPr>
          <w:rFonts w:ascii="Aptos" w:hAnsi="Aptos"/>
          <w:lang w:val="bg-BG"/>
        </w:rPr>
        <w:t>интегриране на SRI в системата за енергийно сертифициране на сградите (</w:t>
      </w:r>
      <w:r w:rsidR="00514FBD" w:rsidRPr="006F3533">
        <w:rPr>
          <w:rFonts w:ascii="Aptos" w:hAnsi="Aptos"/>
          <w:lang w:val="bg-BG"/>
        </w:rPr>
        <w:t>вкл.</w:t>
      </w:r>
      <w:r w:rsidRPr="006F3533">
        <w:rPr>
          <w:rFonts w:ascii="Aptos" w:hAnsi="Aptos"/>
          <w:lang w:val="bg-BG"/>
        </w:rPr>
        <w:t xml:space="preserve"> </w:t>
      </w:r>
      <w:r w:rsidR="00514FBD" w:rsidRPr="006F3533">
        <w:rPr>
          <w:rFonts w:ascii="Aptos" w:hAnsi="Aptos"/>
          <w:lang w:val="bg-BG"/>
        </w:rPr>
        <w:t xml:space="preserve"> в </w:t>
      </w:r>
      <w:r w:rsidRPr="006F3533">
        <w:rPr>
          <w:rFonts w:ascii="Aptos" w:hAnsi="Aptos"/>
          <w:lang w:val="bg-BG"/>
        </w:rPr>
        <w:t xml:space="preserve">паспорти </w:t>
      </w:r>
      <w:r w:rsidR="00514FBD" w:rsidRPr="006F3533">
        <w:rPr>
          <w:rFonts w:ascii="Aptos" w:hAnsi="Aptos"/>
          <w:lang w:val="bg-BG"/>
        </w:rPr>
        <w:t>за сградно обновяване</w:t>
      </w:r>
      <w:r w:rsidRPr="006F3533">
        <w:rPr>
          <w:rFonts w:ascii="Aptos" w:hAnsi="Aptos"/>
          <w:lang w:val="bg-BG"/>
        </w:rPr>
        <w:t>);</w:t>
      </w:r>
    </w:p>
    <w:p w14:paraId="0483080A" w14:textId="77777777" w:rsidR="00F94E93" w:rsidRPr="006F3533" w:rsidRDefault="00F94E93" w:rsidP="00551FED">
      <w:pPr>
        <w:pStyle w:val="NormalWeb"/>
        <w:numPr>
          <w:ilvl w:val="0"/>
          <w:numId w:val="60"/>
        </w:numPr>
        <w:rPr>
          <w:rFonts w:ascii="Aptos" w:hAnsi="Aptos"/>
          <w:lang w:val="bg-BG"/>
        </w:rPr>
      </w:pPr>
      <w:r w:rsidRPr="006F3533">
        <w:rPr>
          <w:rFonts w:ascii="Aptos" w:hAnsi="Aptos"/>
          <w:lang w:val="bg-BG"/>
        </w:rPr>
        <w:t xml:space="preserve">утвърждаване на </w:t>
      </w:r>
      <w:r w:rsidRPr="006F3533">
        <w:rPr>
          <w:rStyle w:val="Strong"/>
          <w:rFonts w:ascii="Aptos" w:hAnsi="Aptos"/>
          <w:lang w:val="bg-BG"/>
        </w:rPr>
        <w:t>национални референтни стойности и теглови коефициенти</w:t>
      </w:r>
      <w:r w:rsidRPr="006F3533">
        <w:rPr>
          <w:rFonts w:ascii="Aptos" w:hAnsi="Aptos"/>
          <w:lang w:val="bg-BG"/>
        </w:rPr>
        <w:t xml:space="preserve"> по категории сгради;</w:t>
      </w:r>
    </w:p>
    <w:p w14:paraId="31D81185" w14:textId="3319967E" w:rsidR="00F94E93" w:rsidRPr="006F3533" w:rsidRDefault="00F94E93" w:rsidP="00551FED">
      <w:pPr>
        <w:pStyle w:val="NormalWeb"/>
        <w:numPr>
          <w:ilvl w:val="0"/>
          <w:numId w:val="60"/>
        </w:numPr>
        <w:rPr>
          <w:rFonts w:ascii="Aptos" w:hAnsi="Aptos"/>
          <w:lang w:val="bg-BG"/>
        </w:rPr>
      </w:pPr>
      <w:r w:rsidRPr="006F3533">
        <w:rPr>
          <w:rFonts w:ascii="Aptos" w:hAnsi="Aptos"/>
          <w:lang w:val="bg-BG"/>
        </w:rPr>
        <w:t>разширяване на програмите за обучение и повишаване на квалификацията</w:t>
      </w:r>
      <w:r w:rsidR="00514FBD" w:rsidRPr="006F3533">
        <w:rPr>
          <w:rFonts w:ascii="Aptos" w:hAnsi="Aptos"/>
          <w:lang w:val="bg-BG"/>
        </w:rPr>
        <w:t xml:space="preserve"> на енергийните </w:t>
      </w:r>
      <w:proofErr w:type="spellStart"/>
      <w:r w:rsidR="00514FBD" w:rsidRPr="006F3533">
        <w:rPr>
          <w:rFonts w:ascii="Aptos" w:hAnsi="Aptos"/>
          <w:lang w:val="bg-BG"/>
        </w:rPr>
        <w:t>консултанити</w:t>
      </w:r>
      <w:proofErr w:type="spellEnd"/>
      <w:r w:rsidRPr="006F3533">
        <w:rPr>
          <w:rFonts w:ascii="Aptos" w:hAnsi="Aptos"/>
          <w:lang w:val="bg-BG"/>
        </w:rPr>
        <w:t>;</w:t>
      </w:r>
    </w:p>
    <w:p w14:paraId="4924E366" w14:textId="77777777" w:rsidR="00F94E93" w:rsidRPr="006F3533" w:rsidRDefault="00F94E93" w:rsidP="00551FED">
      <w:pPr>
        <w:pStyle w:val="NormalWeb"/>
        <w:numPr>
          <w:ilvl w:val="0"/>
          <w:numId w:val="60"/>
        </w:numPr>
        <w:rPr>
          <w:rFonts w:ascii="Aptos" w:hAnsi="Aptos"/>
          <w:lang w:val="bg-BG"/>
        </w:rPr>
      </w:pPr>
      <w:r w:rsidRPr="006F3533">
        <w:rPr>
          <w:rFonts w:ascii="Aptos" w:hAnsi="Aptos"/>
          <w:lang w:val="bg-BG"/>
        </w:rPr>
        <w:t xml:space="preserve">подготовка на </w:t>
      </w:r>
      <w:r w:rsidRPr="006F3533">
        <w:rPr>
          <w:rStyle w:val="Strong"/>
          <w:rFonts w:ascii="Aptos" w:hAnsi="Aptos"/>
          <w:lang w:val="bg-BG"/>
        </w:rPr>
        <w:t>финансови стимули</w:t>
      </w:r>
      <w:r w:rsidRPr="006F3533">
        <w:rPr>
          <w:rFonts w:ascii="Aptos" w:hAnsi="Aptos"/>
          <w:lang w:val="bg-BG"/>
        </w:rPr>
        <w:t xml:space="preserve"> за внедряване на интелигентни технологии и повишаване на SRI показатели при обновяване сгради в рамките на бъдещи програми за енергийна ефективност, като инструмент за постигане на по-високи спестявания;</w:t>
      </w:r>
    </w:p>
    <w:p w14:paraId="27348FDB" w14:textId="77777777" w:rsidR="00F94E93" w:rsidRPr="006F3533" w:rsidRDefault="00F94E93" w:rsidP="00551FED">
      <w:pPr>
        <w:pStyle w:val="NormalWeb"/>
        <w:numPr>
          <w:ilvl w:val="0"/>
          <w:numId w:val="60"/>
        </w:numPr>
        <w:rPr>
          <w:rFonts w:ascii="Aptos" w:hAnsi="Aptos"/>
          <w:lang w:val="bg-BG"/>
        </w:rPr>
      </w:pPr>
      <w:r w:rsidRPr="006F3533">
        <w:rPr>
          <w:rFonts w:ascii="Aptos" w:hAnsi="Aptos"/>
          <w:lang w:val="bg-BG"/>
        </w:rPr>
        <w:t>въвеждане на задължителни SRI оценки за големи обществени и нестопански сгради след 2027 г., съгласно предвижданията на преразгледаната Директива за енергийните характеристики на сградите (2024/1275/ЕС).</w:t>
      </w:r>
    </w:p>
    <w:p w14:paraId="21C7FCC8" w14:textId="59426D7D" w:rsidR="00DA4C6A" w:rsidRPr="006F3533" w:rsidRDefault="00B572B1" w:rsidP="00077D42">
      <w:pPr>
        <w:pStyle w:val="NormalWeb"/>
        <w:jc w:val="both"/>
        <w:rPr>
          <w:rFonts w:ascii="Aptos" w:hAnsi="Aptos"/>
          <w:lang w:val="bg-BG"/>
        </w:rPr>
      </w:pPr>
      <w:r w:rsidRPr="006F3533">
        <w:rPr>
          <w:rFonts w:ascii="Aptos" w:hAnsi="Aptos"/>
          <w:lang w:val="bg-BG"/>
        </w:rPr>
        <w:t xml:space="preserve">Доброволната тестова фаза доказа техническата приложимост и ефективност на SRI при съчетаването му с вече утвърдени процедури за енергиен одит и сертифициране. Постигнатите резултати и натрупаният опит ще бъдат използвани при подготовката на национална рамка за въвеждане на SRI и за интегрирането му в бъдещите политики за интелигентни и </w:t>
      </w:r>
      <w:proofErr w:type="spellStart"/>
      <w:r w:rsidRPr="006F3533">
        <w:rPr>
          <w:rFonts w:ascii="Aptos" w:hAnsi="Aptos"/>
          <w:lang w:val="bg-BG"/>
        </w:rPr>
        <w:t>нулевоемисионни</w:t>
      </w:r>
      <w:proofErr w:type="spellEnd"/>
      <w:r w:rsidRPr="006F3533">
        <w:rPr>
          <w:rFonts w:ascii="Aptos" w:hAnsi="Aptos"/>
          <w:lang w:val="bg-BG"/>
        </w:rPr>
        <w:t xml:space="preserve"> сгради.</w:t>
      </w:r>
      <w:r w:rsidR="00DA4C6A" w:rsidRPr="006F3533">
        <w:rPr>
          <w:rFonts w:ascii="Aptos" w:hAnsi="Aptos"/>
          <w:lang w:val="bg-BG"/>
        </w:rPr>
        <w:t xml:space="preserve"> Така, считано от 2027 г., се предвижда индикаторът за интелигентна готовност на сградите да бъде интегриран като задължителен допълващ елемент към сертификатите за енергийните характеристики за определени категории сгради, както и към паспортите за сградно обновяване. Оценката ще се извършва от сертифицирани енергийни одитори в рамките на съществуващите процедури, чрез </w:t>
      </w:r>
      <w:r w:rsidR="00DA4C6A" w:rsidRPr="006F3533">
        <w:rPr>
          <w:rFonts w:ascii="Aptos" w:hAnsi="Aptos"/>
          <w:lang w:val="bg-BG"/>
        </w:rPr>
        <w:lastRenderedPageBreak/>
        <w:t>допълнение към националния софтуер за сертифициране на сгради, без въвеждане на паралелни системи. По този начин ще се осигури единен подход за отчитане на енергийната ефективност, интелигентната готовност и потенциала за гъвкавост и взаимодействие на сградите с енергийната система, като резултатите от SRI ще се използват за планиране на мерки за обновяване и за приоритизиране на проекти с по-висока добавена стойност в рамките на националните програми за подкрепа.</w:t>
      </w:r>
    </w:p>
    <w:p w14:paraId="013CA3BD" w14:textId="77777777" w:rsidR="00B572B1" w:rsidRPr="006F3533" w:rsidRDefault="00B572B1" w:rsidP="00077D42">
      <w:pPr>
        <w:pStyle w:val="Heading3"/>
        <w:jc w:val="both"/>
        <w:rPr>
          <w:rFonts w:ascii="Aptos" w:hAnsi="Aptos"/>
          <w:sz w:val="24"/>
          <w:szCs w:val="24"/>
          <w:lang w:val="bg-BG"/>
        </w:rPr>
      </w:pPr>
      <w:bookmarkStart w:id="370" w:name="_Toc216816180"/>
      <w:bookmarkStart w:id="371" w:name="_Toc216857871"/>
      <w:bookmarkStart w:id="372" w:name="_Toc217888881"/>
      <w:r w:rsidRPr="006F3533">
        <w:rPr>
          <w:rFonts w:ascii="Aptos" w:hAnsi="Aptos"/>
          <w:sz w:val="24"/>
          <w:szCs w:val="24"/>
          <w:lang w:val="bg-BG"/>
        </w:rPr>
        <w:t>Инфраструктура за устойчива мобилност в сградите</w:t>
      </w:r>
      <w:bookmarkEnd w:id="370"/>
      <w:bookmarkEnd w:id="371"/>
      <w:bookmarkEnd w:id="372"/>
    </w:p>
    <w:p w14:paraId="0E62363F" w14:textId="77777777" w:rsidR="00B572B1" w:rsidRPr="006F3533" w:rsidRDefault="00B572B1" w:rsidP="00077D42">
      <w:pPr>
        <w:pStyle w:val="NormalWeb"/>
        <w:jc w:val="both"/>
        <w:rPr>
          <w:rFonts w:ascii="Aptos" w:hAnsi="Aptos"/>
          <w:lang w:val="bg-BG"/>
        </w:rPr>
      </w:pPr>
      <w:r w:rsidRPr="006F3533">
        <w:rPr>
          <w:rFonts w:ascii="Aptos" w:hAnsi="Aptos"/>
          <w:lang w:val="bg-BG"/>
        </w:rPr>
        <w:t xml:space="preserve">България ще транспонира изискванията на член 14 от преразгледаната Директива за енергийните характеристики на сградите, като осигури прилагане на </w:t>
      </w:r>
      <w:r w:rsidRPr="006F3533">
        <w:rPr>
          <w:rStyle w:val="Strong"/>
          <w:rFonts w:ascii="Aptos" w:hAnsi="Aptos"/>
          <w:lang w:val="bg-BG"/>
        </w:rPr>
        <w:t>Насоките за инфраструктура за устойчива мобилност</w:t>
      </w:r>
      <w:r w:rsidRPr="006F3533">
        <w:rPr>
          <w:rFonts w:ascii="Aptos" w:hAnsi="Aptos"/>
          <w:lang w:val="bg-BG"/>
        </w:rPr>
        <w:t xml:space="preserve"> на ЕК и на мерките, заложени в проекта на </w:t>
      </w:r>
      <w:r w:rsidRPr="006F3533">
        <w:rPr>
          <w:rStyle w:val="Strong"/>
          <w:rFonts w:ascii="Aptos" w:hAnsi="Aptos"/>
          <w:lang w:val="bg-BG"/>
        </w:rPr>
        <w:t>Закон за насърчаване на електрическата мобилност</w:t>
      </w:r>
      <w:r w:rsidRPr="006F3533">
        <w:rPr>
          <w:rFonts w:ascii="Aptos" w:hAnsi="Aptos"/>
          <w:lang w:val="bg-BG"/>
        </w:rPr>
        <w:t>. Тези документи поставят основата за изграждане на модерна, безопасна и достъпна зарядна инфраструктура в нови, реновирани и съществуващи сгради, като приоритетно се насърчава интелигентното зареждане, цифровизацията и интеграцията с енергийната система.</w:t>
      </w:r>
    </w:p>
    <w:p w14:paraId="68C7C549" w14:textId="6950F037" w:rsidR="00B572B1" w:rsidRPr="006F3533" w:rsidRDefault="00B572B1" w:rsidP="00077D42">
      <w:pPr>
        <w:pStyle w:val="NormalWeb"/>
        <w:jc w:val="both"/>
        <w:rPr>
          <w:rFonts w:ascii="Aptos" w:hAnsi="Aptos"/>
          <w:lang w:val="bg-BG"/>
        </w:rPr>
      </w:pPr>
      <w:r w:rsidRPr="006F3533">
        <w:rPr>
          <w:rStyle w:val="Strong"/>
          <w:rFonts w:ascii="Aptos" w:hAnsi="Aptos"/>
          <w:lang w:val="bg-BG"/>
        </w:rPr>
        <w:t>1. Минимални изисквания и срокове за въвеждане</w:t>
      </w:r>
      <w:r w:rsidR="0016344B" w:rsidRPr="006F3533">
        <w:rPr>
          <w:rStyle w:val="Strong"/>
          <w:rFonts w:ascii="Aptos" w:hAnsi="Aptos"/>
          <w:lang w:val="bg-BG"/>
        </w:rPr>
        <w:t xml:space="preserve">. </w:t>
      </w:r>
      <w:r w:rsidRPr="006F3533">
        <w:rPr>
          <w:rFonts w:ascii="Aptos" w:hAnsi="Aptos"/>
          <w:lang w:val="bg-BG"/>
        </w:rPr>
        <w:t>В съответствие с европейските насоки и предстоящото национално законодателство:</w:t>
      </w:r>
    </w:p>
    <w:p w14:paraId="52E861EA" w14:textId="77777777" w:rsidR="00B572B1" w:rsidRPr="006F3533" w:rsidRDefault="00B572B1" w:rsidP="00551FED">
      <w:pPr>
        <w:pStyle w:val="NormalWeb"/>
        <w:numPr>
          <w:ilvl w:val="0"/>
          <w:numId w:val="61"/>
        </w:numPr>
        <w:jc w:val="both"/>
        <w:rPr>
          <w:rFonts w:ascii="Aptos" w:hAnsi="Aptos"/>
          <w:lang w:val="bg-BG"/>
        </w:rPr>
      </w:pPr>
      <w:r w:rsidRPr="006F3533">
        <w:rPr>
          <w:rStyle w:val="Strong"/>
          <w:rFonts w:ascii="Aptos" w:hAnsi="Aptos"/>
          <w:lang w:val="bg-BG"/>
        </w:rPr>
        <w:t>Нови и основно реновирани нежилищни сгради</w:t>
      </w:r>
      <w:r w:rsidRPr="006F3533">
        <w:rPr>
          <w:rFonts w:ascii="Aptos" w:hAnsi="Aptos"/>
          <w:lang w:val="bg-BG"/>
        </w:rPr>
        <w:t xml:space="preserve"> с над </w:t>
      </w:r>
      <w:r w:rsidRPr="006F3533">
        <w:rPr>
          <w:rStyle w:val="Strong"/>
          <w:rFonts w:ascii="Aptos" w:hAnsi="Aptos"/>
          <w:lang w:val="bg-BG"/>
        </w:rPr>
        <w:t>пет паркоместа</w:t>
      </w:r>
      <w:r w:rsidRPr="006F3533">
        <w:rPr>
          <w:rFonts w:ascii="Aptos" w:hAnsi="Aptos"/>
          <w:lang w:val="bg-BG"/>
        </w:rPr>
        <w:t xml:space="preserve"> ще осигуряват </w:t>
      </w:r>
      <w:r w:rsidRPr="006F3533">
        <w:rPr>
          <w:rStyle w:val="Strong"/>
          <w:rFonts w:ascii="Aptos" w:hAnsi="Aptos"/>
          <w:lang w:val="bg-BG"/>
        </w:rPr>
        <w:t>поне една зарядна точка на всеки пет места</w:t>
      </w:r>
      <w:r w:rsidRPr="006F3533">
        <w:rPr>
          <w:rFonts w:ascii="Aptos" w:hAnsi="Aptos"/>
          <w:lang w:val="bg-BG"/>
        </w:rPr>
        <w:t xml:space="preserve"> и </w:t>
      </w:r>
      <w:proofErr w:type="spellStart"/>
      <w:r w:rsidRPr="006F3533">
        <w:rPr>
          <w:rStyle w:val="Strong"/>
          <w:rFonts w:ascii="Aptos" w:hAnsi="Aptos"/>
          <w:lang w:val="bg-BG"/>
        </w:rPr>
        <w:t>предкабелиране</w:t>
      </w:r>
      <w:proofErr w:type="spellEnd"/>
      <w:r w:rsidRPr="006F3533">
        <w:rPr>
          <w:rStyle w:val="Strong"/>
          <w:rFonts w:ascii="Aptos" w:hAnsi="Aptos"/>
          <w:lang w:val="bg-BG"/>
        </w:rPr>
        <w:t xml:space="preserve"> (</w:t>
      </w:r>
      <w:proofErr w:type="spellStart"/>
      <w:r w:rsidRPr="006F3533">
        <w:rPr>
          <w:rStyle w:val="Strong"/>
          <w:rFonts w:ascii="Aptos" w:hAnsi="Aptos"/>
          <w:lang w:val="bg-BG"/>
        </w:rPr>
        <w:t>ducting</w:t>
      </w:r>
      <w:proofErr w:type="spellEnd"/>
      <w:r w:rsidRPr="006F3533">
        <w:rPr>
          <w:rStyle w:val="Strong"/>
          <w:rFonts w:ascii="Aptos" w:hAnsi="Aptos"/>
          <w:lang w:val="bg-BG"/>
        </w:rPr>
        <w:t>)</w:t>
      </w:r>
      <w:r w:rsidRPr="006F3533">
        <w:rPr>
          <w:rFonts w:ascii="Aptos" w:hAnsi="Aptos"/>
          <w:lang w:val="bg-BG"/>
        </w:rPr>
        <w:t xml:space="preserve"> за най-малко 50% от останалите. При </w:t>
      </w:r>
      <w:r w:rsidRPr="006F3533">
        <w:rPr>
          <w:rStyle w:val="Strong"/>
          <w:rFonts w:ascii="Aptos" w:hAnsi="Aptos"/>
          <w:lang w:val="bg-BG"/>
        </w:rPr>
        <w:t>офисни сгради</w:t>
      </w:r>
      <w:r w:rsidRPr="006F3533">
        <w:rPr>
          <w:rFonts w:ascii="Aptos" w:hAnsi="Aptos"/>
          <w:lang w:val="bg-BG"/>
        </w:rPr>
        <w:t xml:space="preserve"> изискването се повишава до </w:t>
      </w:r>
      <w:r w:rsidRPr="006F3533">
        <w:rPr>
          <w:rStyle w:val="Strong"/>
          <w:rFonts w:ascii="Aptos" w:hAnsi="Aptos"/>
          <w:lang w:val="bg-BG"/>
        </w:rPr>
        <w:t>една точка на всеки две места</w:t>
      </w:r>
      <w:r w:rsidRPr="006F3533">
        <w:rPr>
          <w:rFonts w:ascii="Aptos" w:hAnsi="Aptos"/>
          <w:lang w:val="bg-BG"/>
        </w:rPr>
        <w:t>.</w:t>
      </w:r>
    </w:p>
    <w:p w14:paraId="38012ED1" w14:textId="77777777" w:rsidR="00B572B1" w:rsidRPr="006F3533" w:rsidRDefault="00B572B1" w:rsidP="00551FED">
      <w:pPr>
        <w:pStyle w:val="NormalWeb"/>
        <w:numPr>
          <w:ilvl w:val="0"/>
          <w:numId w:val="61"/>
        </w:numPr>
        <w:jc w:val="both"/>
        <w:rPr>
          <w:rFonts w:ascii="Aptos" w:hAnsi="Aptos"/>
          <w:lang w:val="bg-BG"/>
        </w:rPr>
      </w:pPr>
      <w:r w:rsidRPr="006F3533">
        <w:rPr>
          <w:rStyle w:val="Strong"/>
          <w:rFonts w:ascii="Aptos" w:hAnsi="Aptos"/>
          <w:lang w:val="bg-BG"/>
        </w:rPr>
        <w:t>Жилищни сгради</w:t>
      </w:r>
      <w:r w:rsidRPr="006F3533">
        <w:rPr>
          <w:rFonts w:ascii="Aptos" w:hAnsi="Aptos"/>
          <w:lang w:val="bg-BG"/>
        </w:rPr>
        <w:t xml:space="preserve"> с над </w:t>
      </w:r>
      <w:r w:rsidRPr="006F3533">
        <w:rPr>
          <w:rStyle w:val="Strong"/>
          <w:rFonts w:ascii="Aptos" w:hAnsi="Aptos"/>
          <w:lang w:val="bg-BG"/>
        </w:rPr>
        <w:t>три паркоместа</w:t>
      </w:r>
      <w:r w:rsidRPr="006F3533">
        <w:rPr>
          <w:rFonts w:ascii="Aptos" w:hAnsi="Aptos"/>
          <w:lang w:val="bg-BG"/>
        </w:rPr>
        <w:t xml:space="preserve"> ще бъдат задължени да предвидят </w:t>
      </w:r>
      <w:proofErr w:type="spellStart"/>
      <w:r w:rsidRPr="006F3533">
        <w:rPr>
          <w:rStyle w:val="Strong"/>
          <w:rFonts w:ascii="Aptos" w:hAnsi="Aptos"/>
          <w:lang w:val="bg-BG"/>
        </w:rPr>
        <w:t>предкабелиране</w:t>
      </w:r>
      <w:proofErr w:type="spellEnd"/>
      <w:r w:rsidRPr="006F3533">
        <w:rPr>
          <w:rStyle w:val="Strong"/>
          <w:rFonts w:ascii="Aptos" w:hAnsi="Aptos"/>
          <w:lang w:val="bg-BG"/>
        </w:rPr>
        <w:t xml:space="preserve"> за минимум половината от местата</w:t>
      </w:r>
      <w:r w:rsidRPr="006F3533">
        <w:rPr>
          <w:rFonts w:ascii="Aptos" w:hAnsi="Aptos"/>
          <w:lang w:val="bg-BG"/>
        </w:rPr>
        <w:t xml:space="preserve"> и </w:t>
      </w:r>
      <w:r w:rsidRPr="006F3533">
        <w:rPr>
          <w:rStyle w:val="Strong"/>
          <w:rFonts w:ascii="Aptos" w:hAnsi="Aptos"/>
          <w:lang w:val="bg-BG"/>
        </w:rPr>
        <w:t>поне една зарядна точка</w:t>
      </w:r>
      <w:r w:rsidRPr="006F3533">
        <w:rPr>
          <w:rFonts w:ascii="Aptos" w:hAnsi="Aptos"/>
          <w:lang w:val="bg-BG"/>
        </w:rPr>
        <w:t xml:space="preserve"> за общо ползване.</w:t>
      </w:r>
    </w:p>
    <w:p w14:paraId="206DD57B" w14:textId="77777777" w:rsidR="00B572B1" w:rsidRPr="006F3533" w:rsidRDefault="00B572B1" w:rsidP="00551FED">
      <w:pPr>
        <w:pStyle w:val="NormalWeb"/>
        <w:numPr>
          <w:ilvl w:val="0"/>
          <w:numId w:val="61"/>
        </w:numPr>
        <w:jc w:val="both"/>
        <w:rPr>
          <w:rFonts w:ascii="Aptos" w:hAnsi="Aptos"/>
          <w:lang w:val="bg-BG"/>
        </w:rPr>
      </w:pPr>
      <w:r w:rsidRPr="006F3533">
        <w:rPr>
          <w:rStyle w:val="Strong"/>
          <w:rFonts w:ascii="Aptos" w:hAnsi="Aptos"/>
          <w:lang w:val="bg-BG"/>
        </w:rPr>
        <w:t>Съществуващи нежилищни сгради</w:t>
      </w:r>
      <w:r w:rsidRPr="006F3533">
        <w:rPr>
          <w:rFonts w:ascii="Aptos" w:hAnsi="Aptos"/>
          <w:lang w:val="bg-BG"/>
        </w:rPr>
        <w:t xml:space="preserve"> с над </w:t>
      </w:r>
      <w:r w:rsidRPr="006F3533">
        <w:rPr>
          <w:rStyle w:val="Strong"/>
          <w:rFonts w:ascii="Aptos" w:hAnsi="Aptos"/>
          <w:lang w:val="bg-BG"/>
        </w:rPr>
        <w:t>20 паркоместа</w:t>
      </w:r>
      <w:r w:rsidRPr="006F3533">
        <w:rPr>
          <w:rFonts w:ascii="Aptos" w:hAnsi="Aptos"/>
          <w:lang w:val="bg-BG"/>
        </w:rPr>
        <w:t xml:space="preserve"> ще трябва до </w:t>
      </w:r>
      <w:r w:rsidRPr="006F3533">
        <w:rPr>
          <w:rStyle w:val="Strong"/>
          <w:rFonts w:ascii="Aptos" w:hAnsi="Aptos"/>
          <w:lang w:val="bg-BG"/>
        </w:rPr>
        <w:t>1 януари 2027 г.</w:t>
      </w:r>
      <w:r w:rsidRPr="006F3533">
        <w:rPr>
          <w:rFonts w:ascii="Aptos" w:hAnsi="Aptos"/>
          <w:lang w:val="bg-BG"/>
        </w:rPr>
        <w:t xml:space="preserve"> да осигурят </w:t>
      </w:r>
      <w:r w:rsidRPr="006F3533">
        <w:rPr>
          <w:rStyle w:val="Strong"/>
          <w:rFonts w:ascii="Aptos" w:hAnsi="Aptos"/>
          <w:lang w:val="bg-BG"/>
        </w:rPr>
        <w:t>минимум 10% оборудвани места</w:t>
      </w:r>
      <w:r w:rsidRPr="006F3533">
        <w:rPr>
          <w:rFonts w:ascii="Aptos" w:hAnsi="Aptos"/>
          <w:lang w:val="bg-BG"/>
        </w:rPr>
        <w:t xml:space="preserve"> или </w:t>
      </w:r>
      <w:proofErr w:type="spellStart"/>
      <w:r w:rsidRPr="006F3533">
        <w:rPr>
          <w:rStyle w:val="Strong"/>
          <w:rFonts w:ascii="Aptos" w:hAnsi="Aptos"/>
          <w:lang w:val="bg-BG"/>
        </w:rPr>
        <w:t>предкабелиране</w:t>
      </w:r>
      <w:proofErr w:type="spellEnd"/>
      <w:r w:rsidRPr="006F3533">
        <w:rPr>
          <w:rStyle w:val="Strong"/>
          <w:rFonts w:ascii="Aptos" w:hAnsi="Aptos"/>
          <w:lang w:val="bg-BG"/>
        </w:rPr>
        <w:t xml:space="preserve"> за поне 50%</w:t>
      </w:r>
      <w:r w:rsidRPr="006F3533">
        <w:rPr>
          <w:rFonts w:ascii="Aptos" w:hAnsi="Aptos"/>
          <w:lang w:val="bg-BG"/>
        </w:rPr>
        <w:t xml:space="preserve">, а за сградите на публичните органи – </w:t>
      </w:r>
      <w:r w:rsidRPr="006F3533">
        <w:rPr>
          <w:rStyle w:val="Strong"/>
          <w:rFonts w:ascii="Aptos" w:hAnsi="Aptos"/>
          <w:lang w:val="bg-BG"/>
        </w:rPr>
        <w:t>до 2033 г.</w:t>
      </w:r>
      <w:r w:rsidRPr="006F3533">
        <w:rPr>
          <w:rFonts w:ascii="Aptos" w:hAnsi="Aptos"/>
          <w:lang w:val="bg-BG"/>
        </w:rPr>
        <w:t xml:space="preserve"> – </w:t>
      </w:r>
      <w:proofErr w:type="spellStart"/>
      <w:r w:rsidRPr="006F3533">
        <w:rPr>
          <w:rFonts w:ascii="Aptos" w:hAnsi="Aptos"/>
          <w:lang w:val="bg-BG"/>
        </w:rPr>
        <w:t>предкабелиране</w:t>
      </w:r>
      <w:proofErr w:type="spellEnd"/>
      <w:r w:rsidRPr="006F3533">
        <w:rPr>
          <w:rFonts w:ascii="Aptos" w:hAnsi="Aptos"/>
          <w:lang w:val="bg-BG"/>
        </w:rPr>
        <w:t xml:space="preserve"> на минимум половината паркоместа.</w:t>
      </w:r>
    </w:p>
    <w:p w14:paraId="30A38316" w14:textId="77777777" w:rsidR="00B572B1" w:rsidRPr="006F3533" w:rsidRDefault="00B572B1" w:rsidP="00551FED">
      <w:pPr>
        <w:pStyle w:val="NormalWeb"/>
        <w:numPr>
          <w:ilvl w:val="0"/>
          <w:numId w:val="61"/>
        </w:numPr>
        <w:jc w:val="both"/>
        <w:rPr>
          <w:rFonts w:ascii="Aptos" w:hAnsi="Aptos"/>
          <w:lang w:val="bg-BG"/>
        </w:rPr>
      </w:pPr>
      <w:r w:rsidRPr="006F3533">
        <w:rPr>
          <w:rFonts w:ascii="Aptos" w:hAnsi="Aptos"/>
          <w:lang w:val="bg-BG"/>
        </w:rPr>
        <w:t xml:space="preserve">При </w:t>
      </w:r>
      <w:r w:rsidRPr="006F3533">
        <w:rPr>
          <w:rStyle w:val="Strong"/>
          <w:rFonts w:ascii="Aptos" w:hAnsi="Aptos"/>
          <w:lang w:val="bg-BG"/>
        </w:rPr>
        <w:t>нови сгради</w:t>
      </w:r>
      <w:r w:rsidRPr="006F3533">
        <w:rPr>
          <w:rFonts w:ascii="Aptos" w:hAnsi="Aptos"/>
          <w:lang w:val="bg-BG"/>
        </w:rPr>
        <w:t xml:space="preserve"> се насърчава интеграцията на </w:t>
      </w:r>
      <w:r w:rsidRPr="006F3533">
        <w:rPr>
          <w:rStyle w:val="Strong"/>
          <w:rFonts w:ascii="Aptos" w:hAnsi="Aptos"/>
          <w:lang w:val="bg-BG"/>
        </w:rPr>
        <w:t>умно и двупосочно зареждане (V2G)</w:t>
      </w:r>
      <w:r w:rsidRPr="006F3533">
        <w:rPr>
          <w:rFonts w:ascii="Aptos" w:hAnsi="Aptos"/>
          <w:lang w:val="bg-BG"/>
        </w:rPr>
        <w:t xml:space="preserve">, както и изграждането на </w:t>
      </w:r>
      <w:r w:rsidRPr="006F3533">
        <w:rPr>
          <w:rStyle w:val="Strong"/>
          <w:rFonts w:ascii="Aptos" w:hAnsi="Aptos"/>
          <w:lang w:val="bg-BG"/>
        </w:rPr>
        <w:t>велосипедни паркоместа</w:t>
      </w:r>
      <w:r w:rsidRPr="006F3533">
        <w:rPr>
          <w:rFonts w:ascii="Aptos" w:hAnsi="Aptos"/>
          <w:lang w:val="bg-BG"/>
        </w:rPr>
        <w:t xml:space="preserve"> и трасета за електровелосипеди.</w:t>
      </w:r>
    </w:p>
    <w:p w14:paraId="0BE8ADB3" w14:textId="40D1A563" w:rsidR="00B572B1" w:rsidRPr="006F3533" w:rsidRDefault="00B572B1" w:rsidP="00077D42">
      <w:pPr>
        <w:pStyle w:val="NormalWeb"/>
        <w:jc w:val="both"/>
        <w:rPr>
          <w:rFonts w:ascii="Aptos" w:hAnsi="Aptos"/>
          <w:lang w:val="bg-BG"/>
        </w:rPr>
      </w:pPr>
      <w:r w:rsidRPr="006F3533">
        <w:rPr>
          <w:rStyle w:val="Strong"/>
          <w:rFonts w:ascii="Aptos" w:hAnsi="Aptos"/>
          <w:lang w:val="bg-BG"/>
        </w:rPr>
        <w:t>2. Облекчени процедури и управление на етажна собственост</w:t>
      </w:r>
      <w:r w:rsidR="0016344B" w:rsidRPr="006F3533">
        <w:rPr>
          <w:rStyle w:val="Strong"/>
          <w:rFonts w:ascii="Aptos" w:hAnsi="Aptos"/>
          <w:lang w:val="bg-BG"/>
        </w:rPr>
        <w:t xml:space="preserve">. </w:t>
      </w:r>
      <w:r w:rsidRPr="006F3533">
        <w:rPr>
          <w:rFonts w:ascii="Aptos" w:hAnsi="Aptos"/>
          <w:lang w:val="bg-BG"/>
        </w:rPr>
        <w:t xml:space="preserve">С цел ускоряване на въвеждането ще бъдат приети </w:t>
      </w:r>
      <w:r w:rsidRPr="006F3533">
        <w:rPr>
          <w:rStyle w:val="Strong"/>
          <w:rFonts w:ascii="Aptos" w:hAnsi="Aptos"/>
          <w:lang w:val="bg-BG"/>
        </w:rPr>
        <w:t>опростени административни процедури</w:t>
      </w:r>
      <w:r w:rsidRPr="006F3533">
        <w:rPr>
          <w:rFonts w:ascii="Aptos" w:hAnsi="Aptos"/>
          <w:lang w:val="bg-BG"/>
        </w:rPr>
        <w:t xml:space="preserve"> за монтаж на зарядни точки, включително в режим на етажна собственост. Ще се разработят </w:t>
      </w:r>
      <w:r w:rsidRPr="006F3533">
        <w:rPr>
          <w:rStyle w:val="Strong"/>
          <w:rFonts w:ascii="Aptos" w:hAnsi="Aptos"/>
          <w:lang w:val="bg-BG"/>
        </w:rPr>
        <w:t>типови образци на документи</w:t>
      </w:r>
      <w:r w:rsidRPr="006F3533">
        <w:rPr>
          <w:rFonts w:ascii="Aptos" w:hAnsi="Aptos"/>
          <w:lang w:val="bg-BG"/>
        </w:rPr>
        <w:t xml:space="preserve"> и </w:t>
      </w:r>
      <w:r w:rsidRPr="006F3533">
        <w:rPr>
          <w:rStyle w:val="Strong"/>
          <w:rFonts w:ascii="Aptos" w:hAnsi="Aptos"/>
          <w:lang w:val="bg-BG"/>
        </w:rPr>
        <w:t>ясни срокове за разглеждане</w:t>
      </w:r>
      <w:r w:rsidRPr="006F3533">
        <w:rPr>
          <w:rFonts w:ascii="Aptos" w:hAnsi="Aptos"/>
          <w:lang w:val="bg-BG"/>
        </w:rPr>
        <w:t xml:space="preserve"> на заявленията, като се премахва изискването за одобрение от всички съсобственици при липса на конструктивни промени. Мерките ще бъдат приети чрез наредба на </w:t>
      </w:r>
      <w:r w:rsidRPr="006F3533">
        <w:rPr>
          <w:rStyle w:val="Strong"/>
          <w:rFonts w:ascii="Aptos" w:hAnsi="Aptos"/>
          <w:lang w:val="bg-BG"/>
        </w:rPr>
        <w:t>Министерството на регионалното развитие и благоустройството</w:t>
      </w:r>
      <w:r w:rsidRPr="006F3533">
        <w:rPr>
          <w:rFonts w:ascii="Aptos" w:hAnsi="Aptos"/>
          <w:lang w:val="bg-BG"/>
        </w:rPr>
        <w:t xml:space="preserve"> в координация с </w:t>
      </w:r>
      <w:r w:rsidRPr="006F3533">
        <w:rPr>
          <w:rStyle w:val="Strong"/>
          <w:rFonts w:ascii="Aptos" w:hAnsi="Aptos"/>
          <w:lang w:val="bg-BG"/>
        </w:rPr>
        <w:t>Министерството на енергетиката</w:t>
      </w:r>
      <w:r w:rsidRPr="006F3533">
        <w:rPr>
          <w:rFonts w:ascii="Aptos" w:hAnsi="Aptos"/>
          <w:lang w:val="bg-BG"/>
        </w:rPr>
        <w:t>.</w:t>
      </w:r>
    </w:p>
    <w:p w14:paraId="785C632C" w14:textId="66914FAE" w:rsidR="00B572B1" w:rsidRPr="006F3533" w:rsidRDefault="00B572B1" w:rsidP="00077D42">
      <w:pPr>
        <w:pStyle w:val="NormalWeb"/>
        <w:jc w:val="both"/>
        <w:rPr>
          <w:rFonts w:ascii="Aptos" w:hAnsi="Aptos"/>
          <w:lang w:val="bg-BG"/>
        </w:rPr>
      </w:pPr>
      <w:r w:rsidRPr="006F3533">
        <w:rPr>
          <w:rStyle w:val="Strong"/>
          <w:rFonts w:ascii="Aptos" w:hAnsi="Aptos"/>
          <w:lang w:val="bg-BG"/>
        </w:rPr>
        <w:lastRenderedPageBreak/>
        <w:t>3. Безопасност и достъпност</w:t>
      </w:r>
      <w:r w:rsidR="0016344B" w:rsidRPr="006F3533">
        <w:rPr>
          <w:rStyle w:val="Strong"/>
          <w:rFonts w:ascii="Aptos" w:hAnsi="Aptos"/>
          <w:lang w:val="bg-BG"/>
        </w:rPr>
        <w:t xml:space="preserve">. </w:t>
      </w:r>
      <w:r w:rsidRPr="006F3533">
        <w:rPr>
          <w:rFonts w:ascii="Aptos" w:hAnsi="Aptos"/>
          <w:lang w:val="bg-BG"/>
        </w:rPr>
        <w:t xml:space="preserve">Ще бъдат актуализирани </w:t>
      </w:r>
      <w:r w:rsidRPr="006F3533">
        <w:rPr>
          <w:rStyle w:val="Strong"/>
          <w:rFonts w:ascii="Aptos" w:hAnsi="Aptos"/>
          <w:lang w:val="bg-BG"/>
        </w:rPr>
        <w:t>техническите правила за пожарна безопасност</w:t>
      </w:r>
      <w:r w:rsidRPr="006F3533">
        <w:rPr>
          <w:rFonts w:ascii="Aptos" w:hAnsi="Aptos"/>
          <w:lang w:val="bg-BG"/>
        </w:rPr>
        <w:t xml:space="preserve"> (в сътрудничество с ГД „Пожарна безопасност и защита на населението“) за да се определят минимални изисквания при разполагане на зарядни съоръжения в подземни и закрити паркинги – система за ранно известяване, евакуация, </w:t>
      </w:r>
      <w:proofErr w:type="spellStart"/>
      <w:r w:rsidRPr="006F3533">
        <w:rPr>
          <w:rFonts w:ascii="Aptos" w:hAnsi="Aptos"/>
          <w:lang w:val="bg-BG"/>
        </w:rPr>
        <w:t>термозащита</w:t>
      </w:r>
      <w:proofErr w:type="spellEnd"/>
      <w:r w:rsidRPr="006F3533">
        <w:rPr>
          <w:rFonts w:ascii="Aptos" w:hAnsi="Aptos"/>
          <w:lang w:val="bg-BG"/>
        </w:rPr>
        <w:t xml:space="preserve"> и контрол на натоварванията. Проектната документация ще осигурява </w:t>
      </w:r>
      <w:r w:rsidRPr="006F3533">
        <w:rPr>
          <w:rStyle w:val="Strong"/>
          <w:rFonts w:ascii="Aptos" w:hAnsi="Aptos"/>
          <w:lang w:val="bg-BG"/>
        </w:rPr>
        <w:t>достъпност на зарядните точки за хора с увреждания</w:t>
      </w:r>
      <w:r w:rsidRPr="006F3533">
        <w:rPr>
          <w:rFonts w:ascii="Aptos" w:hAnsi="Aptos"/>
          <w:lang w:val="bg-BG"/>
        </w:rPr>
        <w:t xml:space="preserve">, както и минимални изисквания за </w:t>
      </w:r>
      <w:r w:rsidRPr="006F3533">
        <w:rPr>
          <w:rStyle w:val="Strong"/>
          <w:rFonts w:ascii="Aptos" w:hAnsi="Aptos"/>
          <w:lang w:val="bg-BG"/>
        </w:rPr>
        <w:t>паркоместа за велосипеди и електровелосипеди</w:t>
      </w:r>
      <w:r w:rsidRPr="006F3533">
        <w:rPr>
          <w:rFonts w:ascii="Aptos" w:hAnsi="Aptos"/>
          <w:lang w:val="bg-BG"/>
        </w:rPr>
        <w:t>.</w:t>
      </w:r>
    </w:p>
    <w:p w14:paraId="0B558334" w14:textId="252C5BCE" w:rsidR="00B572B1" w:rsidRPr="006F3533" w:rsidRDefault="00B572B1" w:rsidP="00077D42">
      <w:pPr>
        <w:pStyle w:val="NormalWeb"/>
        <w:jc w:val="both"/>
        <w:rPr>
          <w:rFonts w:ascii="Aptos" w:hAnsi="Aptos"/>
          <w:lang w:val="bg-BG"/>
        </w:rPr>
      </w:pPr>
      <w:r w:rsidRPr="006F3533">
        <w:rPr>
          <w:rStyle w:val="Strong"/>
          <w:rFonts w:ascii="Aptos" w:hAnsi="Aptos"/>
          <w:lang w:val="bg-BG"/>
        </w:rPr>
        <w:t>4. Интелигентно зареждане и цифровизация</w:t>
      </w:r>
      <w:r w:rsidR="0016344B" w:rsidRPr="006F3533">
        <w:rPr>
          <w:rStyle w:val="Strong"/>
          <w:rFonts w:ascii="Aptos" w:hAnsi="Aptos"/>
          <w:lang w:val="bg-BG"/>
        </w:rPr>
        <w:t xml:space="preserve">. </w:t>
      </w:r>
      <w:r w:rsidRPr="006F3533">
        <w:rPr>
          <w:rFonts w:ascii="Aptos" w:hAnsi="Aptos"/>
          <w:lang w:val="bg-BG"/>
        </w:rPr>
        <w:t xml:space="preserve">Националната рамка предвижда задължително въвеждане на </w:t>
      </w:r>
      <w:r w:rsidRPr="006F3533">
        <w:rPr>
          <w:rStyle w:val="Strong"/>
          <w:rFonts w:ascii="Aptos" w:hAnsi="Aptos"/>
          <w:lang w:val="bg-BG"/>
        </w:rPr>
        <w:t>интелигентно зареждане</w:t>
      </w:r>
      <w:r w:rsidRPr="006F3533">
        <w:rPr>
          <w:rFonts w:ascii="Aptos" w:hAnsi="Aptos"/>
          <w:lang w:val="bg-BG"/>
        </w:rPr>
        <w:t xml:space="preserve"> във всички публично достъпни станции, с възможност за </w:t>
      </w:r>
      <w:r w:rsidRPr="006F3533">
        <w:rPr>
          <w:rStyle w:val="Strong"/>
          <w:rFonts w:ascii="Aptos" w:hAnsi="Aptos"/>
          <w:lang w:val="bg-BG"/>
        </w:rPr>
        <w:t>отдалечен мониторинг и управление на натоварванията</w:t>
      </w:r>
      <w:r w:rsidRPr="006F3533">
        <w:rPr>
          <w:rFonts w:ascii="Aptos" w:hAnsi="Aptos"/>
          <w:lang w:val="bg-BG"/>
        </w:rPr>
        <w:t xml:space="preserve">. Операторите ще осигуряват </w:t>
      </w:r>
      <w:r w:rsidRPr="006F3533">
        <w:rPr>
          <w:rStyle w:val="Strong"/>
          <w:rFonts w:ascii="Aptos" w:hAnsi="Aptos"/>
          <w:lang w:val="bg-BG"/>
        </w:rPr>
        <w:t>пълна ценова прозрачност</w:t>
      </w:r>
      <w:r w:rsidRPr="006F3533">
        <w:rPr>
          <w:rFonts w:ascii="Aptos" w:hAnsi="Aptos"/>
          <w:lang w:val="bg-BG"/>
        </w:rPr>
        <w:t xml:space="preserve">, включително единична тарифа (за </w:t>
      </w:r>
      <w:proofErr w:type="spellStart"/>
      <w:r w:rsidRPr="006F3533">
        <w:rPr>
          <w:rFonts w:ascii="Aptos" w:hAnsi="Aptos"/>
          <w:lang w:val="bg-BG"/>
        </w:rPr>
        <w:t>kWh</w:t>
      </w:r>
      <w:proofErr w:type="spellEnd"/>
      <w:r w:rsidRPr="006F3533">
        <w:rPr>
          <w:rFonts w:ascii="Aptos" w:hAnsi="Aptos"/>
          <w:lang w:val="bg-BG"/>
        </w:rPr>
        <w:t xml:space="preserve">, минута или сесия) и лесен достъп чрез стандартни платежни средства. Въвеждането на </w:t>
      </w:r>
      <w:r w:rsidRPr="006F3533">
        <w:rPr>
          <w:rStyle w:val="Strong"/>
          <w:rFonts w:ascii="Aptos" w:hAnsi="Aptos"/>
          <w:lang w:val="bg-BG"/>
        </w:rPr>
        <w:t>цифрови бази данни</w:t>
      </w:r>
      <w:r w:rsidRPr="006F3533">
        <w:rPr>
          <w:rFonts w:ascii="Aptos" w:hAnsi="Aptos"/>
          <w:lang w:val="bg-BG"/>
        </w:rPr>
        <w:t xml:space="preserve"> за локациите и характеристиките на зарядните станции ще се интегрира с националните системи за енергийно сертифициране и сградни паспорти.</w:t>
      </w:r>
    </w:p>
    <w:p w14:paraId="6A970AE0" w14:textId="3398B96B" w:rsidR="00B572B1" w:rsidRPr="006F3533" w:rsidRDefault="00B572B1" w:rsidP="00077D42">
      <w:pPr>
        <w:pStyle w:val="NormalWeb"/>
        <w:jc w:val="both"/>
        <w:rPr>
          <w:rFonts w:ascii="Aptos" w:hAnsi="Aptos"/>
          <w:lang w:val="bg-BG"/>
        </w:rPr>
      </w:pPr>
      <w:r w:rsidRPr="006F3533">
        <w:rPr>
          <w:rStyle w:val="Strong"/>
          <w:rFonts w:ascii="Aptos" w:hAnsi="Aptos"/>
          <w:lang w:val="bg-BG"/>
        </w:rPr>
        <w:t>5. Роля на общините</w:t>
      </w:r>
      <w:r w:rsidR="0016344B" w:rsidRPr="006F3533">
        <w:rPr>
          <w:rStyle w:val="Strong"/>
          <w:rFonts w:ascii="Aptos" w:hAnsi="Aptos"/>
          <w:lang w:val="bg-BG"/>
        </w:rPr>
        <w:t xml:space="preserve">. </w:t>
      </w:r>
      <w:r w:rsidRPr="006F3533">
        <w:rPr>
          <w:rFonts w:ascii="Aptos" w:hAnsi="Aptos"/>
          <w:lang w:val="bg-BG"/>
        </w:rPr>
        <w:t xml:space="preserve">Общините ще интегрират мерките за устойчива мобилност в своите </w:t>
      </w:r>
      <w:r w:rsidRPr="006F3533">
        <w:rPr>
          <w:rStyle w:val="Strong"/>
          <w:rFonts w:ascii="Aptos" w:hAnsi="Aptos"/>
          <w:lang w:val="bg-BG"/>
        </w:rPr>
        <w:t>общи и подробни устройствени планове</w:t>
      </w:r>
      <w:r w:rsidRPr="006F3533">
        <w:rPr>
          <w:rFonts w:ascii="Aptos" w:hAnsi="Aptos"/>
          <w:lang w:val="bg-BG"/>
        </w:rPr>
        <w:t xml:space="preserve">, като осигуряват резервирани терени за зарядна инфраструктура, координират с операторите на електроразпределителната мрежа и прилагат принципа „разкопаване веднъж“ при инфраструктурни ремонти. </w:t>
      </w:r>
    </w:p>
    <w:p w14:paraId="3F891AED" w14:textId="7E4E8E9F" w:rsidR="00B572B1" w:rsidRPr="006F3533" w:rsidRDefault="00B572B1" w:rsidP="00077D42">
      <w:pPr>
        <w:pStyle w:val="NormalWeb"/>
        <w:jc w:val="both"/>
        <w:rPr>
          <w:rFonts w:ascii="Aptos" w:hAnsi="Aptos"/>
          <w:lang w:val="bg-BG"/>
        </w:rPr>
      </w:pPr>
      <w:r w:rsidRPr="006F3533">
        <w:rPr>
          <w:rStyle w:val="Strong"/>
          <w:rFonts w:ascii="Aptos" w:hAnsi="Aptos"/>
          <w:lang w:val="bg-BG"/>
        </w:rPr>
        <w:t>6. Финансиране и стимули</w:t>
      </w:r>
      <w:r w:rsidR="0016344B" w:rsidRPr="006F3533">
        <w:rPr>
          <w:rStyle w:val="Strong"/>
          <w:rFonts w:ascii="Aptos" w:hAnsi="Aptos"/>
          <w:lang w:val="bg-BG"/>
        </w:rPr>
        <w:t xml:space="preserve">. </w:t>
      </w:r>
      <w:r w:rsidRPr="006F3533">
        <w:rPr>
          <w:rFonts w:ascii="Aptos" w:hAnsi="Aptos"/>
          <w:lang w:val="bg-BG"/>
        </w:rPr>
        <w:t xml:space="preserve">Изпълнението ще се подкрепя чрез </w:t>
      </w:r>
      <w:r w:rsidRPr="006F3533">
        <w:rPr>
          <w:rStyle w:val="Strong"/>
          <w:rFonts w:ascii="Aptos" w:hAnsi="Aptos"/>
          <w:lang w:val="bg-BG"/>
        </w:rPr>
        <w:t>националния бюджет и европейски програми</w:t>
      </w:r>
      <w:r w:rsidRPr="006F3533">
        <w:rPr>
          <w:rFonts w:ascii="Aptos" w:hAnsi="Aptos"/>
          <w:lang w:val="bg-BG"/>
        </w:rPr>
        <w:t xml:space="preserve">, включително </w:t>
      </w:r>
      <w:r w:rsidRPr="006F3533">
        <w:rPr>
          <w:rStyle w:val="Strong"/>
          <w:rFonts w:ascii="Aptos" w:hAnsi="Aptos"/>
          <w:lang w:val="bg-BG"/>
        </w:rPr>
        <w:t>Социалния фонд за климата</w:t>
      </w:r>
      <w:r w:rsidRPr="006F3533">
        <w:rPr>
          <w:rFonts w:ascii="Aptos" w:hAnsi="Aptos"/>
          <w:lang w:val="bg-BG"/>
        </w:rPr>
        <w:t xml:space="preserve">, </w:t>
      </w:r>
      <w:proofErr w:type="spellStart"/>
      <w:r w:rsidRPr="006F3533">
        <w:rPr>
          <w:rStyle w:val="Strong"/>
          <w:rFonts w:ascii="Aptos" w:hAnsi="Aptos"/>
          <w:lang w:val="bg-BG"/>
        </w:rPr>
        <w:t>Модернизационния</w:t>
      </w:r>
      <w:proofErr w:type="spellEnd"/>
      <w:r w:rsidRPr="006F3533">
        <w:rPr>
          <w:rStyle w:val="Strong"/>
          <w:rFonts w:ascii="Aptos" w:hAnsi="Aptos"/>
          <w:lang w:val="bg-BG"/>
        </w:rPr>
        <w:t xml:space="preserve"> фонд</w:t>
      </w:r>
      <w:r w:rsidRPr="006F3533">
        <w:rPr>
          <w:rFonts w:ascii="Aptos" w:hAnsi="Aptos"/>
          <w:lang w:val="bg-BG"/>
        </w:rPr>
        <w:t xml:space="preserve"> и </w:t>
      </w:r>
      <w:r w:rsidRPr="006F3533">
        <w:rPr>
          <w:rStyle w:val="Strong"/>
          <w:rFonts w:ascii="Aptos" w:hAnsi="Aptos"/>
          <w:lang w:val="bg-BG"/>
        </w:rPr>
        <w:t>Програма „Развитие на регионите 2021–2027“</w:t>
      </w:r>
      <w:r w:rsidRPr="006F3533">
        <w:rPr>
          <w:rFonts w:ascii="Aptos" w:hAnsi="Aptos"/>
          <w:lang w:val="bg-BG"/>
        </w:rPr>
        <w:t xml:space="preserve">. Ще се насърчават пилотни проекти за зарядна инфраструктура в жилищни и обществени сгради чрез съществуващи и нови национални механизми за финансиране, включително предвидения в проекта на Закон за електрическата мобилност Национален фонд. Приоритет ще се дава на сградите с интензивно обществен </w:t>
      </w:r>
      <w:proofErr w:type="spellStart"/>
      <w:r w:rsidRPr="006F3533">
        <w:rPr>
          <w:rFonts w:ascii="Aptos" w:hAnsi="Aptos"/>
          <w:lang w:val="bg-BG"/>
        </w:rPr>
        <w:t>ползвателен</w:t>
      </w:r>
      <w:proofErr w:type="spellEnd"/>
      <w:r w:rsidRPr="006F3533">
        <w:rPr>
          <w:rFonts w:ascii="Aptos" w:hAnsi="Aptos"/>
          <w:lang w:val="bg-BG"/>
        </w:rPr>
        <w:t xml:space="preserve"> поток и на квартали с недостатъчна достъпност до обществени зарядни станции.</w:t>
      </w:r>
    </w:p>
    <w:p w14:paraId="4A83ACA0" w14:textId="369C8AEF" w:rsidR="00B572B1" w:rsidRPr="006F3533" w:rsidRDefault="00B572B1" w:rsidP="00077D42">
      <w:pPr>
        <w:pStyle w:val="NormalWeb"/>
        <w:jc w:val="both"/>
        <w:rPr>
          <w:rFonts w:ascii="Aptos" w:hAnsi="Aptos"/>
          <w:lang w:val="bg-BG"/>
        </w:rPr>
      </w:pPr>
      <w:r w:rsidRPr="006F3533">
        <w:rPr>
          <w:rStyle w:val="Strong"/>
          <w:rFonts w:ascii="Aptos" w:hAnsi="Aptos"/>
          <w:lang w:val="bg-BG"/>
        </w:rPr>
        <w:t>7. Отговорни институции и наблюдение</w:t>
      </w:r>
      <w:r w:rsidR="0016344B" w:rsidRPr="006F3533">
        <w:rPr>
          <w:rStyle w:val="Strong"/>
          <w:rFonts w:ascii="Aptos" w:hAnsi="Aptos"/>
          <w:lang w:val="bg-BG"/>
        </w:rPr>
        <w:t xml:space="preserve">. </w:t>
      </w:r>
      <w:r w:rsidRPr="006F3533">
        <w:rPr>
          <w:rFonts w:ascii="Aptos" w:hAnsi="Aptos"/>
          <w:lang w:val="bg-BG"/>
        </w:rPr>
        <w:t xml:space="preserve">Основната координация ще се осъществява от </w:t>
      </w:r>
      <w:r w:rsidRPr="006F3533">
        <w:rPr>
          <w:rStyle w:val="Strong"/>
          <w:rFonts w:ascii="Aptos" w:hAnsi="Aptos"/>
          <w:lang w:val="bg-BG"/>
        </w:rPr>
        <w:t>Министерството на енергетиката</w:t>
      </w:r>
      <w:r w:rsidRPr="006F3533">
        <w:rPr>
          <w:rFonts w:ascii="Aptos" w:hAnsi="Aptos"/>
          <w:lang w:val="bg-BG"/>
        </w:rPr>
        <w:t xml:space="preserve">, в партньорство с </w:t>
      </w:r>
      <w:r w:rsidRPr="006F3533">
        <w:rPr>
          <w:rStyle w:val="Strong"/>
          <w:rFonts w:ascii="Aptos" w:hAnsi="Aptos"/>
          <w:lang w:val="bg-BG"/>
        </w:rPr>
        <w:t>Министерството на регионалното развитие и благоустройството</w:t>
      </w:r>
      <w:r w:rsidRPr="006F3533">
        <w:rPr>
          <w:rFonts w:ascii="Aptos" w:hAnsi="Aptos"/>
          <w:lang w:val="bg-BG"/>
        </w:rPr>
        <w:t xml:space="preserve">, </w:t>
      </w:r>
      <w:r w:rsidRPr="006F3533">
        <w:rPr>
          <w:rStyle w:val="Strong"/>
          <w:rFonts w:ascii="Aptos" w:hAnsi="Aptos"/>
          <w:lang w:val="bg-BG"/>
        </w:rPr>
        <w:t>Министерството на транспорта и съобщенията</w:t>
      </w:r>
      <w:r w:rsidRPr="006F3533">
        <w:rPr>
          <w:rFonts w:ascii="Aptos" w:hAnsi="Aptos"/>
          <w:lang w:val="bg-BG"/>
        </w:rPr>
        <w:t xml:space="preserve">, </w:t>
      </w:r>
      <w:r w:rsidRPr="006F3533">
        <w:rPr>
          <w:rStyle w:val="Strong"/>
          <w:rFonts w:ascii="Aptos" w:hAnsi="Aptos"/>
          <w:lang w:val="bg-BG"/>
        </w:rPr>
        <w:t>АУЕР</w:t>
      </w:r>
      <w:r w:rsidRPr="006F3533">
        <w:rPr>
          <w:rFonts w:ascii="Aptos" w:hAnsi="Aptos"/>
          <w:lang w:val="bg-BG"/>
        </w:rPr>
        <w:t xml:space="preserve"> и </w:t>
      </w:r>
      <w:r w:rsidRPr="006F3533">
        <w:rPr>
          <w:rStyle w:val="Strong"/>
          <w:rFonts w:ascii="Aptos" w:hAnsi="Aptos"/>
          <w:lang w:val="bg-BG"/>
        </w:rPr>
        <w:t>Националното сдружение на общините в Република България</w:t>
      </w:r>
      <w:r w:rsidRPr="006F3533">
        <w:rPr>
          <w:rFonts w:ascii="Aptos" w:hAnsi="Aptos"/>
          <w:lang w:val="bg-BG"/>
        </w:rPr>
        <w:t xml:space="preserve">. Годишните отчети на АУЕР ще включват показатели за броя на изградени зарядни точки в сградите, дела на </w:t>
      </w:r>
      <w:proofErr w:type="spellStart"/>
      <w:r w:rsidRPr="006F3533">
        <w:rPr>
          <w:rFonts w:ascii="Aptos" w:hAnsi="Aptos"/>
          <w:lang w:val="bg-BG"/>
        </w:rPr>
        <w:t>предкабелираните</w:t>
      </w:r>
      <w:proofErr w:type="spellEnd"/>
      <w:r w:rsidRPr="006F3533">
        <w:rPr>
          <w:rFonts w:ascii="Aptos" w:hAnsi="Aptos"/>
          <w:lang w:val="bg-BG"/>
        </w:rPr>
        <w:t xml:space="preserve"> паркоместа, напредъка по интелигентно управление и степента на покритие в населените места.</w:t>
      </w:r>
    </w:p>
    <w:p w14:paraId="3882616C" w14:textId="77777777" w:rsidR="00B572B1" w:rsidRPr="006F3533" w:rsidRDefault="00B572B1" w:rsidP="00077D42">
      <w:pPr>
        <w:pStyle w:val="Heading2"/>
        <w:jc w:val="both"/>
        <w:rPr>
          <w:lang w:val="bg-BG"/>
        </w:rPr>
      </w:pPr>
      <w:bookmarkStart w:id="373" w:name="_Toc217888882"/>
      <w:r w:rsidRPr="006F3533">
        <w:rPr>
          <w:lang w:val="bg-BG"/>
        </w:rPr>
        <w:t>(n) Преодоляване на пазарните бариери и пазарните неуспехи</w:t>
      </w:r>
      <w:bookmarkEnd w:id="373"/>
    </w:p>
    <w:p w14:paraId="7CE04A44" w14:textId="77777777" w:rsidR="00B572B1" w:rsidRPr="006F3533" w:rsidRDefault="00B572B1" w:rsidP="00077D42">
      <w:pPr>
        <w:pStyle w:val="Heading4"/>
        <w:jc w:val="both"/>
        <w:rPr>
          <w:rFonts w:ascii="Aptos" w:hAnsi="Aptos"/>
        </w:rPr>
      </w:pPr>
      <w:r w:rsidRPr="006F3533">
        <w:rPr>
          <w:rFonts w:ascii="Aptos" w:hAnsi="Aptos"/>
        </w:rPr>
        <w:t>1. Цели и обхват</w:t>
      </w:r>
    </w:p>
    <w:p w14:paraId="438E1155" w14:textId="6DDAC2DA" w:rsidR="00B572B1" w:rsidRPr="006F3533" w:rsidRDefault="00B277A8" w:rsidP="00077D42">
      <w:pPr>
        <w:pStyle w:val="NormalWeb"/>
        <w:jc w:val="both"/>
        <w:rPr>
          <w:rFonts w:ascii="Aptos" w:hAnsi="Aptos"/>
          <w:lang w:val="bg-BG"/>
        </w:rPr>
      </w:pPr>
      <w:r w:rsidRPr="006F3533">
        <w:rPr>
          <w:rFonts w:ascii="Aptos" w:hAnsi="Aptos"/>
          <w:lang w:val="bg-BG"/>
        </w:rPr>
        <w:t>В допълнение на подробното описание на пазарните бариери и неуспехи по-горе, о</w:t>
      </w:r>
      <w:r w:rsidR="00B572B1" w:rsidRPr="006F3533">
        <w:rPr>
          <w:rFonts w:ascii="Aptos" w:hAnsi="Aptos"/>
          <w:lang w:val="bg-BG"/>
        </w:rPr>
        <w:t xml:space="preserve">сновната цел на тази част е да се </w:t>
      </w:r>
      <w:r w:rsidRPr="006F3533">
        <w:rPr>
          <w:rFonts w:ascii="Aptos" w:hAnsi="Aptos"/>
          <w:lang w:val="bg-BG"/>
        </w:rPr>
        <w:t>обобщят</w:t>
      </w:r>
      <w:r w:rsidR="00B572B1" w:rsidRPr="006F3533">
        <w:rPr>
          <w:rFonts w:ascii="Aptos" w:hAnsi="Aptos"/>
          <w:lang w:val="bg-BG"/>
        </w:rPr>
        <w:t xml:space="preserve"> основните пазарни и институционални бариери, </w:t>
      </w:r>
      <w:r w:rsidR="00B572B1" w:rsidRPr="006F3533">
        <w:rPr>
          <w:rFonts w:ascii="Aptos" w:hAnsi="Aptos"/>
          <w:lang w:val="bg-BG"/>
        </w:rPr>
        <w:lastRenderedPageBreak/>
        <w:t>които възпрепятстват постигането на целите за дълбоко обновяване на сградния фонд, в съответствие с член 17 от Директива (ЕС) 2024/1275</w:t>
      </w:r>
      <w:r w:rsidRPr="006F3533">
        <w:rPr>
          <w:rFonts w:ascii="Aptos" w:hAnsi="Aptos"/>
          <w:lang w:val="bg-BG"/>
        </w:rPr>
        <w:t>, и да се набележат пътища за тяхното преодоляване.</w:t>
      </w:r>
      <w:r w:rsidR="00B572B1" w:rsidRPr="006F3533">
        <w:rPr>
          <w:rFonts w:ascii="Aptos" w:hAnsi="Aptos"/>
          <w:lang w:val="bg-BG"/>
        </w:rPr>
        <w:t xml:space="preserve"> България си поставя за задача създаването на предвидима, интегрирана и пазарно ориентирана среда за енергийно ефективно и устойчиво строителство, чрез синергия между законодателни промени, институционално укрепване и нови финансови механизми. Настоящите мерки се прилагат като логично продължение на Дългосрочната национална стратегия за обновяване и Интегрирания националния план в областта на енергетиката и климата (ИНПЕК), като вземат предвид постановките в настоящия Национален план за саниране. </w:t>
      </w:r>
    </w:p>
    <w:p w14:paraId="3C3BC2D2" w14:textId="77777777" w:rsidR="00B572B1" w:rsidRPr="006F3533" w:rsidRDefault="00B572B1" w:rsidP="00077D42">
      <w:pPr>
        <w:pStyle w:val="Heading3"/>
        <w:jc w:val="both"/>
        <w:rPr>
          <w:rStyle w:val="Strong"/>
          <w:rFonts w:ascii="Aptos" w:hAnsi="Aptos"/>
          <w:b/>
          <w:bCs/>
          <w:sz w:val="24"/>
          <w:szCs w:val="24"/>
          <w:lang w:val="bg-BG"/>
        </w:rPr>
      </w:pPr>
      <w:bookmarkStart w:id="374" w:name="_Toc216816182"/>
      <w:bookmarkStart w:id="375" w:name="_Toc216857873"/>
      <w:bookmarkStart w:id="376" w:name="_Toc217888883"/>
      <w:r w:rsidRPr="006F3533">
        <w:rPr>
          <w:rStyle w:val="Strong"/>
          <w:rFonts w:ascii="Aptos" w:hAnsi="Aptos"/>
          <w:b/>
          <w:bCs/>
          <w:sz w:val="24"/>
          <w:szCs w:val="24"/>
          <w:lang w:val="bg-BG"/>
        </w:rPr>
        <w:t>2. Основни категории бариери и мерки за тяхното преодоляване</w:t>
      </w:r>
      <w:bookmarkEnd w:id="374"/>
      <w:bookmarkEnd w:id="375"/>
      <w:bookmarkEnd w:id="376"/>
    </w:p>
    <w:p w14:paraId="7162C7B1" w14:textId="77777777" w:rsidR="00706CDD" w:rsidRPr="006F3533" w:rsidRDefault="00706CDD" w:rsidP="00077D42">
      <w:pPr>
        <w:pStyle w:val="Heading3"/>
        <w:jc w:val="both"/>
        <w:rPr>
          <w:rStyle w:val="Strong"/>
          <w:rFonts w:ascii="Aptos" w:hAnsi="Aptos"/>
          <w:b/>
          <w:bCs/>
          <w:sz w:val="24"/>
          <w:szCs w:val="24"/>
          <w:lang w:val="bg-BG"/>
        </w:rPr>
        <w:sectPr w:rsidR="00706CDD" w:rsidRPr="006F3533" w:rsidSect="00D27BA3">
          <w:footerReference w:type="default" r:id="rId40"/>
          <w:pgSz w:w="12240" w:h="15840"/>
          <w:pgMar w:top="1440" w:right="1440" w:bottom="1440" w:left="1440" w:header="708" w:footer="708" w:gutter="0"/>
          <w:cols w:space="708"/>
          <w:docGrid w:linePitch="360"/>
        </w:sectPr>
      </w:pPr>
      <w:r w:rsidRPr="006F3533">
        <w:rPr>
          <w:rStyle w:val="Strong"/>
          <w:rFonts w:ascii="Aptos" w:hAnsi="Aptos"/>
          <w:b/>
          <w:bCs/>
          <w:sz w:val="24"/>
          <w:szCs w:val="24"/>
          <w:lang w:val="bg-BG"/>
        </w:rPr>
        <w:br w:type="page"/>
      </w:r>
    </w:p>
    <w:p w14:paraId="14A4257F" w14:textId="2BF84531" w:rsidR="00706CDD" w:rsidRPr="006F3533" w:rsidRDefault="00706CDD" w:rsidP="00077D42">
      <w:pPr>
        <w:pStyle w:val="Heading3"/>
        <w:jc w:val="both"/>
        <w:rPr>
          <w:rStyle w:val="Strong"/>
          <w:rFonts w:ascii="Aptos" w:hAnsi="Aptos"/>
          <w:b/>
          <w:bCs/>
          <w:sz w:val="24"/>
          <w:szCs w:val="24"/>
          <w:lang w:val="bg-BG"/>
        </w:rPr>
      </w:pPr>
    </w:p>
    <w:p w14:paraId="6E83202C" w14:textId="77777777" w:rsidR="00706CDD" w:rsidRPr="006F3533" w:rsidRDefault="00706CDD" w:rsidP="00077D42">
      <w:pPr>
        <w:pStyle w:val="Heading3"/>
        <w:jc w:val="both"/>
        <w:rPr>
          <w:rFonts w:ascii="Aptos" w:hAnsi="Aptos"/>
          <w:b w:val="0"/>
          <w:bCs w:val="0"/>
          <w:sz w:val="24"/>
          <w:szCs w:val="24"/>
          <w:lang w:val="bg-BG"/>
        </w:rPr>
      </w:pPr>
    </w:p>
    <w:tbl>
      <w:tblPr>
        <w:tblStyle w:val="GridTable5Dark-Accent1"/>
        <w:tblW w:w="0" w:type="auto"/>
        <w:tblLook w:val="04A0" w:firstRow="1" w:lastRow="0" w:firstColumn="1" w:lastColumn="0" w:noHBand="0" w:noVBand="1"/>
      </w:tblPr>
      <w:tblGrid>
        <w:gridCol w:w="2133"/>
        <w:gridCol w:w="4250"/>
        <w:gridCol w:w="4979"/>
        <w:gridCol w:w="1588"/>
      </w:tblGrid>
      <w:tr w:rsidR="00B277A8" w:rsidRPr="006F3533" w14:paraId="5EB0238B" w14:textId="77777777" w:rsidTr="00706C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BADBD11" w14:textId="77777777" w:rsidR="00B572B1" w:rsidRPr="006F3533" w:rsidRDefault="00B572B1" w:rsidP="00077D42">
            <w:pPr>
              <w:jc w:val="both"/>
              <w:rPr>
                <w:rFonts w:cs="Times New Roman"/>
                <w:sz w:val="22"/>
              </w:rPr>
            </w:pPr>
            <w:r w:rsidRPr="006F3533">
              <w:rPr>
                <w:rStyle w:val="Strong"/>
                <w:rFonts w:cs="Times New Roman"/>
                <w:sz w:val="22"/>
              </w:rPr>
              <w:t>Тип бариера</w:t>
            </w:r>
          </w:p>
        </w:tc>
        <w:tc>
          <w:tcPr>
            <w:tcW w:w="0" w:type="auto"/>
            <w:hideMark/>
          </w:tcPr>
          <w:p w14:paraId="333B19A8"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cs="Times New Roman"/>
                <w:b w:val="0"/>
                <w:bCs w:val="0"/>
                <w:sz w:val="22"/>
              </w:rPr>
            </w:pPr>
            <w:r w:rsidRPr="006F3533">
              <w:rPr>
                <w:rStyle w:val="Strong"/>
                <w:rFonts w:cs="Times New Roman"/>
                <w:sz w:val="22"/>
              </w:rPr>
              <w:t>Съществуващи предизвикателства и пропуски</w:t>
            </w:r>
          </w:p>
        </w:tc>
        <w:tc>
          <w:tcPr>
            <w:tcW w:w="0" w:type="auto"/>
            <w:hideMark/>
          </w:tcPr>
          <w:p w14:paraId="7D540BC2"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cs="Times New Roman"/>
                <w:b w:val="0"/>
                <w:bCs w:val="0"/>
                <w:sz w:val="22"/>
              </w:rPr>
            </w:pPr>
            <w:r w:rsidRPr="006F3533">
              <w:rPr>
                <w:rStyle w:val="Strong"/>
                <w:rFonts w:cs="Times New Roman"/>
                <w:sz w:val="22"/>
              </w:rPr>
              <w:t>Предвидени политики и мерки за преодоляване</w:t>
            </w:r>
          </w:p>
        </w:tc>
        <w:tc>
          <w:tcPr>
            <w:tcW w:w="0" w:type="auto"/>
            <w:hideMark/>
          </w:tcPr>
          <w:p w14:paraId="1C54077E" w14:textId="77777777" w:rsidR="00B572B1" w:rsidRPr="006F3533" w:rsidRDefault="00B572B1" w:rsidP="00077D42">
            <w:pPr>
              <w:jc w:val="both"/>
              <w:cnfStyle w:val="100000000000" w:firstRow="1" w:lastRow="0" w:firstColumn="0" w:lastColumn="0" w:oddVBand="0" w:evenVBand="0" w:oddHBand="0" w:evenHBand="0" w:firstRowFirstColumn="0" w:firstRowLastColumn="0" w:lastRowFirstColumn="0" w:lastRowLastColumn="0"/>
              <w:rPr>
                <w:rFonts w:cs="Times New Roman"/>
                <w:b w:val="0"/>
                <w:bCs w:val="0"/>
                <w:sz w:val="22"/>
              </w:rPr>
            </w:pPr>
            <w:r w:rsidRPr="006F3533">
              <w:rPr>
                <w:rStyle w:val="Strong"/>
                <w:rFonts w:cs="Times New Roman"/>
                <w:sz w:val="22"/>
              </w:rPr>
              <w:t>Отговорни институции / срокове</w:t>
            </w:r>
          </w:p>
        </w:tc>
      </w:tr>
      <w:tr w:rsidR="00B277A8" w:rsidRPr="006F3533" w14:paraId="7B2C5036" w14:textId="77777777" w:rsidTr="00706C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50833C" w14:textId="77777777" w:rsidR="00B572B1" w:rsidRPr="006F3533" w:rsidRDefault="00B572B1" w:rsidP="00077D42">
            <w:pPr>
              <w:jc w:val="both"/>
              <w:rPr>
                <w:rFonts w:cs="Times New Roman"/>
                <w:b w:val="0"/>
                <w:bCs w:val="0"/>
                <w:sz w:val="22"/>
              </w:rPr>
            </w:pPr>
            <w:r w:rsidRPr="006F3533">
              <w:rPr>
                <w:rStyle w:val="Strong"/>
                <w:rFonts w:cs="Times New Roman"/>
                <w:sz w:val="22"/>
              </w:rPr>
              <w:t>1. Политически и нормативни бариери</w:t>
            </w:r>
          </w:p>
        </w:tc>
        <w:tc>
          <w:tcPr>
            <w:tcW w:w="0" w:type="auto"/>
            <w:hideMark/>
          </w:tcPr>
          <w:p w14:paraId="26B82235" w14:textId="77777777" w:rsidR="00706CDD" w:rsidRPr="006F3533" w:rsidRDefault="00706CDD" w:rsidP="00706CDD">
            <w:pPr>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 xml:space="preserve">• Липса на предвидимост и кампанийност на програмите за подкрепа за сградно обновяване, зависими от програмни периоди и еднократни схеми </w:t>
            </w:r>
          </w:p>
          <w:p w14:paraId="79C7524F" w14:textId="015B4D7B" w:rsidR="00706CDD" w:rsidRPr="006F3533" w:rsidRDefault="00B572B1" w:rsidP="00706CDD">
            <w:pPr>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 Фрагментирана законодателна рамка – разпокъсани и частично припокриващи се изисквания в Закона за енергийната ефективност, ЗУТ, Закона за управление на етажната собственост и Закона за енергетиката</w:t>
            </w:r>
            <w:r w:rsidR="00D8379B" w:rsidRPr="006F3533">
              <w:rPr>
                <w:rFonts w:cs="Times New Roman"/>
                <w:sz w:val="22"/>
              </w:rPr>
              <w:t xml:space="preserve"> и др</w:t>
            </w:r>
            <w:r w:rsidRPr="006F3533">
              <w:rPr>
                <w:rFonts w:cs="Times New Roman"/>
                <w:sz w:val="22"/>
              </w:rPr>
              <w:t xml:space="preserve">. </w:t>
            </w:r>
            <w:r w:rsidRPr="006F3533">
              <w:rPr>
                <w:rFonts w:cs="Times New Roman"/>
                <w:sz w:val="22"/>
              </w:rPr>
              <w:br/>
              <w:t xml:space="preserve">• </w:t>
            </w:r>
            <w:r w:rsidR="00D8379B" w:rsidRPr="006F3533">
              <w:rPr>
                <w:rFonts w:cs="Times New Roman"/>
                <w:sz w:val="22"/>
              </w:rPr>
              <w:t xml:space="preserve">Неизпълнение на </w:t>
            </w:r>
            <w:r w:rsidRPr="006F3533">
              <w:rPr>
                <w:rFonts w:cs="Times New Roman"/>
                <w:sz w:val="22"/>
              </w:rPr>
              <w:t xml:space="preserve"> регламентирани</w:t>
            </w:r>
            <w:r w:rsidR="00D8379B" w:rsidRPr="006F3533">
              <w:rPr>
                <w:rFonts w:cs="Times New Roman"/>
                <w:sz w:val="22"/>
              </w:rPr>
              <w:t>те</w:t>
            </w:r>
            <w:r w:rsidRPr="006F3533">
              <w:rPr>
                <w:rFonts w:cs="Times New Roman"/>
                <w:sz w:val="22"/>
              </w:rPr>
              <w:t xml:space="preserve"> минимални стандарти за енергийни характеристики при </w:t>
            </w:r>
            <w:r w:rsidR="00D8379B" w:rsidRPr="006F3533">
              <w:rPr>
                <w:rFonts w:cs="Times New Roman"/>
                <w:sz w:val="22"/>
              </w:rPr>
              <w:t xml:space="preserve">нови сгради и </w:t>
            </w:r>
            <w:r w:rsidRPr="006F3533">
              <w:rPr>
                <w:rFonts w:cs="Times New Roman"/>
                <w:sz w:val="22"/>
              </w:rPr>
              <w:t xml:space="preserve">обновяване. </w:t>
            </w:r>
            <w:r w:rsidRPr="006F3533">
              <w:rPr>
                <w:rFonts w:cs="Times New Roman"/>
                <w:sz w:val="22"/>
              </w:rPr>
              <w:br/>
              <w:t>• Нееднакво прилагане на изискванията от общините.</w:t>
            </w:r>
          </w:p>
        </w:tc>
        <w:tc>
          <w:tcPr>
            <w:tcW w:w="0" w:type="auto"/>
            <w:hideMark/>
          </w:tcPr>
          <w:p w14:paraId="6EADA5C5" w14:textId="768ABD08" w:rsidR="00B572B1" w:rsidRPr="006F3533" w:rsidRDefault="00706CDD" w:rsidP="00706CDD">
            <w:pPr>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b/>
                <w:bCs/>
                <w:sz w:val="22"/>
              </w:rPr>
              <w:t xml:space="preserve">Преход към постоянни, многогодишни финансови инструменти и програмни рамки; </w:t>
            </w:r>
            <w:r w:rsidRPr="006F3533">
              <w:rPr>
                <w:rFonts w:cs="Times New Roman"/>
                <w:sz w:val="22"/>
              </w:rPr>
              <w:t xml:space="preserve">централна роля на </w:t>
            </w:r>
            <w:r w:rsidRPr="006F3533">
              <w:rPr>
                <w:rFonts w:cs="Times New Roman"/>
                <w:b/>
                <w:bCs/>
                <w:sz w:val="22"/>
              </w:rPr>
              <w:t xml:space="preserve">Националния фонд за </w:t>
            </w:r>
            <w:proofErr w:type="spellStart"/>
            <w:r w:rsidRPr="006F3533">
              <w:rPr>
                <w:rFonts w:cs="Times New Roman"/>
                <w:b/>
                <w:bCs/>
                <w:sz w:val="22"/>
              </w:rPr>
              <w:t>декарбонизация</w:t>
            </w:r>
            <w:proofErr w:type="spellEnd"/>
            <w:r w:rsidRPr="006F3533">
              <w:rPr>
                <w:rFonts w:cs="Times New Roman"/>
                <w:sz w:val="22"/>
              </w:rPr>
              <w:t xml:space="preserve"> за осигуряване на приемственост и устойчивост</w:t>
            </w:r>
            <w:r w:rsidRPr="006F3533">
              <w:rPr>
                <w:rFonts w:cs="Times New Roman"/>
                <w:b/>
                <w:bCs/>
                <w:sz w:val="22"/>
              </w:rPr>
              <w:t xml:space="preserve"> </w:t>
            </w:r>
            <w:r w:rsidR="00B572B1" w:rsidRPr="006F3533">
              <w:rPr>
                <w:rStyle w:val="Strong"/>
                <w:rFonts w:cs="Times New Roman"/>
                <w:sz w:val="22"/>
              </w:rPr>
              <w:t>Хармонизиране на законодателството</w:t>
            </w:r>
            <w:r w:rsidR="00B572B1" w:rsidRPr="006F3533">
              <w:rPr>
                <w:rFonts w:cs="Times New Roman"/>
                <w:sz w:val="22"/>
              </w:rPr>
              <w:t xml:space="preserve"> чрез изменения в ЗЕЕ, ЗУТ и подзаконовите актове за интегриране на МСЕХ и дефиницията за </w:t>
            </w:r>
            <w:proofErr w:type="spellStart"/>
            <w:r w:rsidR="00B572B1" w:rsidRPr="006F3533">
              <w:rPr>
                <w:rFonts w:cs="Times New Roman"/>
                <w:sz w:val="22"/>
              </w:rPr>
              <w:t>нулевоемисионни</w:t>
            </w:r>
            <w:proofErr w:type="spellEnd"/>
            <w:r w:rsidR="00B572B1" w:rsidRPr="006F3533">
              <w:rPr>
                <w:rFonts w:cs="Times New Roman"/>
                <w:sz w:val="22"/>
              </w:rPr>
              <w:t xml:space="preserve"> сгради. </w:t>
            </w:r>
            <w:r w:rsidR="00B572B1" w:rsidRPr="006F3533">
              <w:rPr>
                <w:rFonts w:cs="Times New Roman"/>
                <w:sz w:val="22"/>
              </w:rPr>
              <w:br/>
            </w:r>
            <w:r w:rsidR="00B572B1" w:rsidRPr="006F3533">
              <w:rPr>
                <w:rStyle w:val="Strong"/>
                <w:rFonts w:cs="Times New Roman"/>
                <w:sz w:val="22"/>
              </w:rPr>
              <w:t>Въвеждане на централизирана електронна платформа</w:t>
            </w:r>
            <w:r w:rsidR="00B572B1" w:rsidRPr="006F3533">
              <w:rPr>
                <w:rFonts w:cs="Times New Roman"/>
                <w:sz w:val="22"/>
              </w:rPr>
              <w:t xml:space="preserve"> за издаване на разрешителни, проследяване на проектния процес и подаване на енергийни паспорти. </w:t>
            </w:r>
            <w:r w:rsidR="00B572B1" w:rsidRPr="006F3533">
              <w:rPr>
                <w:rFonts w:cs="Times New Roman"/>
                <w:sz w:val="22"/>
              </w:rPr>
              <w:br/>
            </w:r>
            <w:r w:rsidR="00B572B1" w:rsidRPr="006F3533">
              <w:rPr>
                <w:rStyle w:val="Strong"/>
                <w:rFonts w:cs="Times New Roman"/>
                <w:sz w:val="22"/>
              </w:rPr>
              <w:t>Създаване на национален регистър на сгради</w:t>
            </w:r>
            <w:r w:rsidR="00B572B1" w:rsidRPr="006F3533">
              <w:rPr>
                <w:rFonts w:cs="Times New Roman"/>
                <w:sz w:val="22"/>
              </w:rPr>
              <w:t>, обвързан с базата данни на енергийните сертификати и кадастралните системи.</w:t>
            </w:r>
          </w:p>
        </w:tc>
        <w:tc>
          <w:tcPr>
            <w:tcW w:w="0" w:type="auto"/>
            <w:hideMark/>
          </w:tcPr>
          <w:p w14:paraId="16BD6730" w14:textId="7718EB07"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 xml:space="preserve">МЕ, МРРБ, АУЕР, НСОРБ, ДНСК </w:t>
            </w:r>
            <w:r w:rsidRPr="006F3533">
              <w:rPr>
                <w:rFonts w:cs="Times New Roman"/>
                <w:sz w:val="22"/>
              </w:rPr>
              <w:br/>
            </w:r>
            <w:r w:rsidRPr="006F3533">
              <w:rPr>
                <w:rStyle w:val="Strong"/>
                <w:rFonts w:cs="Times New Roman"/>
                <w:sz w:val="22"/>
              </w:rPr>
              <w:t>Срок:</w:t>
            </w:r>
            <w:r w:rsidRPr="006F3533">
              <w:rPr>
                <w:rFonts w:cs="Times New Roman"/>
                <w:sz w:val="22"/>
              </w:rPr>
              <w:t xml:space="preserve"> 202</w:t>
            </w:r>
            <w:r w:rsidR="007A158C" w:rsidRPr="006F3533">
              <w:rPr>
                <w:rFonts w:cs="Times New Roman"/>
                <w:sz w:val="22"/>
              </w:rPr>
              <w:t>6</w:t>
            </w:r>
            <w:r w:rsidRPr="006F3533">
              <w:rPr>
                <w:rFonts w:cs="Times New Roman"/>
                <w:sz w:val="22"/>
              </w:rPr>
              <w:t>–2027 г.</w:t>
            </w:r>
          </w:p>
        </w:tc>
      </w:tr>
      <w:tr w:rsidR="00B277A8" w:rsidRPr="006F3533" w14:paraId="4195DE8F" w14:textId="77777777" w:rsidTr="00706CDD">
        <w:tc>
          <w:tcPr>
            <w:cnfStyle w:val="001000000000" w:firstRow="0" w:lastRow="0" w:firstColumn="1" w:lastColumn="0" w:oddVBand="0" w:evenVBand="0" w:oddHBand="0" w:evenHBand="0" w:firstRowFirstColumn="0" w:firstRowLastColumn="0" w:lastRowFirstColumn="0" w:lastRowLastColumn="0"/>
            <w:tcW w:w="0" w:type="auto"/>
            <w:hideMark/>
          </w:tcPr>
          <w:p w14:paraId="6E0E1529" w14:textId="77777777" w:rsidR="00B572B1" w:rsidRPr="006F3533" w:rsidRDefault="00B572B1" w:rsidP="00077D42">
            <w:pPr>
              <w:jc w:val="both"/>
              <w:rPr>
                <w:rFonts w:cs="Times New Roman"/>
                <w:sz w:val="22"/>
              </w:rPr>
            </w:pPr>
            <w:r w:rsidRPr="006F3533">
              <w:rPr>
                <w:rStyle w:val="Strong"/>
                <w:rFonts w:cs="Times New Roman"/>
                <w:sz w:val="22"/>
              </w:rPr>
              <w:t>2. Институционални бариери</w:t>
            </w:r>
          </w:p>
        </w:tc>
        <w:tc>
          <w:tcPr>
            <w:tcW w:w="0" w:type="auto"/>
            <w:hideMark/>
          </w:tcPr>
          <w:p w14:paraId="74E41C22" w14:textId="77777777" w:rsidR="00B572B1" w:rsidRPr="006F3533" w:rsidRDefault="00B572B1"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 xml:space="preserve">• Недостатъчна координация между министерства, агенции и общини при изпълнение на политики за обновяване и </w:t>
            </w:r>
            <w:proofErr w:type="spellStart"/>
            <w:r w:rsidRPr="006F3533">
              <w:rPr>
                <w:rFonts w:cs="Times New Roman"/>
                <w:sz w:val="22"/>
              </w:rPr>
              <w:t>декарбонизация</w:t>
            </w:r>
            <w:proofErr w:type="spellEnd"/>
            <w:r w:rsidRPr="006F3533">
              <w:rPr>
                <w:rFonts w:cs="Times New Roman"/>
                <w:sz w:val="22"/>
              </w:rPr>
              <w:t xml:space="preserve">. </w:t>
            </w:r>
            <w:r w:rsidRPr="006F3533">
              <w:rPr>
                <w:rFonts w:cs="Times New Roman"/>
                <w:sz w:val="22"/>
              </w:rPr>
              <w:br/>
              <w:t xml:space="preserve">• Липса на устойчив административен капацитет в общините и ограничен експертен състав в областта на енергийната ефективност и ВЕИ. </w:t>
            </w:r>
            <w:r w:rsidRPr="006F3533">
              <w:rPr>
                <w:rFonts w:cs="Times New Roman"/>
                <w:sz w:val="22"/>
              </w:rPr>
              <w:br/>
              <w:t xml:space="preserve">• Липса на дългосрочен механизъм за техническа помощ и проектна подготовка. </w:t>
            </w:r>
            <w:r w:rsidRPr="006F3533">
              <w:rPr>
                <w:rFonts w:cs="Times New Roman"/>
                <w:sz w:val="22"/>
              </w:rPr>
              <w:br/>
            </w:r>
            <w:r w:rsidRPr="006F3533">
              <w:rPr>
                <w:rFonts w:cs="Times New Roman"/>
                <w:sz w:val="22"/>
              </w:rPr>
              <w:lastRenderedPageBreak/>
              <w:t>• Недостатъчна интеграция между енергийните и жилищните политики.</w:t>
            </w:r>
          </w:p>
          <w:p w14:paraId="4D008BD5" w14:textId="77777777" w:rsidR="00706CDD" w:rsidRPr="006F3533" w:rsidRDefault="00706CDD"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 Недостатъчно регулирано управление и поддръжка на сградите след обновяване с публични средства, включително липса на задължителни планове за експлоатация и поддръжка, което създава риск от загуба на постигнатите енергийни и финансови ползи</w:t>
            </w:r>
          </w:p>
          <w:p w14:paraId="2D4EB550" w14:textId="05B96377" w:rsidR="00706CDD" w:rsidRPr="006F3533" w:rsidRDefault="00706CDD"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 Ниско покритие и нееднакво качество на техническите паспорти и сертификатите за енергийните характеристики на сградите, което затруднява планирането и окрупняването на проекти</w:t>
            </w:r>
          </w:p>
        </w:tc>
        <w:tc>
          <w:tcPr>
            <w:tcW w:w="0" w:type="auto"/>
            <w:hideMark/>
          </w:tcPr>
          <w:p w14:paraId="16D12499" w14:textId="77777777" w:rsidR="00706CDD" w:rsidRPr="006F3533" w:rsidRDefault="00B572B1"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Style w:val="Strong"/>
                <w:rFonts w:cs="Times New Roman"/>
                <w:sz w:val="22"/>
              </w:rPr>
              <w:lastRenderedPageBreak/>
              <w:t>Учредяване на Междуведомствен координационен съвет</w:t>
            </w:r>
            <w:r w:rsidRPr="006F3533">
              <w:rPr>
                <w:rFonts w:cs="Times New Roman"/>
                <w:sz w:val="22"/>
              </w:rPr>
              <w:t xml:space="preserve"> към</w:t>
            </w:r>
            <w:r w:rsidR="00D8379B" w:rsidRPr="006F3533">
              <w:rPr>
                <w:rFonts w:cs="Times New Roman"/>
                <w:sz w:val="22"/>
              </w:rPr>
              <w:t xml:space="preserve"> </w:t>
            </w:r>
            <w:r w:rsidRPr="006F3533">
              <w:rPr>
                <w:rFonts w:cs="Times New Roman"/>
                <w:sz w:val="22"/>
              </w:rPr>
              <w:t xml:space="preserve">за сградното обновяване, с представители на </w:t>
            </w:r>
            <w:r w:rsidR="00D8379B" w:rsidRPr="006F3533">
              <w:rPr>
                <w:rFonts w:cs="Times New Roman"/>
                <w:sz w:val="22"/>
              </w:rPr>
              <w:t xml:space="preserve">ЦКЗ, </w:t>
            </w:r>
            <w:r w:rsidRPr="006F3533">
              <w:rPr>
                <w:rFonts w:cs="Times New Roman"/>
                <w:sz w:val="22"/>
              </w:rPr>
              <w:t>МРРБ, МФ, АУЕР, НФ</w:t>
            </w:r>
            <w:r w:rsidR="00787BB6" w:rsidRPr="006F3533">
              <w:rPr>
                <w:rFonts w:cs="Times New Roman"/>
                <w:sz w:val="22"/>
              </w:rPr>
              <w:t>Д</w:t>
            </w:r>
            <w:r w:rsidR="00D8379B" w:rsidRPr="006F3533">
              <w:rPr>
                <w:rFonts w:cs="Times New Roman"/>
                <w:sz w:val="22"/>
              </w:rPr>
              <w:t xml:space="preserve">, </w:t>
            </w:r>
            <w:r w:rsidRPr="006F3533">
              <w:rPr>
                <w:rFonts w:cs="Times New Roman"/>
                <w:sz w:val="22"/>
              </w:rPr>
              <w:t xml:space="preserve"> НСОРБ</w:t>
            </w:r>
            <w:r w:rsidR="00D8379B" w:rsidRPr="006F3533">
              <w:rPr>
                <w:rFonts w:cs="Times New Roman"/>
                <w:sz w:val="22"/>
              </w:rPr>
              <w:t>, професионални и неправителствени организации</w:t>
            </w:r>
          </w:p>
          <w:p w14:paraId="49F9F2EF" w14:textId="77777777" w:rsidR="00B572B1" w:rsidRPr="006F3533" w:rsidRDefault="00B572B1"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Style w:val="Strong"/>
                <w:rFonts w:cs="Times New Roman"/>
                <w:sz w:val="22"/>
              </w:rPr>
              <w:t>Укрепване на капацитета на общините</w:t>
            </w:r>
            <w:r w:rsidRPr="006F3533">
              <w:rPr>
                <w:rFonts w:cs="Times New Roman"/>
                <w:sz w:val="22"/>
              </w:rPr>
              <w:t xml:space="preserve"> чрез целеви обучения и обмен на добри практики </w:t>
            </w:r>
            <w:r w:rsidRPr="006F3533">
              <w:rPr>
                <w:rFonts w:cs="Times New Roman"/>
                <w:sz w:val="22"/>
              </w:rPr>
              <w:br/>
            </w:r>
            <w:r w:rsidRPr="006F3533">
              <w:rPr>
                <w:rStyle w:val="Strong"/>
                <w:rFonts w:cs="Times New Roman"/>
                <w:sz w:val="22"/>
              </w:rPr>
              <w:t>Разширяване на мрежата от центрове за консултации и обслужване (ЦКО/OSS)</w:t>
            </w:r>
            <w:r w:rsidRPr="006F3533">
              <w:rPr>
                <w:rFonts w:cs="Times New Roman"/>
                <w:sz w:val="22"/>
              </w:rPr>
              <w:t xml:space="preserve"> до минимум едно звено на </w:t>
            </w:r>
            <w:r w:rsidR="00D8379B" w:rsidRPr="006F3533">
              <w:rPr>
                <w:rFonts w:cs="Times New Roman"/>
                <w:sz w:val="22"/>
              </w:rPr>
              <w:t>80</w:t>
            </w:r>
            <w:r w:rsidRPr="006F3533">
              <w:rPr>
                <w:rFonts w:cs="Times New Roman"/>
                <w:sz w:val="22"/>
              </w:rPr>
              <w:t xml:space="preserve"> 000 жители. </w:t>
            </w:r>
            <w:r w:rsidRPr="006F3533">
              <w:rPr>
                <w:rFonts w:cs="Times New Roman"/>
                <w:sz w:val="22"/>
              </w:rPr>
              <w:br/>
            </w:r>
            <w:r w:rsidRPr="006F3533">
              <w:rPr>
                <w:rStyle w:val="Strong"/>
                <w:rFonts w:cs="Times New Roman"/>
                <w:sz w:val="22"/>
              </w:rPr>
              <w:t xml:space="preserve">Създаване на национална платформа за </w:t>
            </w:r>
            <w:r w:rsidRPr="006F3533">
              <w:rPr>
                <w:rStyle w:val="Strong"/>
                <w:rFonts w:cs="Times New Roman"/>
                <w:sz w:val="22"/>
              </w:rPr>
              <w:lastRenderedPageBreak/>
              <w:t>мониторинг на сградния фонд</w:t>
            </w:r>
            <w:r w:rsidRPr="006F3533">
              <w:rPr>
                <w:rFonts w:cs="Times New Roman"/>
                <w:sz w:val="22"/>
              </w:rPr>
              <w:t>, обединяваща данни от енергийните агенции, общините и кадастъра.</w:t>
            </w:r>
          </w:p>
          <w:p w14:paraId="7A31B5A5" w14:textId="77777777" w:rsidR="00706CDD" w:rsidRPr="006F3533" w:rsidRDefault="00706CDD"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b/>
                <w:bCs/>
                <w:sz w:val="22"/>
              </w:rPr>
              <w:t>Въвеждане на изисквания за планове за експлоатация и поддръжка</w:t>
            </w:r>
            <w:r w:rsidRPr="006F3533">
              <w:rPr>
                <w:rFonts w:cs="Times New Roman"/>
                <w:sz w:val="22"/>
              </w:rPr>
              <w:t>, обвързани с енергийното сертифициране и паспортите за сградно обновяване; интеграция с цифровите регистри и мониторинг на резултатите</w:t>
            </w:r>
          </w:p>
          <w:p w14:paraId="3F8E9BCC" w14:textId="4E4287AC" w:rsidR="00706CDD" w:rsidRPr="006F3533" w:rsidRDefault="00706CDD"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b/>
                <w:bCs/>
                <w:sz w:val="22"/>
              </w:rPr>
              <w:t>Стандартизиране и дигитализация</w:t>
            </w:r>
            <w:r w:rsidRPr="006F3533">
              <w:rPr>
                <w:rFonts w:cs="Times New Roman"/>
                <w:sz w:val="22"/>
              </w:rPr>
              <w:t xml:space="preserve"> на техническите паспорти; въвеждане на опростен механизъм за етикетиране; въвеждане и масово прилагане на </w:t>
            </w:r>
            <w:r w:rsidRPr="006F3533">
              <w:rPr>
                <w:rFonts w:cs="Times New Roman"/>
                <w:b/>
                <w:bCs/>
                <w:sz w:val="22"/>
              </w:rPr>
              <w:t>паспорти за сградно обновяване</w:t>
            </w:r>
            <w:r w:rsidRPr="006F3533">
              <w:rPr>
                <w:rFonts w:cs="Times New Roman"/>
                <w:sz w:val="22"/>
              </w:rPr>
              <w:t xml:space="preserve"> като основен инструмент за дългосрочно планиране</w:t>
            </w:r>
          </w:p>
        </w:tc>
        <w:tc>
          <w:tcPr>
            <w:tcW w:w="0" w:type="auto"/>
            <w:hideMark/>
          </w:tcPr>
          <w:p w14:paraId="5CFBC3DD" w14:textId="42FE65FE"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lastRenderedPageBreak/>
              <w:t>МЕ, МРРБ, АУЕР, НФ</w:t>
            </w:r>
            <w:r w:rsidR="00787BB6" w:rsidRPr="006F3533">
              <w:rPr>
                <w:rFonts w:cs="Times New Roman"/>
                <w:sz w:val="22"/>
              </w:rPr>
              <w:t>Д</w:t>
            </w:r>
            <w:r w:rsidRPr="006F3533">
              <w:rPr>
                <w:rFonts w:cs="Times New Roman"/>
                <w:sz w:val="22"/>
              </w:rPr>
              <w:t xml:space="preserve">, НСОРБ, </w:t>
            </w:r>
            <w:proofErr w:type="spellStart"/>
            <w:r w:rsidRPr="006F3533">
              <w:rPr>
                <w:rFonts w:cs="Times New Roman"/>
                <w:sz w:val="22"/>
              </w:rPr>
              <w:t>ЕкоЕнергия</w:t>
            </w:r>
            <w:proofErr w:type="spellEnd"/>
            <w:r w:rsidRPr="006F3533">
              <w:rPr>
                <w:rFonts w:cs="Times New Roman"/>
                <w:sz w:val="22"/>
              </w:rPr>
              <w:t xml:space="preserve"> </w:t>
            </w:r>
            <w:r w:rsidRPr="006F3533">
              <w:rPr>
                <w:rFonts w:cs="Times New Roman"/>
                <w:sz w:val="22"/>
              </w:rPr>
              <w:br/>
            </w:r>
            <w:r w:rsidRPr="006F3533">
              <w:rPr>
                <w:rStyle w:val="Strong"/>
                <w:rFonts w:cs="Times New Roman"/>
                <w:sz w:val="22"/>
              </w:rPr>
              <w:t>Срок:</w:t>
            </w:r>
            <w:r w:rsidRPr="006F3533">
              <w:rPr>
                <w:rFonts w:cs="Times New Roman"/>
                <w:sz w:val="22"/>
              </w:rPr>
              <w:t xml:space="preserve"> 202</w:t>
            </w:r>
            <w:r w:rsidR="007A158C" w:rsidRPr="006F3533">
              <w:rPr>
                <w:rFonts w:cs="Times New Roman"/>
                <w:sz w:val="22"/>
              </w:rPr>
              <w:t>6</w:t>
            </w:r>
            <w:r w:rsidRPr="006F3533">
              <w:rPr>
                <w:rFonts w:cs="Times New Roman"/>
                <w:sz w:val="22"/>
              </w:rPr>
              <w:t>–2028 г.</w:t>
            </w:r>
          </w:p>
        </w:tc>
      </w:tr>
      <w:tr w:rsidR="00B277A8" w:rsidRPr="006F3533" w14:paraId="43320C5B" w14:textId="77777777" w:rsidTr="00706C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87F5A8" w14:textId="77777777" w:rsidR="00B572B1" w:rsidRPr="006F3533" w:rsidRDefault="00B572B1" w:rsidP="00077D42">
            <w:pPr>
              <w:jc w:val="both"/>
              <w:rPr>
                <w:rFonts w:cs="Times New Roman"/>
                <w:sz w:val="22"/>
              </w:rPr>
            </w:pPr>
            <w:r w:rsidRPr="006F3533">
              <w:rPr>
                <w:rStyle w:val="Strong"/>
                <w:rFonts w:cs="Times New Roman"/>
                <w:sz w:val="22"/>
              </w:rPr>
              <w:t>3. Финансови бариери</w:t>
            </w:r>
          </w:p>
        </w:tc>
        <w:tc>
          <w:tcPr>
            <w:tcW w:w="0" w:type="auto"/>
            <w:hideMark/>
          </w:tcPr>
          <w:p w14:paraId="53E80279" w14:textId="77777777" w:rsidR="00B572B1" w:rsidRPr="006F3533" w:rsidRDefault="00B572B1" w:rsidP="00706CDD">
            <w:pPr>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 xml:space="preserve">• Прекомерна зависимост от </w:t>
            </w:r>
            <w:proofErr w:type="spellStart"/>
            <w:r w:rsidRPr="006F3533">
              <w:rPr>
                <w:rFonts w:cs="Times New Roman"/>
                <w:sz w:val="22"/>
              </w:rPr>
              <w:t>грантово</w:t>
            </w:r>
            <w:proofErr w:type="spellEnd"/>
            <w:r w:rsidRPr="006F3533">
              <w:rPr>
                <w:rFonts w:cs="Times New Roman"/>
                <w:sz w:val="22"/>
              </w:rPr>
              <w:t xml:space="preserve"> финансиране и липса на стимули за комбинирани модели. </w:t>
            </w:r>
            <w:r w:rsidRPr="006F3533">
              <w:rPr>
                <w:rFonts w:cs="Times New Roman"/>
                <w:sz w:val="22"/>
              </w:rPr>
              <w:br/>
              <w:t xml:space="preserve">• Липса на гаранционни механизми и дългосрочно кредитиране за домакинства и етажна собственост. </w:t>
            </w:r>
            <w:r w:rsidRPr="006F3533">
              <w:rPr>
                <w:rFonts w:cs="Times New Roman"/>
                <w:sz w:val="22"/>
              </w:rPr>
              <w:br/>
              <w:t xml:space="preserve">• Слабо участие на частния сектор, ЕСКО компании и банкови институции. </w:t>
            </w:r>
            <w:r w:rsidRPr="006F3533">
              <w:rPr>
                <w:rFonts w:cs="Times New Roman"/>
                <w:sz w:val="22"/>
              </w:rPr>
              <w:br/>
              <w:t>• Ограничен достъп до финансиране на домакинствата с ниски доходи и на енергийно бедните.</w:t>
            </w:r>
          </w:p>
        </w:tc>
        <w:tc>
          <w:tcPr>
            <w:tcW w:w="0" w:type="auto"/>
            <w:hideMark/>
          </w:tcPr>
          <w:p w14:paraId="06B3D100" w14:textId="5EEC8F40" w:rsidR="00B572B1" w:rsidRPr="006F3533" w:rsidRDefault="00B572B1" w:rsidP="00706CDD">
            <w:pPr>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Style w:val="Strong"/>
                <w:rFonts w:cs="Times New Roman"/>
                <w:sz w:val="22"/>
              </w:rPr>
              <w:t xml:space="preserve">Създаване на </w:t>
            </w:r>
            <w:r w:rsidR="00787BB6" w:rsidRPr="006F3533">
              <w:rPr>
                <w:rStyle w:val="Strong"/>
                <w:rFonts w:cs="Times New Roman"/>
                <w:sz w:val="22"/>
              </w:rPr>
              <w:t>г</w:t>
            </w:r>
            <w:r w:rsidR="00787BB6" w:rsidRPr="006F3533">
              <w:rPr>
                <w:rStyle w:val="Strong"/>
                <w:sz w:val="22"/>
              </w:rPr>
              <w:t>аранционен инструмент</w:t>
            </w:r>
            <w:r w:rsidRPr="006F3533">
              <w:rPr>
                <w:rStyle w:val="Strong"/>
                <w:rFonts w:cs="Times New Roman"/>
                <w:sz w:val="22"/>
              </w:rPr>
              <w:t xml:space="preserve"> за енергийна ефективност и обновяване</w:t>
            </w:r>
            <w:r w:rsidRPr="006F3533">
              <w:rPr>
                <w:rFonts w:cs="Times New Roman"/>
                <w:sz w:val="22"/>
              </w:rPr>
              <w:t xml:space="preserve">, финансиран чрез НДФ и МФ. </w:t>
            </w:r>
            <w:r w:rsidRPr="006F3533">
              <w:rPr>
                <w:rFonts w:cs="Times New Roman"/>
                <w:sz w:val="22"/>
              </w:rPr>
              <w:br/>
            </w:r>
            <w:r w:rsidRPr="006F3533">
              <w:rPr>
                <w:rStyle w:val="Strong"/>
                <w:rFonts w:cs="Times New Roman"/>
                <w:sz w:val="22"/>
              </w:rPr>
              <w:t>Разработване на финансови продукти с дял съфинансиране</w:t>
            </w:r>
            <w:r w:rsidRPr="006F3533">
              <w:rPr>
                <w:rFonts w:cs="Times New Roman"/>
                <w:sz w:val="22"/>
              </w:rPr>
              <w:t xml:space="preserve"> от </w:t>
            </w:r>
            <w:r w:rsidR="00D8379B" w:rsidRPr="006F3533">
              <w:rPr>
                <w:rFonts w:cs="Times New Roman"/>
                <w:sz w:val="22"/>
              </w:rPr>
              <w:t xml:space="preserve">търговски </w:t>
            </w:r>
            <w:r w:rsidRPr="006F3533">
              <w:rPr>
                <w:rFonts w:cs="Times New Roman"/>
                <w:sz w:val="22"/>
              </w:rPr>
              <w:t>банки и</w:t>
            </w:r>
            <w:r w:rsidR="00D8379B" w:rsidRPr="006F3533">
              <w:rPr>
                <w:rFonts w:cs="Times New Roman"/>
                <w:sz w:val="22"/>
              </w:rPr>
              <w:t xml:space="preserve"> публични фондове</w:t>
            </w:r>
            <w:r w:rsidRPr="006F3533">
              <w:rPr>
                <w:rFonts w:cs="Times New Roman"/>
                <w:sz w:val="22"/>
              </w:rPr>
              <w:t xml:space="preserve">, насочени към етажна собственост и МСП. </w:t>
            </w:r>
            <w:r w:rsidRPr="006F3533">
              <w:rPr>
                <w:rFonts w:cs="Times New Roman"/>
                <w:sz w:val="22"/>
              </w:rPr>
              <w:br/>
            </w:r>
            <w:r w:rsidRPr="006F3533">
              <w:rPr>
                <w:rStyle w:val="Strong"/>
                <w:rFonts w:cs="Times New Roman"/>
                <w:sz w:val="22"/>
              </w:rPr>
              <w:t>Въвеждане на стимули за ЕСКО модели и енергийни услуги</w:t>
            </w:r>
            <w:r w:rsidRPr="006F3533">
              <w:rPr>
                <w:rFonts w:cs="Times New Roman"/>
                <w:sz w:val="22"/>
              </w:rPr>
              <w:t xml:space="preserve">, включително публично-гарантирани договори за спестяване на енергия. </w:t>
            </w:r>
            <w:r w:rsidRPr="006F3533">
              <w:rPr>
                <w:rFonts w:cs="Times New Roman"/>
                <w:sz w:val="22"/>
              </w:rPr>
              <w:br/>
            </w:r>
            <w:r w:rsidRPr="006F3533">
              <w:rPr>
                <w:rStyle w:val="Strong"/>
                <w:rFonts w:cs="Times New Roman"/>
                <w:sz w:val="22"/>
              </w:rPr>
              <w:t>Пилотни програми за уязвими групи</w:t>
            </w:r>
            <w:r w:rsidRPr="006F3533">
              <w:rPr>
                <w:rFonts w:cs="Times New Roman"/>
                <w:sz w:val="22"/>
              </w:rPr>
              <w:t xml:space="preserve">, комбиниращи </w:t>
            </w:r>
            <w:proofErr w:type="spellStart"/>
            <w:r w:rsidRPr="006F3533">
              <w:rPr>
                <w:rFonts w:cs="Times New Roman"/>
                <w:sz w:val="22"/>
              </w:rPr>
              <w:t>грантово</w:t>
            </w:r>
            <w:proofErr w:type="spellEnd"/>
            <w:r w:rsidRPr="006F3533">
              <w:rPr>
                <w:rFonts w:cs="Times New Roman"/>
                <w:sz w:val="22"/>
              </w:rPr>
              <w:t xml:space="preserve"> финансиране и техническа помощ чрез ЦКО.</w:t>
            </w:r>
          </w:p>
        </w:tc>
        <w:tc>
          <w:tcPr>
            <w:tcW w:w="0" w:type="auto"/>
            <w:hideMark/>
          </w:tcPr>
          <w:p w14:paraId="3B6595D6" w14:textId="4FD42221"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 xml:space="preserve">МФ, МЕ, </w:t>
            </w:r>
            <w:r w:rsidR="00787BB6" w:rsidRPr="006F3533">
              <w:rPr>
                <w:rFonts w:cs="Times New Roman"/>
                <w:sz w:val="22"/>
              </w:rPr>
              <w:t>ФМФИБ</w:t>
            </w:r>
            <w:r w:rsidRPr="006F3533">
              <w:rPr>
                <w:rFonts w:cs="Times New Roman"/>
                <w:sz w:val="22"/>
              </w:rPr>
              <w:t xml:space="preserve">, ББР, </w:t>
            </w:r>
            <w:r w:rsidRPr="006F3533">
              <w:rPr>
                <w:rStyle w:val="Strong"/>
                <w:rFonts w:cs="Times New Roman"/>
                <w:sz w:val="22"/>
              </w:rPr>
              <w:t>Срок:</w:t>
            </w:r>
            <w:r w:rsidRPr="006F3533">
              <w:rPr>
                <w:rFonts w:cs="Times New Roman"/>
                <w:sz w:val="22"/>
              </w:rPr>
              <w:t xml:space="preserve"> 202</w:t>
            </w:r>
            <w:r w:rsidR="007A158C" w:rsidRPr="006F3533">
              <w:rPr>
                <w:rFonts w:cs="Times New Roman"/>
                <w:sz w:val="22"/>
              </w:rPr>
              <w:t>6</w:t>
            </w:r>
            <w:r w:rsidRPr="006F3533">
              <w:rPr>
                <w:rFonts w:cs="Times New Roman"/>
                <w:sz w:val="22"/>
              </w:rPr>
              <w:t>–2030 г.</w:t>
            </w:r>
          </w:p>
        </w:tc>
      </w:tr>
      <w:tr w:rsidR="00B277A8" w:rsidRPr="006F3533" w14:paraId="398F1202" w14:textId="77777777" w:rsidTr="00706CDD">
        <w:tc>
          <w:tcPr>
            <w:cnfStyle w:val="001000000000" w:firstRow="0" w:lastRow="0" w:firstColumn="1" w:lastColumn="0" w:oddVBand="0" w:evenVBand="0" w:oddHBand="0" w:evenHBand="0" w:firstRowFirstColumn="0" w:firstRowLastColumn="0" w:lastRowFirstColumn="0" w:lastRowLastColumn="0"/>
            <w:tcW w:w="0" w:type="auto"/>
            <w:hideMark/>
          </w:tcPr>
          <w:p w14:paraId="7210E230" w14:textId="77777777" w:rsidR="00B572B1" w:rsidRPr="006F3533" w:rsidRDefault="00B572B1" w:rsidP="00077D42">
            <w:pPr>
              <w:jc w:val="both"/>
              <w:rPr>
                <w:rFonts w:cs="Times New Roman"/>
                <w:sz w:val="22"/>
              </w:rPr>
            </w:pPr>
            <w:r w:rsidRPr="006F3533">
              <w:rPr>
                <w:rStyle w:val="Strong"/>
                <w:rFonts w:cs="Times New Roman"/>
                <w:sz w:val="22"/>
              </w:rPr>
              <w:t>4. Пазарни и технологични бариери</w:t>
            </w:r>
          </w:p>
        </w:tc>
        <w:tc>
          <w:tcPr>
            <w:tcW w:w="0" w:type="auto"/>
            <w:hideMark/>
          </w:tcPr>
          <w:p w14:paraId="1C4BCD73" w14:textId="77777777" w:rsidR="00B572B1" w:rsidRPr="006F3533" w:rsidRDefault="00B572B1"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 xml:space="preserve">• Недостиг на квалифицирани специалисти в строителството, енергийните одити и сградната автоматизация. </w:t>
            </w:r>
            <w:r w:rsidRPr="006F3533">
              <w:rPr>
                <w:rFonts w:cs="Times New Roman"/>
                <w:sz w:val="22"/>
              </w:rPr>
              <w:br/>
              <w:t xml:space="preserve">• Липса на стандарти за качество при проектиране и изпълнение на мерки за ЕЕ. </w:t>
            </w:r>
            <w:r w:rsidRPr="006F3533">
              <w:rPr>
                <w:rFonts w:cs="Times New Roman"/>
                <w:sz w:val="22"/>
              </w:rPr>
              <w:br/>
            </w:r>
            <w:r w:rsidRPr="006F3533">
              <w:rPr>
                <w:rFonts w:cs="Times New Roman"/>
                <w:sz w:val="22"/>
              </w:rPr>
              <w:lastRenderedPageBreak/>
              <w:t xml:space="preserve">• Недостатъчно сертифицирани материали и оборудване на пазара. </w:t>
            </w:r>
            <w:r w:rsidRPr="006F3533">
              <w:rPr>
                <w:rFonts w:cs="Times New Roman"/>
                <w:sz w:val="22"/>
              </w:rPr>
              <w:br/>
              <w:t>• Ограничена интеграция на иновативни технологии и дигитални решения.</w:t>
            </w:r>
          </w:p>
          <w:p w14:paraId="0CC23132" w14:textId="349B49E4" w:rsidR="007A158C" w:rsidRPr="006F3533" w:rsidRDefault="007A158C"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 Малък и разпокъсан размер на проектите за сградно обновяване, водещ до високи транзакционни разходи и ниска привлекателност за финансовите институции и ЕСКО компании</w:t>
            </w:r>
          </w:p>
        </w:tc>
        <w:tc>
          <w:tcPr>
            <w:tcW w:w="0" w:type="auto"/>
            <w:hideMark/>
          </w:tcPr>
          <w:p w14:paraId="36091B02" w14:textId="345CAC58" w:rsidR="00B572B1" w:rsidRPr="006F3533" w:rsidRDefault="00B572B1"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Style w:val="Strong"/>
                <w:rFonts w:cs="Times New Roman"/>
                <w:sz w:val="22"/>
              </w:rPr>
              <w:lastRenderedPageBreak/>
              <w:t>Развитие на система за сертификация и квалификация</w:t>
            </w:r>
            <w:r w:rsidRPr="006F3533">
              <w:rPr>
                <w:rFonts w:cs="Times New Roman"/>
                <w:sz w:val="22"/>
              </w:rPr>
              <w:t xml:space="preserve"> на специалисти чрез НАПОО, </w:t>
            </w:r>
            <w:r w:rsidR="00787BB6" w:rsidRPr="006F3533">
              <w:rPr>
                <w:rFonts w:cs="Times New Roman"/>
                <w:sz w:val="22"/>
              </w:rPr>
              <w:t xml:space="preserve">КСБ, </w:t>
            </w:r>
            <w:r w:rsidRPr="006F3533">
              <w:rPr>
                <w:rFonts w:cs="Times New Roman"/>
                <w:sz w:val="22"/>
              </w:rPr>
              <w:t xml:space="preserve">КАБ и КИИП, с актуализирани професионални стандарти и учебни програми. </w:t>
            </w:r>
            <w:r w:rsidRPr="006F3533">
              <w:rPr>
                <w:rFonts w:cs="Times New Roman"/>
                <w:sz w:val="22"/>
              </w:rPr>
              <w:br/>
            </w:r>
            <w:r w:rsidRPr="006F3533">
              <w:rPr>
                <w:rStyle w:val="Strong"/>
                <w:rFonts w:cs="Times New Roman"/>
                <w:sz w:val="22"/>
              </w:rPr>
              <w:t>Създаване на национален регистър на фирми и специалисти</w:t>
            </w:r>
            <w:r w:rsidRPr="006F3533">
              <w:rPr>
                <w:rFonts w:cs="Times New Roman"/>
                <w:sz w:val="22"/>
              </w:rPr>
              <w:t xml:space="preserve">, притежаващи квалификация за проектиране и изпълнение на обновяване. </w:t>
            </w:r>
            <w:r w:rsidRPr="006F3533">
              <w:rPr>
                <w:rFonts w:cs="Times New Roman"/>
                <w:sz w:val="22"/>
              </w:rPr>
              <w:br/>
            </w:r>
            <w:r w:rsidRPr="006F3533">
              <w:rPr>
                <w:rStyle w:val="Strong"/>
                <w:rFonts w:cs="Times New Roman"/>
                <w:sz w:val="22"/>
              </w:rPr>
              <w:lastRenderedPageBreak/>
              <w:t>Въвеждане на задължителен контрол на качеството</w:t>
            </w:r>
            <w:r w:rsidRPr="006F3533">
              <w:rPr>
                <w:rFonts w:cs="Times New Roman"/>
                <w:sz w:val="22"/>
              </w:rPr>
              <w:t xml:space="preserve"> и </w:t>
            </w:r>
            <w:r w:rsidR="00B277A8" w:rsidRPr="006F3533">
              <w:rPr>
                <w:rFonts w:cs="Times New Roman"/>
                <w:sz w:val="22"/>
              </w:rPr>
              <w:t xml:space="preserve">мониторинг на потреблението при проекти, финансирани с публични средства; при необходимост, </w:t>
            </w:r>
            <w:r w:rsidRPr="006F3533">
              <w:rPr>
                <w:rFonts w:cs="Times New Roman"/>
                <w:sz w:val="22"/>
              </w:rPr>
              <w:t>енергийн</w:t>
            </w:r>
            <w:r w:rsidR="00B277A8" w:rsidRPr="006F3533">
              <w:rPr>
                <w:rFonts w:cs="Times New Roman"/>
                <w:sz w:val="22"/>
              </w:rPr>
              <w:t>и</w:t>
            </w:r>
            <w:r w:rsidRPr="006F3533">
              <w:rPr>
                <w:rFonts w:cs="Times New Roman"/>
                <w:sz w:val="22"/>
              </w:rPr>
              <w:t xml:space="preserve"> </w:t>
            </w:r>
            <w:r w:rsidR="00B277A8" w:rsidRPr="006F3533">
              <w:rPr>
                <w:rFonts w:cs="Times New Roman"/>
                <w:sz w:val="22"/>
              </w:rPr>
              <w:t>обследвания</w:t>
            </w:r>
            <w:r w:rsidRPr="006F3533">
              <w:rPr>
                <w:rFonts w:cs="Times New Roman"/>
                <w:sz w:val="22"/>
              </w:rPr>
              <w:t xml:space="preserve"> </w:t>
            </w:r>
            <w:r w:rsidR="00B277A8" w:rsidRPr="006F3533">
              <w:rPr>
                <w:rFonts w:cs="Times New Roman"/>
                <w:sz w:val="22"/>
              </w:rPr>
              <w:t>според законовите разпоредби</w:t>
            </w:r>
            <w:r w:rsidRPr="006F3533">
              <w:rPr>
                <w:rFonts w:cs="Times New Roman"/>
                <w:sz w:val="22"/>
              </w:rPr>
              <w:t xml:space="preserve">. </w:t>
            </w:r>
            <w:r w:rsidRPr="006F3533">
              <w:rPr>
                <w:rFonts w:cs="Times New Roman"/>
                <w:sz w:val="22"/>
              </w:rPr>
              <w:br/>
            </w:r>
            <w:r w:rsidRPr="006F3533">
              <w:rPr>
                <w:rStyle w:val="Strong"/>
                <w:rFonts w:cs="Times New Roman"/>
                <w:sz w:val="22"/>
              </w:rPr>
              <w:t>Подкрепа за цифровизация и иновации</w:t>
            </w:r>
            <w:r w:rsidRPr="006F3533">
              <w:rPr>
                <w:rFonts w:cs="Times New Roman"/>
                <w:sz w:val="22"/>
              </w:rPr>
              <w:t xml:space="preserve"> – дигитални двойници на сгради, BIM модели, интелигентни системи за управление на енергията.</w:t>
            </w:r>
          </w:p>
          <w:p w14:paraId="10E5F20E" w14:textId="57902FDE" w:rsidR="007A158C" w:rsidRPr="006F3533" w:rsidRDefault="007A158C" w:rsidP="00706CDD">
            <w:pPr>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b/>
                <w:bCs/>
                <w:sz w:val="22"/>
              </w:rPr>
              <w:t>Насърчаване на окрупняване на проекти</w:t>
            </w:r>
            <w:r w:rsidRPr="006F3533">
              <w:rPr>
                <w:rFonts w:cs="Times New Roman"/>
                <w:sz w:val="22"/>
              </w:rPr>
              <w:t xml:space="preserve"> чрез </w:t>
            </w:r>
            <w:r w:rsidR="00B277A8" w:rsidRPr="006F3533">
              <w:rPr>
                <w:rFonts w:cs="Times New Roman"/>
                <w:sz w:val="22"/>
              </w:rPr>
              <w:t>ЦКО</w:t>
            </w:r>
            <w:r w:rsidRPr="006F3533">
              <w:rPr>
                <w:rFonts w:cs="Times New Roman"/>
                <w:sz w:val="22"/>
              </w:rPr>
              <w:t xml:space="preserve">, общински и териториални подходи, стандартизирани проектни пакети и </w:t>
            </w:r>
            <w:proofErr w:type="spellStart"/>
            <w:r w:rsidRPr="006F3533">
              <w:rPr>
                <w:rFonts w:cs="Times New Roman"/>
                <w:sz w:val="22"/>
              </w:rPr>
              <w:t>портфейлно</w:t>
            </w:r>
            <w:proofErr w:type="spellEnd"/>
            <w:r w:rsidRPr="006F3533">
              <w:rPr>
                <w:rFonts w:cs="Times New Roman"/>
                <w:sz w:val="22"/>
              </w:rPr>
              <w:t xml:space="preserve"> финансиране</w:t>
            </w:r>
          </w:p>
        </w:tc>
        <w:tc>
          <w:tcPr>
            <w:tcW w:w="0" w:type="auto"/>
            <w:hideMark/>
          </w:tcPr>
          <w:p w14:paraId="6083C0FA" w14:textId="3FBB4D2D" w:rsidR="00B572B1" w:rsidRPr="006F3533" w:rsidRDefault="00B572B1" w:rsidP="00077D42">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lastRenderedPageBreak/>
              <w:t xml:space="preserve">НАПОО, </w:t>
            </w:r>
            <w:r w:rsidR="00787BB6" w:rsidRPr="006F3533">
              <w:rPr>
                <w:rFonts w:cs="Times New Roman"/>
                <w:sz w:val="22"/>
              </w:rPr>
              <w:t xml:space="preserve">КСБ, </w:t>
            </w:r>
            <w:r w:rsidRPr="006F3533">
              <w:rPr>
                <w:rFonts w:cs="Times New Roman"/>
                <w:sz w:val="22"/>
              </w:rPr>
              <w:t>КАБ, КИИП, МЕ, МРРБ</w:t>
            </w:r>
            <w:r w:rsidR="007A158C" w:rsidRPr="006F3533">
              <w:rPr>
                <w:rFonts w:cs="Times New Roman"/>
                <w:sz w:val="22"/>
              </w:rPr>
              <w:t>, НФД</w:t>
            </w:r>
            <w:r w:rsidRPr="006F3533">
              <w:rPr>
                <w:rFonts w:cs="Times New Roman"/>
                <w:sz w:val="22"/>
              </w:rPr>
              <w:t xml:space="preserve"> </w:t>
            </w:r>
            <w:r w:rsidRPr="006F3533">
              <w:rPr>
                <w:rFonts w:cs="Times New Roman"/>
                <w:sz w:val="22"/>
              </w:rPr>
              <w:br/>
            </w:r>
            <w:r w:rsidRPr="006F3533">
              <w:rPr>
                <w:rStyle w:val="Strong"/>
                <w:rFonts w:cs="Times New Roman"/>
                <w:sz w:val="22"/>
              </w:rPr>
              <w:t>Срок:</w:t>
            </w:r>
            <w:r w:rsidRPr="006F3533">
              <w:rPr>
                <w:rFonts w:cs="Times New Roman"/>
                <w:sz w:val="22"/>
              </w:rPr>
              <w:t xml:space="preserve"> 202</w:t>
            </w:r>
            <w:r w:rsidR="007A158C" w:rsidRPr="006F3533">
              <w:rPr>
                <w:rFonts w:cs="Times New Roman"/>
                <w:sz w:val="22"/>
              </w:rPr>
              <w:t>6</w:t>
            </w:r>
            <w:r w:rsidRPr="006F3533">
              <w:rPr>
                <w:rFonts w:cs="Times New Roman"/>
                <w:sz w:val="22"/>
              </w:rPr>
              <w:t>–2028 г.</w:t>
            </w:r>
          </w:p>
        </w:tc>
      </w:tr>
      <w:tr w:rsidR="00B277A8" w:rsidRPr="006F3533" w14:paraId="0A1931C8" w14:textId="77777777" w:rsidTr="00706C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B2B2BD" w14:textId="77777777" w:rsidR="00B572B1" w:rsidRPr="006F3533" w:rsidRDefault="00B572B1" w:rsidP="00077D42">
            <w:pPr>
              <w:jc w:val="both"/>
              <w:rPr>
                <w:rFonts w:cs="Times New Roman"/>
                <w:sz w:val="22"/>
              </w:rPr>
            </w:pPr>
            <w:r w:rsidRPr="006F3533">
              <w:rPr>
                <w:rStyle w:val="Strong"/>
                <w:rFonts w:cs="Times New Roman"/>
                <w:sz w:val="22"/>
              </w:rPr>
              <w:t>5. Информационни и поведенчески бариери</w:t>
            </w:r>
          </w:p>
        </w:tc>
        <w:tc>
          <w:tcPr>
            <w:tcW w:w="0" w:type="auto"/>
            <w:hideMark/>
          </w:tcPr>
          <w:p w14:paraId="227FD899" w14:textId="77777777" w:rsidR="00B572B1" w:rsidRPr="006F3533" w:rsidRDefault="00B572B1" w:rsidP="00706CDD">
            <w:pPr>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 xml:space="preserve">• Ниска информираност на гражданите относно ползите от енергийната ефективност. </w:t>
            </w:r>
            <w:r w:rsidRPr="006F3533">
              <w:rPr>
                <w:rFonts w:cs="Times New Roman"/>
                <w:sz w:val="22"/>
              </w:rPr>
              <w:br/>
              <w:t xml:space="preserve">• Недоверие към програмите и изпълнителите. </w:t>
            </w:r>
            <w:r w:rsidRPr="006F3533">
              <w:rPr>
                <w:rFonts w:cs="Times New Roman"/>
                <w:sz w:val="22"/>
              </w:rPr>
              <w:br/>
              <w:t xml:space="preserve">• Липса на прозрачност в резултатите от вече реализирани проекти. </w:t>
            </w:r>
            <w:r w:rsidRPr="006F3533">
              <w:rPr>
                <w:rFonts w:cs="Times New Roman"/>
                <w:sz w:val="22"/>
              </w:rPr>
              <w:br/>
              <w:t>• Ограничен достъп до данни и отсъствие на публични индикатори за напредък.</w:t>
            </w:r>
          </w:p>
        </w:tc>
        <w:tc>
          <w:tcPr>
            <w:tcW w:w="0" w:type="auto"/>
            <w:hideMark/>
          </w:tcPr>
          <w:p w14:paraId="1DA53A8E" w14:textId="367B24B3" w:rsidR="00B572B1" w:rsidRPr="006F3533" w:rsidRDefault="00B572B1" w:rsidP="00706CDD">
            <w:pPr>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Style w:val="Strong"/>
                <w:rFonts w:cs="Times New Roman"/>
                <w:sz w:val="22"/>
              </w:rPr>
              <w:t>Национални кампании за повишаване на осведомеността</w:t>
            </w:r>
            <w:r w:rsidRPr="006F3533">
              <w:rPr>
                <w:rFonts w:cs="Times New Roman"/>
                <w:sz w:val="22"/>
              </w:rPr>
              <w:t>, с акцент върху спестяване</w:t>
            </w:r>
            <w:r w:rsidR="00B277A8" w:rsidRPr="006F3533">
              <w:rPr>
                <w:rFonts w:cs="Times New Roman"/>
                <w:sz w:val="22"/>
              </w:rPr>
              <w:t xml:space="preserve"> на разходи</w:t>
            </w:r>
            <w:r w:rsidRPr="006F3533">
              <w:rPr>
                <w:rFonts w:cs="Times New Roman"/>
                <w:sz w:val="22"/>
              </w:rPr>
              <w:t xml:space="preserve">, комфорт и стойност на имота. </w:t>
            </w:r>
            <w:r w:rsidRPr="006F3533">
              <w:rPr>
                <w:rFonts w:cs="Times New Roman"/>
                <w:sz w:val="22"/>
              </w:rPr>
              <w:br/>
            </w:r>
            <w:r w:rsidRPr="006F3533">
              <w:rPr>
                <w:rStyle w:val="Strong"/>
                <w:rFonts w:cs="Times New Roman"/>
                <w:sz w:val="22"/>
              </w:rPr>
              <w:t>Създаване на отворен портал за сградно обновяване</w:t>
            </w:r>
            <w:r w:rsidRPr="006F3533">
              <w:rPr>
                <w:rFonts w:cs="Times New Roman"/>
                <w:sz w:val="22"/>
              </w:rPr>
              <w:t xml:space="preserve">, включващ добри практики, казуси и индикатори за напредък. </w:t>
            </w:r>
            <w:r w:rsidRPr="006F3533">
              <w:rPr>
                <w:rFonts w:cs="Times New Roman"/>
                <w:sz w:val="22"/>
              </w:rPr>
              <w:br/>
            </w:r>
            <w:r w:rsidRPr="006F3533">
              <w:rPr>
                <w:rStyle w:val="Strong"/>
                <w:rFonts w:cs="Times New Roman"/>
                <w:sz w:val="22"/>
              </w:rPr>
              <w:t>Въвеждане на енергийни дневници и паспорти</w:t>
            </w:r>
            <w:r w:rsidRPr="006F3533">
              <w:rPr>
                <w:rFonts w:cs="Times New Roman"/>
                <w:sz w:val="22"/>
              </w:rPr>
              <w:t xml:space="preserve"> за всички сгради, подлежащи на обновяване. </w:t>
            </w:r>
            <w:r w:rsidRPr="006F3533">
              <w:rPr>
                <w:rFonts w:cs="Times New Roman"/>
                <w:sz w:val="22"/>
              </w:rPr>
              <w:br/>
            </w:r>
            <w:r w:rsidRPr="006F3533">
              <w:rPr>
                <w:rStyle w:val="Strong"/>
                <w:rFonts w:cs="Times New Roman"/>
                <w:sz w:val="22"/>
              </w:rPr>
              <w:t>Програми за демонстрационни проекти</w:t>
            </w:r>
            <w:r w:rsidRPr="006F3533">
              <w:rPr>
                <w:rFonts w:cs="Times New Roman"/>
                <w:sz w:val="22"/>
              </w:rPr>
              <w:t xml:space="preserve"> в публични и жилищни сгради с висока видимост.</w:t>
            </w:r>
          </w:p>
        </w:tc>
        <w:tc>
          <w:tcPr>
            <w:tcW w:w="0" w:type="auto"/>
            <w:hideMark/>
          </w:tcPr>
          <w:p w14:paraId="66C40C4F" w14:textId="1E79D24F" w:rsidR="00B572B1" w:rsidRPr="006F3533" w:rsidRDefault="00B572B1" w:rsidP="00077D42">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 xml:space="preserve">МЕ, </w:t>
            </w:r>
            <w:r w:rsidR="00787BB6" w:rsidRPr="006F3533">
              <w:rPr>
                <w:rFonts w:cs="Times New Roman"/>
                <w:sz w:val="22"/>
              </w:rPr>
              <w:t xml:space="preserve">МРРБ, </w:t>
            </w:r>
            <w:r w:rsidRPr="006F3533">
              <w:rPr>
                <w:rFonts w:cs="Times New Roman"/>
                <w:sz w:val="22"/>
              </w:rPr>
              <w:t>АУЕР, НФ</w:t>
            </w:r>
            <w:r w:rsidR="00787BB6" w:rsidRPr="006F3533">
              <w:rPr>
                <w:rFonts w:cs="Times New Roman"/>
                <w:sz w:val="22"/>
              </w:rPr>
              <w:t>Д</w:t>
            </w:r>
            <w:r w:rsidRPr="006F3533">
              <w:rPr>
                <w:rFonts w:cs="Times New Roman"/>
                <w:sz w:val="22"/>
              </w:rPr>
              <w:t xml:space="preserve">, общини, </w:t>
            </w:r>
            <w:proofErr w:type="spellStart"/>
            <w:r w:rsidRPr="006F3533">
              <w:rPr>
                <w:rFonts w:cs="Times New Roman"/>
                <w:sz w:val="22"/>
              </w:rPr>
              <w:t>ЕкоЕнергия</w:t>
            </w:r>
            <w:proofErr w:type="spellEnd"/>
            <w:r w:rsidRPr="006F3533">
              <w:rPr>
                <w:rFonts w:cs="Times New Roman"/>
                <w:sz w:val="22"/>
              </w:rPr>
              <w:t xml:space="preserve"> </w:t>
            </w:r>
            <w:r w:rsidRPr="006F3533">
              <w:rPr>
                <w:rFonts w:cs="Times New Roman"/>
                <w:sz w:val="22"/>
              </w:rPr>
              <w:br/>
            </w:r>
            <w:r w:rsidRPr="006F3533">
              <w:rPr>
                <w:rStyle w:val="Strong"/>
                <w:rFonts w:cs="Times New Roman"/>
                <w:sz w:val="22"/>
              </w:rPr>
              <w:t>Срок:</w:t>
            </w:r>
            <w:r w:rsidRPr="006F3533">
              <w:rPr>
                <w:rFonts w:cs="Times New Roman"/>
                <w:sz w:val="22"/>
              </w:rPr>
              <w:t xml:space="preserve"> 202</w:t>
            </w:r>
            <w:r w:rsidR="007A158C" w:rsidRPr="006F3533">
              <w:rPr>
                <w:rFonts w:cs="Times New Roman"/>
                <w:sz w:val="22"/>
              </w:rPr>
              <w:t>6</w:t>
            </w:r>
            <w:r w:rsidRPr="006F3533">
              <w:rPr>
                <w:rFonts w:cs="Times New Roman"/>
                <w:sz w:val="22"/>
              </w:rPr>
              <w:t>–2029 г.</w:t>
            </w:r>
          </w:p>
        </w:tc>
      </w:tr>
    </w:tbl>
    <w:p w14:paraId="48ECAE16" w14:textId="77777777" w:rsidR="00706CDD" w:rsidRPr="006F3533" w:rsidRDefault="00706CDD" w:rsidP="00077D42">
      <w:pPr>
        <w:jc w:val="both"/>
        <w:rPr>
          <w:rFonts w:cs="Times New Roman"/>
          <w:szCs w:val="24"/>
          <w:lang w:val="bg-BG"/>
        </w:rPr>
        <w:sectPr w:rsidR="00706CDD" w:rsidRPr="006F3533" w:rsidSect="00706CDD">
          <w:pgSz w:w="15840" w:h="12240" w:orient="landscape"/>
          <w:pgMar w:top="1440" w:right="1440" w:bottom="1440" w:left="1440" w:header="708" w:footer="708" w:gutter="0"/>
          <w:cols w:space="708"/>
          <w:docGrid w:linePitch="360"/>
        </w:sectPr>
      </w:pPr>
    </w:p>
    <w:p w14:paraId="03977B89" w14:textId="77777777" w:rsidR="00B572B1" w:rsidRPr="006F3533" w:rsidRDefault="00B572B1" w:rsidP="00077D42">
      <w:pPr>
        <w:jc w:val="both"/>
        <w:rPr>
          <w:rFonts w:cs="Times New Roman"/>
          <w:szCs w:val="24"/>
          <w:lang w:val="bg-BG"/>
        </w:rPr>
      </w:pPr>
    </w:p>
    <w:p w14:paraId="656ADAE2" w14:textId="77777777" w:rsidR="00B572B1" w:rsidRPr="006F3533" w:rsidRDefault="00B572B1" w:rsidP="00077D42">
      <w:pPr>
        <w:pStyle w:val="Heading4"/>
        <w:jc w:val="both"/>
        <w:rPr>
          <w:rFonts w:ascii="Aptos" w:hAnsi="Aptos"/>
        </w:rPr>
      </w:pPr>
      <w:r w:rsidRPr="006F3533">
        <w:rPr>
          <w:rFonts w:ascii="Aptos" w:hAnsi="Aptos"/>
        </w:rPr>
        <w:t>3. Системни дефицити, идентифицирани в предходните стратегии</w:t>
      </w:r>
    </w:p>
    <w:p w14:paraId="4F5BFF12" w14:textId="77777777" w:rsidR="00B572B1" w:rsidRPr="006F3533" w:rsidRDefault="00B572B1" w:rsidP="00077D42">
      <w:pPr>
        <w:pStyle w:val="NormalWeb"/>
        <w:jc w:val="both"/>
        <w:rPr>
          <w:rFonts w:ascii="Aptos" w:hAnsi="Aptos"/>
          <w:lang w:val="bg-BG"/>
        </w:rPr>
      </w:pPr>
      <w:r w:rsidRPr="006F3533">
        <w:rPr>
          <w:rFonts w:ascii="Aptos" w:hAnsi="Aptos"/>
          <w:lang w:val="bg-BG"/>
        </w:rPr>
        <w:t>Анализът на изпълнението на предходните програми и стратегии (НПЕЕ 2021–2030 и Национална дългосрочна стратегия за обновяване на сградния фонд) показва повтарящи се структурни слабости:</w:t>
      </w:r>
    </w:p>
    <w:p w14:paraId="17552FC1" w14:textId="77777777" w:rsidR="00B572B1" w:rsidRPr="006F3533" w:rsidRDefault="00B572B1" w:rsidP="00551FED">
      <w:pPr>
        <w:pStyle w:val="NormalWeb"/>
        <w:numPr>
          <w:ilvl w:val="0"/>
          <w:numId w:val="62"/>
        </w:numPr>
        <w:jc w:val="both"/>
        <w:rPr>
          <w:rFonts w:ascii="Aptos" w:hAnsi="Aptos"/>
          <w:lang w:val="bg-BG"/>
        </w:rPr>
      </w:pPr>
      <w:r w:rsidRPr="006F3533">
        <w:rPr>
          <w:rFonts w:ascii="Aptos" w:hAnsi="Aptos"/>
          <w:lang w:val="bg-BG"/>
        </w:rPr>
        <w:t>липса на координация между политиките за енергийна ефективност, социално жилищно настаняване и климатична адаптация;</w:t>
      </w:r>
    </w:p>
    <w:p w14:paraId="3A15CD44" w14:textId="77777777" w:rsidR="00B572B1" w:rsidRPr="006F3533" w:rsidRDefault="00B572B1" w:rsidP="00551FED">
      <w:pPr>
        <w:pStyle w:val="NormalWeb"/>
        <w:numPr>
          <w:ilvl w:val="0"/>
          <w:numId w:val="62"/>
        </w:numPr>
        <w:jc w:val="both"/>
        <w:rPr>
          <w:rFonts w:ascii="Aptos" w:hAnsi="Aptos"/>
          <w:lang w:val="bg-BG"/>
        </w:rPr>
      </w:pPr>
      <w:r w:rsidRPr="006F3533">
        <w:rPr>
          <w:rFonts w:ascii="Aptos" w:hAnsi="Aptos"/>
          <w:lang w:val="bg-BG"/>
        </w:rPr>
        <w:t>административна сложност и ниска ефективност на процедурите за одобрение и контрол;</w:t>
      </w:r>
    </w:p>
    <w:p w14:paraId="71706E7C" w14:textId="77777777" w:rsidR="00B572B1" w:rsidRPr="006F3533" w:rsidRDefault="00B572B1" w:rsidP="00551FED">
      <w:pPr>
        <w:pStyle w:val="NormalWeb"/>
        <w:numPr>
          <w:ilvl w:val="0"/>
          <w:numId w:val="62"/>
        </w:numPr>
        <w:jc w:val="both"/>
        <w:rPr>
          <w:rFonts w:ascii="Aptos" w:hAnsi="Aptos"/>
          <w:lang w:val="bg-BG"/>
        </w:rPr>
      </w:pPr>
      <w:r w:rsidRPr="006F3533">
        <w:rPr>
          <w:rFonts w:ascii="Aptos" w:hAnsi="Aptos"/>
          <w:lang w:val="bg-BG"/>
        </w:rPr>
        <w:t>ограничен достъп до данни за енергийните характеристики на сградния фонд и резултатите от прилаганите програми;</w:t>
      </w:r>
    </w:p>
    <w:p w14:paraId="014B8183" w14:textId="77777777" w:rsidR="00B572B1" w:rsidRPr="006F3533" w:rsidRDefault="00B572B1" w:rsidP="00551FED">
      <w:pPr>
        <w:pStyle w:val="NormalWeb"/>
        <w:numPr>
          <w:ilvl w:val="0"/>
          <w:numId w:val="62"/>
        </w:numPr>
        <w:jc w:val="both"/>
        <w:rPr>
          <w:rFonts w:ascii="Aptos" w:hAnsi="Aptos"/>
          <w:lang w:val="bg-BG"/>
        </w:rPr>
      </w:pPr>
      <w:r w:rsidRPr="006F3533">
        <w:rPr>
          <w:rFonts w:ascii="Aptos" w:hAnsi="Aptos"/>
          <w:lang w:val="bg-BG"/>
        </w:rPr>
        <w:t>ниска ангажираност на частния сектор и липса на стандартизирани финансови продукти за енергийна ефективност;</w:t>
      </w:r>
    </w:p>
    <w:p w14:paraId="48B438CF" w14:textId="77777777" w:rsidR="00B572B1" w:rsidRPr="006F3533" w:rsidRDefault="00B572B1" w:rsidP="00551FED">
      <w:pPr>
        <w:pStyle w:val="NormalWeb"/>
        <w:numPr>
          <w:ilvl w:val="0"/>
          <w:numId w:val="62"/>
        </w:numPr>
        <w:jc w:val="both"/>
        <w:rPr>
          <w:rFonts w:ascii="Aptos" w:hAnsi="Aptos"/>
          <w:lang w:val="bg-BG"/>
        </w:rPr>
      </w:pPr>
      <w:r w:rsidRPr="006F3533">
        <w:rPr>
          <w:rFonts w:ascii="Aptos" w:hAnsi="Aptos"/>
          <w:lang w:val="bg-BG"/>
        </w:rPr>
        <w:t>недостатъчна култура на управление на енергийните разходи и липса на системно наблюдение на постигнатите икономии.</w:t>
      </w:r>
    </w:p>
    <w:p w14:paraId="44F43C36" w14:textId="77777777" w:rsidR="00B572B1" w:rsidRPr="006F3533" w:rsidRDefault="00B572B1" w:rsidP="00077D42">
      <w:pPr>
        <w:pStyle w:val="Heading4"/>
        <w:jc w:val="both"/>
        <w:rPr>
          <w:rFonts w:ascii="Aptos" w:hAnsi="Aptos"/>
        </w:rPr>
      </w:pPr>
      <w:r w:rsidRPr="006F3533">
        <w:rPr>
          <w:rFonts w:ascii="Aptos" w:hAnsi="Aptos"/>
        </w:rPr>
        <w:t>4. Приоритетни инициативи за преодоляване на бариерите</w:t>
      </w:r>
    </w:p>
    <w:p w14:paraId="68B6AED8" w14:textId="77777777" w:rsidR="00B572B1" w:rsidRPr="006F3533" w:rsidRDefault="00B572B1" w:rsidP="00551FED">
      <w:pPr>
        <w:pStyle w:val="NormalWeb"/>
        <w:numPr>
          <w:ilvl w:val="0"/>
          <w:numId w:val="63"/>
        </w:numPr>
        <w:jc w:val="both"/>
        <w:rPr>
          <w:rFonts w:ascii="Aptos" w:hAnsi="Aptos"/>
          <w:lang w:val="bg-BG"/>
        </w:rPr>
      </w:pPr>
      <w:r w:rsidRPr="006F3533">
        <w:rPr>
          <w:rStyle w:val="Strong"/>
          <w:rFonts w:ascii="Aptos" w:hAnsi="Aptos"/>
          <w:lang w:val="bg-BG"/>
        </w:rPr>
        <w:t>Нормативни и стратегически промени</w:t>
      </w:r>
    </w:p>
    <w:p w14:paraId="435E7C65"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 xml:space="preserve">Актуализация на Закона за енергийната ефективност и свързаните подзаконови актове до 2026 г., включително въвеждане на МСЕХ и дефиниция за </w:t>
      </w:r>
      <w:proofErr w:type="spellStart"/>
      <w:r w:rsidRPr="006F3533">
        <w:rPr>
          <w:rFonts w:ascii="Aptos" w:hAnsi="Aptos"/>
          <w:lang w:val="bg-BG"/>
        </w:rPr>
        <w:t>нулевоемисионна</w:t>
      </w:r>
      <w:proofErr w:type="spellEnd"/>
      <w:r w:rsidRPr="006F3533">
        <w:rPr>
          <w:rFonts w:ascii="Aptos" w:hAnsi="Aptos"/>
          <w:lang w:val="bg-BG"/>
        </w:rPr>
        <w:t xml:space="preserve"> сграда.</w:t>
      </w:r>
    </w:p>
    <w:p w14:paraId="1AD7060F"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Ускорено внедряване на цифрови системи за издаване на разрешителни и обмен на проектна документация.</w:t>
      </w:r>
    </w:p>
    <w:p w14:paraId="46103F59"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Интегриране на мерките за саниране с националните планове за отопление и охлаждане и програмите за адаптация към климатичните промени.</w:t>
      </w:r>
    </w:p>
    <w:p w14:paraId="785B0143" w14:textId="77777777" w:rsidR="00B572B1" w:rsidRPr="006F3533" w:rsidRDefault="00B572B1" w:rsidP="00551FED">
      <w:pPr>
        <w:pStyle w:val="NormalWeb"/>
        <w:numPr>
          <w:ilvl w:val="0"/>
          <w:numId w:val="83"/>
        </w:numPr>
        <w:jc w:val="both"/>
        <w:rPr>
          <w:rFonts w:ascii="Aptos" w:hAnsi="Aptos"/>
          <w:lang w:val="bg-BG"/>
        </w:rPr>
      </w:pPr>
      <w:r w:rsidRPr="006F3533">
        <w:rPr>
          <w:rStyle w:val="Strong"/>
          <w:rFonts w:ascii="Aptos" w:hAnsi="Aptos"/>
          <w:lang w:val="bg-BG"/>
        </w:rPr>
        <w:t>Институционално укрепване и координация</w:t>
      </w:r>
    </w:p>
    <w:p w14:paraId="564C4F90"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Създаване на национална платформа за наблюдение на сградното обновяване под егидата на МЕ и АУЕР, включваща данни от общините и енергийните агенции.</w:t>
      </w:r>
    </w:p>
    <w:p w14:paraId="48953AA0"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Разширяване на мрежата от ЦКО с териториално покритие на минимум 50% от населението до 2027 г.</w:t>
      </w:r>
    </w:p>
    <w:p w14:paraId="1FF6FADF"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Провеждане на редовни обучения и обмен на опит между общини, регионални структури и професионални камари.</w:t>
      </w:r>
    </w:p>
    <w:p w14:paraId="61030252" w14:textId="77777777" w:rsidR="00B572B1" w:rsidRPr="006F3533" w:rsidRDefault="00B572B1" w:rsidP="00551FED">
      <w:pPr>
        <w:pStyle w:val="NormalWeb"/>
        <w:numPr>
          <w:ilvl w:val="0"/>
          <w:numId w:val="83"/>
        </w:numPr>
        <w:jc w:val="both"/>
        <w:rPr>
          <w:rFonts w:ascii="Aptos" w:hAnsi="Aptos"/>
          <w:lang w:val="bg-BG"/>
        </w:rPr>
      </w:pPr>
      <w:r w:rsidRPr="006F3533">
        <w:rPr>
          <w:rStyle w:val="Strong"/>
          <w:rFonts w:ascii="Aptos" w:hAnsi="Aptos"/>
          <w:lang w:val="bg-BG"/>
        </w:rPr>
        <w:t>Финансови и пазарни инструменти</w:t>
      </w:r>
    </w:p>
    <w:p w14:paraId="4B7CDE4D"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Въвеждане на дългосрочни схеми за обновяване с комбинация от безвъзмездна помощ и нисколихвено кредитиране.</w:t>
      </w:r>
    </w:p>
    <w:p w14:paraId="10691A00"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Разработване на стандартни ЕСКО договори за публични сгради и въвеждане на възможност за бюджетно реинвестиране на постигнатите икономии.</w:t>
      </w:r>
    </w:p>
    <w:p w14:paraId="2B17264D"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lastRenderedPageBreak/>
        <w:t xml:space="preserve">Стимули за частни инвеститори, включително данъчни облекчения при сертифицирани </w:t>
      </w:r>
      <w:proofErr w:type="spellStart"/>
      <w:r w:rsidRPr="006F3533">
        <w:rPr>
          <w:rFonts w:ascii="Aptos" w:hAnsi="Aptos"/>
          <w:lang w:val="bg-BG"/>
        </w:rPr>
        <w:t>нулевоемисионни</w:t>
      </w:r>
      <w:proofErr w:type="spellEnd"/>
      <w:r w:rsidRPr="006F3533">
        <w:rPr>
          <w:rFonts w:ascii="Aptos" w:hAnsi="Aptos"/>
          <w:lang w:val="bg-BG"/>
        </w:rPr>
        <w:t xml:space="preserve"> сгради.</w:t>
      </w:r>
    </w:p>
    <w:p w14:paraId="32252992" w14:textId="77777777" w:rsidR="00B572B1" w:rsidRPr="006F3533" w:rsidRDefault="00B572B1" w:rsidP="00551FED">
      <w:pPr>
        <w:pStyle w:val="NormalWeb"/>
        <w:numPr>
          <w:ilvl w:val="0"/>
          <w:numId w:val="83"/>
        </w:numPr>
        <w:jc w:val="both"/>
        <w:rPr>
          <w:rFonts w:ascii="Aptos" w:hAnsi="Aptos"/>
          <w:lang w:val="bg-BG"/>
        </w:rPr>
      </w:pPr>
      <w:r w:rsidRPr="006F3533">
        <w:rPr>
          <w:rStyle w:val="Strong"/>
          <w:rFonts w:ascii="Aptos" w:hAnsi="Aptos"/>
          <w:lang w:val="bg-BG"/>
        </w:rPr>
        <w:t>Информационни и комуникационни мерки</w:t>
      </w:r>
    </w:p>
    <w:p w14:paraId="56B89876"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Провеждане на национални кампании за информираност и демонстрационни проекти, насочени към домакинствата и малките предприятия.</w:t>
      </w:r>
    </w:p>
    <w:p w14:paraId="02BDB938"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Публичен онлайн регистър на сертифицирани специалисти и компании за ЕЕ услуги.</w:t>
      </w:r>
    </w:p>
    <w:p w14:paraId="43773E5C" w14:textId="77777777" w:rsidR="00B572B1" w:rsidRPr="006F3533" w:rsidRDefault="00B572B1" w:rsidP="00551FED">
      <w:pPr>
        <w:pStyle w:val="NormalWeb"/>
        <w:numPr>
          <w:ilvl w:val="1"/>
          <w:numId w:val="83"/>
        </w:numPr>
        <w:jc w:val="both"/>
        <w:rPr>
          <w:rFonts w:ascii="Aptos" w:hAnsi="Aptos"/>
          <w:lang w:val="bg-BG"/>
        </w:rPr>
      </w:pPr>
      <w:r w:rsidRPr="006F3533">
        <w:rPr>
          <w:rFonts w:ascii="Aptos" w:hAnsi="Aptos"/>
          <w:lang w:val="bg-BG"/>
        </w:rPr>
        <w:t>Развитие на отворени данни и аналитични инструменти за проследяване на ефекта от мерките по сектори и региони.</w:t>
      </w:r>
    </w:p>
    <w:p w14:paraId="50A01EEC" w14:textId="77777777" w:rsidR="00B572B1" w:rsidRPr="006F3533" w:rsidRDefault="00B572B1" w:rsidP="00077D42">
      <w:pPr>
        <w:pStyle w:val="Heading4"/>
        <w:jc w:val="both"/>
        <w:rPr>
          <w:rFonts w:ascii="Aptos" w:hAnsi="Aptos"/>
        </w:rPr>
      </w:pPr>
      <w:r w:rsidRPr="006F3533">
        <w:rPr>
          <w:rFonts w:ascii="Aptos" w:hAnsi="Aptos"/>
        </w:rPr>
        <w:t>5. Механизъм за наблюдение и актуализация</w:t>
      </w:r>
    </w:p>
    <w:p w14:paraId="29CF29DD" w14:textId="2B289010" w:rsidR="00B572B1" w:rsidRPr="006F3533" w:rsidRDefault="00B572B1" w:rsidP="00077D42">
      <w:pPr>
        <w:pStyle w:val="NormalWeb"/>
        <w:jc w:val="both"/>
        <w:rPr>
          <w:rFonts w:ascii="Aptos" w:hAnsi="Aptos"/>
          <w:lang w:val="bg-BG"/>
        </w:rPr>
      </w:pPr>
      <w:r w:rsidRPr="006F3533">
        <w:rPr>
          <w:rFonts w:ascii="Aptos" w:hAnsi="Aptos"/>
          <w:lang w:val="bg-BG"/>
        </w:rPr>
        <w:t xml:space="preserve">Напредъкът по преодоляване на пазарните бариери ще се проследява от </w:t>
      </w:r>
      <w:r w:rsidRPr="006F3533">
        <w:rPr>
          <w:rStyle w:val="Strong"/>
          <w:rFonts w:ascii="Aptos" w:hAnsi="Aptos"/>
          <w:lang w:val="bg-BG"/>
        </w:rPr>
        <w:t>АУЕР</w:t>
      </w:r>
      <w:r w:rsidRPr="006F3533">
        <w:rPr>
          <w:rFonts w:ascii="Aptos" w:hAnsi="Aptos"/>
          <w:lang w:val="bg-BG"/>
        </w:rPr>
        <w:t xml:space="preserve"> в рамките на годишните доклади за </w:t>
      </w:r>
      <w:r w:rsidR="00B277A8" w:rsidRPr="006F3533">
        <w:rPr>
          <w:rFonts w:ascii="Aptos" w:hAnsi="Aptos"/>
          <w:lang w:val="bg-BG"/>
        </w:rPr>
        <w:t>изпълнението на националните цели за енергийна ефективност</w:t>
      </w:r>
      <w:r w:rsidRPr="006F3533">
        <w:rPr>
          <w:rFonts w:ascii="Aptos" w:hAnsi="Aptos"/>
          <w:lang w:val="bg-BG"/>
        </w:rPr>
        <w:t>. Основните индикатори ще включват:</w:t>
      </w:r>
    </w:p>
    <w:p w14:paraId="0B85CCDE" w14:textId="77777777" w:rsidR="00B572B1" w:rsidRPr="006F3533" w:rsidRDefault="00B572B1" w:rsidP="00551FED">
      <w:pPr>
        <w:pStyle w:val="NormalWeb"/>
        <w:numPr>
          <w:ilvl w:val="0"/>
          <w:numId w:val="64"/>
        </w:numPr>
        <w:jc w:val="both"/>
        <w:rPr>
          <w:rFonts w:ascii="Aptos" w:hAnsi="Aptos"/>
          <w:lang w:val="bg-BG"/>
        </w:rPr>
      </w:pPr>
      <w:r w:rsidRPr="006F3533">
        <w:rPr>
          <w:rFonts w:ascii="Aptos" w:hAnsi="Aptos"/>
          <w:lang w:val="bg-BG"/>
        </w:rPr>
        <w:t>дял на проектите с комбинирано или пазарно финансиране;</w:t>
      </w:r>
    </w:p>
    <w:p w14:paraId="576008B9" w14:textId="77777777" w:rsidR="00B572B1" w:rsidRPr="006F3533" w:rsidRDefault="00B572B1" w:rsidP="00551FED">
      <w:pPr>
        <w:pStyle w:val="NormalWeb"/>
        <w:numPr>
          <w:ilvl w:val="0"/>
          <w:numId w:val="64"/>
        </w:numPr>
        <w:jc w:val="both"/>
        <w:rPr>
          <w:rFonts w:ascii="Aptos" w:hAnsi="Aptos"/>
          <w:lang w:val="bg-BG"/>
        </w:rPr>
      </w:pPr>
      <w:r w:rsidRPr="006F3533">
        <w:rPr>
          <w:rFonts w:ascii="Aptos" w:hAnsi="Aptos"/>
          <w:lang w:val="bg-BG"/>
        </w:rPr>
        <w:t>ръст на сертифицираните специалисти и броя на активните ЦКО;</w:t>
      </w:r>
    </w:p>
    <w:p w14:paraId="2CC83D66" w14:textId="2241670A" w:rsidR="00E80499" w:rsidRPr="006F3533" w:rsidRDefault="00B572B1" w:rsidP="00551FED">
      <w:pPr>
        <w:pStyle w:val="NormalWeb"/>
        <w:numPr>
          <w:ilvl w:val="0"/>
          <w:numId w:val="64"/>
        </w:numPr>
        <w:jc w:val="both"/>
        <w:rPr>
          <w:rFonts w:ascii="Aptos" w:hAnsi="Aptos"/>
          <w:lang w:val="bg-BG"/>
        </w:rPr>
      </w:pPr>
      <w:r w:rsidRPr="006F3533">
        <w:rPr>
          <w:rFonts w:ascii="Aptos" w:hAnsi="Aptos"/>
          <w:lang w:val="bg-BG"/>
        </w:rPr>
        <w:t>средна дълбочина на обновяване</w:t>
      </w:r>
      <w:r w:rsidR="00E80499" w:rsidRPr="006F3533">
        <w:rPr>
          <w:rFonts w:ascii="Aptos" w:hAnsi="Aptos"/>
          <w:lang w:val="bg-BG"/>
        </w:rPr>
        <w:t>;</w:t>
      </w:r>
    </w:p>
    <w:p w14:paraId="1A3B913A" w14:textId="1545AB45" w:rsidR="00B572B1" w:rsidRPr="006F3533" w:rsidRDefault="00B572B1" w:rsidP="00551FED">
      <w:pPr>
        <w:pStyle w:val="NormalWeb"/>
        <w:numPr>
          <w:ilvl w:val="0"/>
          <w:numId w:val="64"/>
        </w:numPr>
        <w:jc w:val="both"/>
        <w:rPr>
          <w:rFonts w:ascii="Aptos" w:hAnsi="Aptos"/>
          <w:lang w:val="bg-BG"/>
        </w:rPr>
      </w:pPr>
      <w:r w:rsidRPr="006F3533">
        <w:rPr>
          <w:rFonts w:ascii="Aptos" w:hAnsi="Aptos"/>
          <w:lang w:val="bg-BG"/>
        </w:rPr>
        <w:t>постигнати намаления на първичното енергопотребление.</w:t>
      </w:r>
    </w:p>
    <w:p w14:paraId="45CB4E99" w14:textId="0762D785" w:rsidR="00B572B1" w:rsidRPr="006F3533" w:rsidRDefault="00B572B1" w:rsidP="00D8379B">
      <w:pPr>
        <w:pStyle w:val="NormalWeb"/>
        <w:jc w:val="both"/>
        <w:rPr>
          <w:lang w:val="bg-BG"/>
        </w:rPr>
      </w:pPr>
      <w:r w:rsidRPr="006F3533">
        <w:rPr>
          <w:rFonts w:ascii="Aptos" w:hAnsi="Aptos"/>
          <w:lang w:val="bg-BG"/>
        </w:rPr>
        <w:t xml:space="preserve">Оценката на ефективността на мерките ще се актуализира на всеки </w:t>
      </w:r>
      <w:r w:rsidRPr="006F3533">
        <w:rPr>
          <w:rStyle w:val="Strong"/>
          <w:rFonts w:ascii="Aptos" w:hAnsi="Aptos"/>
          <w:lang w:val="bg-BG"/>
        </w:rPr>
        <w:t>три години</w:t>
      </w:r>
      <w:r w:rsidRPr="006F3533">
        <w:rPr>
          <w:rFonts w:ascii="Aptos" w:hAnsi="Aptos"/>
          <w:lang w:val="bg-BG"/>
        </w:rPr>
        <w:t xml:space="preserve"> въз основа на резултатите от мониторинга, пазарните тенденции и обратната връзка от заинтересованите страни. Това ще позволи гъвкава адаптация на политиките и своевременно отстраняване на възникващи бариери.</w:t>
      </w:r>
    </w:p>
    <w:p w14:paraId="78196B2C" w14:textId="34134F19" w:rsidR="00B572B1" w:rsidRPr="006F3533" w:rsidRDefault="00B572B1" w:rsidP="00077D42">
      <w:pPr>
        <w:pStyle w:val="Heading2"/>
        <w:jc w:val="both"/>
        <w:rPr>
          <w:lang w:val="bg-BG" w:eastAsia="bg-BG"/>
        </w:rPr>
      </w:pPr>
      <w:bookmarkStart w:id="377" w:name="_Toc217888884"/>
      <w:r w:rsidRPr="006F3533">
        <w:rPr>
          <w:lang w:val="bg-BG" w:eastAsia="bg-BG"/>
        </w:rPr>
        <w:t>o) Преодоляване на дефицита на умения и насърчаване на образованието, целевите обучения, повишаването и придобиването на нови квалификации в строителството, енергийната ефективност и възобновяемите енергийни източници (с фокус върху недостатъчно представените групи)</w:t>
      </w:r>
      <w:bookmarkEnd w:id="377"/>
    </w:p>
    <w:p w14:paraId="02317278"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1) Обосновка и контекст на политиките</w:t>
      </w:r>
    </w:p>
    <w:p w14:paraId="3E012642"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Ускоряването на сградното обновяване и въвеждането на по-строги европейски изисквания за енергийни характеристики, възобновяеми източници, интелигентни системи и нисковъглеродни решения изостря недостига на подготвена работна сила в строителството и свързаните сектори. В този контекст Националната пътна карта за развитие на уменията в строителния сектор до 2030 г., разработена по проект BUILD UP </w:t>
      </w:r>
      <w:proofErr w:type="spellStart"/>
      <w:r w:rsidRPr="006F3533">
        <w:rPr>
          <w:rFonts w:eastAsia="Times New Roman" w:cs="Times New Roman"/>
          <w:szCs w:val="24"/>
          <w:lang w:val="bg-BG" w:eastAsia="bg-BG"/>
        </w:rPr>
        <w:t>Skills</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Bulgaria</w:t>
      </w:r>
      <w:proofErr w:type="spellEnd"/>
      <w:r w:rsidRPr="006F3533">
        <w:rPr>
          <w:rFonts w:eastAsia="Times New Roman" w:cs="Times New Roman"/>
          <w:szCs w:val="24"/>
          <w:lang w:val="bg-BG" w:eastAsia="bg-BG"/>
        </w:rPr>
        <w:t xml:space="preserve"> 2030 от консорциум в състав </w:t>
      </w:r>
      <w:proofErr w:type="spellStart"/>
      <w:r w:rsidRPr="006F3533">
        <w:rPr>
          <w:rFonts w:eastAsia="Times New Roman" w:cs="Times New Roman"/>
          <w:szCs w:val="24"/>
          <w:lang w:val="bg-BG" w:eastAsia="bg-BG"/>
        </w:rPr>
        <w:t>ЕнЕфект</w:t>
      </w:r>
      <w:proofErr w:type="spellEnd"/>
      <w:r w:rsidRPr="006F3533">
        <w:rPr>
          <w:rFonts w:eastAsia="Times New Roman" w:cs="Times New Roman"/>
          <w:szCs w:val="24"/>
          <w:lang w:val="bg-BG" w:eastAsia="bg-BG"/>
        </w:rPr>
        <w:t xml:space="preserve">, НАПОО, КСБ, АУЕР и БАИС, представлява ключов инструмент за координирани действия в областта на образованието и уменията, насочени към постигане на националните цели по енергийна ефективност и </w:t>
      </w:r>
      <w:proofErr w:type="spellStart"/>
      <w:r w:rsidRPr="006F3533">
        <w:rPr>
          <w:rFonts w:eastAsia="Times New Roman" w:cs="Times New Roman"/>
          <w:szCs w:val="24"/>
          <w:lang w:val="bg-BG" w:eastAsia="bg-BG"/>
        </w:rPr>
        <w:t>декарбонизация</w:t>
      </w:r>
      <w:proofErr w:type="spellEnd"/>
      <w:r w:rsidRPr="006F3533">
        <w:rPr>
          <w:rFonts w:eastAsia="Times New Roman" w:cs="Times New Roman"/>
          <w:szCs w:val="24"/>
          <w:lang w:val="bg-BG" w:eastAsia="bg-BG"/>
        </w:rPr>
        <w:t xml:space="preserve"> на сградния фонд. </w:t>
      </w:r>
    </w:p>
    <w:p w14:paraId="4D258274"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2) Текущо състояние и нужди от умения</w:t>
      </w:r>
    </w:p>
    <w:p w14:paraId="330A69C4"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lastRenderedPageBreak/>
        <w:t>Наличните оценки показват, че прогнозата за потребностите от квалификация и допълнително обучение стъпва на оценка за 198 200 заети лица в сектора, докато прогнозата за необходимите строителни работници през 2030 г. е 249 587 души. Това предполага необходимост от допълнителна квалификация, преквалификация или повишаване на квалификацията на 52 368 специалисти и работници, както и индикативни цели за квалификационния профил на работещите (9 159 души с основно и по-ниско образование, 40 590 души със средно образование и 2 618 души с висше образование).</w:t>
      </w:r>
      <w:r w:rsidRPr="006F3533">
        <w:rPr>
          <w:rFonts w:eastAsia="Times New Roman" w:cs="Times New Roman"/>
          <w:szCs w:val="24"/>
          <w:lang w:val="bg-BG" w:eastAsia="bg-BG"/>
        </w:rPr>
        <w:br/>
        <w:t>Паралелно с количествения недостиг се задълбочава и качественият дефицит – особено по отношение на умения за високоефективни решения за сградна обвивка, отопление, охлаждане, вентилация и автоматизация, интеграция на възобновяеми източници и цифрови компетентности. Това изисква системни мерки, които едновременно (i) увеличават предлагането на обучения и (ii) стимулират търсенето на квалифицирана работна сила чрез ясни регулаторни и програмни сигнали.</w:t>
      </w:r>
    </w:p>
    <w:p w14:paraId="318864F0"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3) Основни направления в Национална пътна карта за развитие на уменията в строителния сектор до 2030 г.</w:t>
      </w:r>
    </w:p>
    <w:p w14:paraId="589511C5"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Пътната карта е структурирана в пет приоритетни области, които обхващат: (1) укрепване на институционалната рамка; (2) политическа и регулаторна подкрепа; (3) усъвършенстване на образователната система; (4) сътрудничество с индустрията и интеграция на технологични иновации; и (5) ангажиране на заинтересованите страни за подобряване на обществения имидж на строителния сектор. </w:t>
      </w:r>
    </w:p>
    <w:p w14:paraId="69D79073"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Тази рамка позволява мерките за умения да бъдат съгласувани с останалите политики по Националния план за саниране, включително изискванията към дълбочината на обновяването, качеството на изпълнение, внедряването на възобновяеми източници и цифровизацията на процесите.</w:t>
      </w:r>
    </w:p>
    <w:p w14:paraId="0DCD7C79"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Мерки за изпълнение на Пътната карта</w:t>
      </w:r>
    </w:p>
    <w:p w14:paraId="1F2CE8A1"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 рамките на тези приоритетни области са идентифицирани и анализирани следните набори от мерки, като са отчетени целта, потенциалните ползи, институционалните отговорности, необходимите ресурси, стъпките за изпълнение и графикът за всяка от тях.</w:t>
      </w:r>
    </w:p>
    <w:p w14:paraId="18E52495"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Приоритетна област 1. Укрепване на институционалната рамка</w:t>
      </w:r>
    </w:p>
    <w:p w14:paraId="29B93588"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Цел:</w:t>
      </w:r>
      <w:r w:rsidRPr="006F3533">
        <w:rPr>
          <w:rFonts w:eastAsia="Times New Roman" w:cs="Times New Roman"/>
          <w:szCs w:val="24"/>
          <w:lang w:val="bg-BG" w:eastAsia="bg-BG"/>
        </w:rPr>
        <w:t xml:space="preserve"> Подобряване на сътрудничеството между правителствени органи, браншови камари, индустриални асоциации и образователни институции.</w:t>
      </w:r>
    </w:p>
    <w:p w14:paraId="41476E3C" w14:textId="77777777" w:rsidR="00B572B1" w:rsidRPr="006F3533" w:rsidRDefault="00B572B1" w:rsidP="00551FED">
      <w:pPr>
        <w:numPr>
          <w:ilvl w:val="0"/>
          <w:numId w:val="65"/>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1:</w:t>
      </w:r>
      <w:r w:rsidRPr="006F3533">
        <w:rPr>
          <w:rFonts w:eastAsia="Times New Roman" w:cs="Times New Roman"/>
          <w:szCs w:val="24"/>
          <w:lang w:val="bg-BG" w:eastAsia="bg-BG"/>
        </w:rPr>
        <w:t xml:space="preserve"> Развитие на Националната платформа за диалог по проект BUILD UP </w:t>
      </w:r>
      <w:proofErr w:type="spellStart"/>
      <w:r w:rsidRPr="006F3533">
        <w:rPr>
          <w:rFonts w:eastAsia="Times New Roman" w:cs="Times New Roman"/>
          <w:szCs w:val="24"/>
          <w:lang w:val="bg-BG" w:eastAsia="bg-BG"/>
        </w:rPr>
        <w:t>Skills</w:t>
      </w:r>
      <w:proofErr w:type="spellEnd"/>
      <w:r w:rsidRPr="006F3533">
        <w:rPr>
          <w:rFonts w:eastAsia="Times New Roman" w:cs="Times New Roman"/>
          <w:szCs w:val="24"/>
          <w:lang w:val="bg-BG" w:eastAsia="bg-BG"/>
        </w:rPr>
        <w:t xml:space="preserve"> и сътрудничество със секторните съвети за умения към Министерството на образованието и науката</w:t>
      </w:r>
    </w:p>
    <w:p w14:paraId="6C5CC6BD" w14:textId="77777777" w:rsidR="00B572B1" w:rsidRPr="006F3533" w:rsidRDefault="00B572B1" w:rsidP="00551FED">
      <w:pPr>
        <w:numPr>
          <w:ilvl w:val="0"/>
          <w:numId w:val="65"/>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2:</w:t>
      </w:r>
      <w:r w:rsidRPr="006F3533">
        <w:rPr>
          <w:rFonts w:eastAsia="Times New Roman" w:cs="Times New Roman"/>
          <w:szCs w:val="24"/>
          <w:lang w:val="bg-BG" w:eastAsia="bg-BG"/>
        </w:rPr>
        <w:t xml:space="preserve"> Развитие на националната информационна система за оценка на компетенциите</w:t>
      </w:r>
    </w:p>
    <w:p w14:paraId="3E4143C9" w14:textId="77777777" w:rsidR="00B572B1" w:rsidRPr="006F3533" w:rsidRDefault="00B572B1" w:rsidP="00551FED">
      <w:pPr>
        <w:numPr>
          <w:ilvl w:val="0"/>
          <w:numId w:val="65"/>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3:</w:t>
      </w:r>
      <w:r w:rsidRPr="006F3533">
        <w:rPr>
          <w:rFonts w:eastAsia="Times New Roman" w:cs="Times New Roman"/>
          <w:szCs w:val="24"/>
          <w:lang w:val="bg-BG" w:eastAsia="bg-BG"/>
        </w:rPr>
        <w:t xml:space="preserve"> Ежегоден </w:t>
      </w:r>
      <w:proofErr w:type="spellStart"/>
      <w:r w:rsidRPr="006F3533">
        <w:rPr>
          <w:rFonts w:eastAsia="Times New Roman" w:cs="Times New Roman"/>
          <w:szCs w:val="24"/>
          <w:lang w:val="bg-BG" w:eastAsia="bg-BG"/>
        </w:rPr>
        <w:t>многофакторен</w:t>
      </w:r>
      <w:proofErr w:type="spellEnd"/>
      <w:r w:rsidRPr="006F3533">
        <w:rPr>
          <w:rFonts w:eastAsia="Times New Roman" w:cs="Times New Roman"/>
          <w:szCs w:val="24"/>
          <w:lang w:val="bg-BG" w:eastAsia="bg-BG"/>
        </w:rPr>
        <w:t xml:space="preserve"> анализ за прогнозиране на търсенето на работна сила със специфични характеристики</w:t>
      </w:r>
    </w:p>
    <w:p w14:paraId="68D24B10" w14:textId="77777777" w:rsidR="00B572B1" w:rsidRPr="006F3533" w:rsidRDefault="00B572B1" w:rsidP="00551FED">
      <w:pPr>
        <w:numPr>
          <w:ilvl w:val="0"/>
          <w:numId w:val="65"/>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lastRenderedPageBreak/>
        <w:t>Мярка 4:</w:t>
      </w:r>
      <w:r w:rsidRPr="006F3533">
        <w:rPr>
          <w:rFonts w:eastAsia="Times New Roman" w:cs="Times New Roman"/>
          <w:szCs w:val="24"/>
          <w:lang w:val="bg-BG" w:eastAsia="bg-BG"/>
        </w:rPr>
        <w:t xml:space="preserve"> Преглед на държавните образователни стандарти и въвеждане на промени в националните изпитни програми</w:t>
      </w:r>
    </w:p>
    <w:p w14:paraId="669684DE"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Приоритетна област 2. Политическа и регулаторна подкрепа</w:t>
      </w:r>
    </w:p>
    <w:p w14:paraId="3774339B"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Цел:</w:t>
      </w:r>
      <w:r w:rsidRPr="006F3533">
        <w:rPr>
          <w:rFonts w:eastAsia="Times New Roman" w:cs="Times New Roman"/>
          <w:szCs w:val="24"/>
          <w:lang w:val="bg-BG" w:eastAsia="bg-BG"/>
        </w:rPr>
        <w:t xml:space="preserve"> Привеждане на политиките в съответствие с националните енергийни и климатични цели и осигуряване на подкрепяща регулаторна рамка.</w:t>
      </w:r>
    </w:p>
    <w:p w14:paraId="7FEC9DEB" w14:textId="77777777" w:rsidR="00B572B1" w:rsidRPr="006F3533" w:rsidRDefault="00B572B1" w:rsidP="00551FED">
      <w:pPr>
        <w:numPr>
          <w:ilvl w:val="0"/>
          <w:numId w:val="66"/>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1:</w:t>
      </w:r>
      <w:r w:rsidRPr="006F3533">
        <w:rPr>
          <w:rFonts w:eastAsia="Times New Roman" w:cs="Times New Roman"/>
          <w:szCs w:val="24"/>
          <w:lang w:val="bg-BG" w:eastAsia="bg-BG"/>
        </w:rPr>
        <w:t xml:space="preserve"> Интегриране на мерките от пътната карта в националните стратегически и планови инструменти, с акцент върху Националния план за обновяване на сградния фонд</w:t>
      </w:r>
    </w:p>
    <w:p w14:paraId="33732DB1" w14:textId="77777777" w:rsidR="00B572B1" w:rsidRPr="006F3533" w:rsidRDefault="00B572B1" w:rsidP="00551FED">
      <w:pPr>
        <w:numPr>
          <w:ilvl w:val="0"/>
          <w:numId w:val="66"/>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2:</w:t>
      </w:r>
      <w:r w:rsidRPr="006F3533">
        <w:rPr>
          <w:rFonts w:eastAsia="Times New Roman" w:cs="Times New Roman"/>
          <w:szCs w:val="24"/>
          <w:lang w:val="bg-BG" w:eastAsia="bg-BG"/>
        </w:rPr>
        <w:t xml:space="preserve"> Интегриране на мерките от Пътната карта в специфични програми за финансова подкрепа за енергийна ефективност и възобновяеми източници</w:t>
      </w:r>
    </w:p>
    <w:p w14:paraId="64ACB9BD" w14:textId="77777777" w:rsidR="00B572B1" w:rsidRPr="006F3533" w:rsidRDefault="00B572B1" w:rsidP="00551FED">
      <w:pPr>
        <w:numPr>
          <w:ilvl w:val="0"/>
          <w:numId w:val="66"/>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3:</w:t>
      </w:r>
      <w:r w:rsidRPr="006F3533">
        <w:rPr>
          <w:rFonts w:eastAsia="Times New Roman" w:cs="Times New Roman"/>
          <w:szCs w:val="24"/>
          <w:lang w:val="bg-BG" w:eastAsia="bg-BG"/>
        </w:rPr>
        <w:t xml:space="preserve"> Интегриране на мерките от Пътната карта в националните стратегии, политики и инструменти за подкрепа на заетостта</w:t>
      </w:r>
    </w:p>
    <w:p w14:paraId="515E6AB7" w14:textId="77777777" w:rsidR="00B572B1" w:rsidRPr="006F3533" w:rsidRDefault="00B572B1" w:rsidP="00551FED">
      <w:pPr>
        <w:numPr>
          <w:ilvl w:val="0"/>
          <w:numId w:val="66"/>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4:</w:t>
      </w:r>
      <w:r w:rsidRPr="006F3533">
        <w:rPr>
          <w:rFonts w:eastAsia="Times New Roman" w:cs="Times New Roman"/>
          <w:szCs w:val="24"/>
          <w:lang w:val="bg-BG" w:eastAsia="bg-BG"/>
        </w:rPr>
        <w:t xml:space="preserve"> Законодателни разпоредби относно правото на упражняване на професии, свързани с инсталиране, поддръжка и ремонт на системи за възобновяеми източници</w:t>
      </w:r>
    </w:p>
    <w:p w14:paraId="2E30CD44" w14:textId="77777777" w:rsidR="00B572B1" w:rsidRPr="006F3533" w:rsidRDefault="00B572B1" w:rsidP="00551FED">
      <w:pPr>
        <w:numPr>
          <w:ilvl w:val="0"/>
          <w:numId w:val="66"/>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5:</w:t>
      </w:r>
      <w:r w:rsidRPr="006F3533">
        <w:rPr>
          <w:rFonts w:eastAsia="Times New Roman" w:cs="Times New Roman"/>
          <w:szCs w:val="24"/>
          <w:lang w:val="bg-BG" w:eastAsia="bg-BG"/>
        </w:rPr>
        <w:t xml:space="preserve"> Въвеждане на изисквания за квалификация и умения в процедурите за възлагане на обществени поръчки</w:t>
      </w:r>
    </w:p>
    <w:p w14:paraId="213F7AED"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Приоритетна област 3. Усъвършенстване на образователната система</w:t>
      </w:r>
    </w:p>
    <w:p w14:paraId="1B5BAC0B"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Цел:</w:t>
      </w:r>
      <w:r w:rsidRPr="006F3533">
        <w:rPr>
          <w:rFonts w:eastAsia="Times New Roman" w:cs="Times New Roman"/>
          <w:szCs w:val="24"/>
          <w:lang w:val="bg-BG" w:eastAsia="bg-BG"/>
        </w:rPr>
        <w:t xml:space="preserve"> Надграждане на характеристиките на образователната система, за да отговори на нуждите на индустрията, като насърчава ученето през целия живот.</w:t>
      </w:r>
    </w:p>
    <w:p w14:paraId="26E3E296" w14:textId="77777777" w:rsidR="00B572B1" w:rsidRPr="006F3533" w:rsidRDefault="00B572B1" w:rsidP="00551FED">
      <w:pPr>
        <w:numPr>
          <w:ilvl w:val="0"/>
          <w:numId w:val="67"/>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1:</w:t>
      </w:r>
      <w:r w:rsidRPr="006F3533">
        <w:rPr>
          <w:rFonts w:eastAsia="Times New Roman" w:cs="Times New Roman"/>
          <w:szCs w:val="24"/>
          <w:lang w:val="bg-BG" w:eastAsia="bg-BG"/>
        </w:rPr>
        <w:t xml:space="preserve"> Включване на нови дисциплини в учебните планове и нови теми в учебните програми на професионалните гимназии по всички професии от направления „Архитектура и строителство“ и „Електротехника и енергетика“</w:t>
      </w:r>
    </w:p>
    <w:p w14:paraId="0F785E00" w14:textId="77777777" w:rsidR="00B572B1" w:rsidRPr="006F3533" w:rsidRDefault="00B572B1" w:rsidP="00551FED">
      <w:pPr>
        <w:numPr>
          <w:ilvl w:val="0"/>
          <w:numId w:val="67"/>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2:</w:t>
      </w:r>
      <w:r w:rsidRPr="006F3533">
        <w:rPr>
          <w:rFonts w:eastAsia="Times New Roman" w:cs="Times New Roman"/>
          <w:szCs w:val="24"/>
          <w:lang w:val="bg-BG" w:eastAsia="bg-BG"/>
        </w:rPr>
        <w:t xml:space="preserve"> Включване на нови модули в учебните програми или нови теми в обучителните програми на центровете за професионално обучение</w:t>
      </w:r>
    </w:p>
    <w:p w14:paraId="17BAE0BF" w14:textId="77777777" w:rsidR="00B572B1" w:rsidRPr="006F3533" w:rsidRDefault="00B572B1" w:rsidP="00551FED">
      <w:pPr>
        <w:numPr>
          <w:ilvl w:val="0"/>
          <w:numId w:val="67"/>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3:</w:t>
      </w:r>
      <w:r w:rsidRPr="006F3533">
        <w:rPr>
          <w:rFonts w:eastAsia="Times New Roman" w:cs="Times New Roman"/>
          <w:szCs w:val="24"/>
          <w:lang w:val="bg-BG" w:eastAsia="bg-BG"/>
        </w:rPr>
        <w:t xml:space="preserve"> Подобряване на уменията на обучаващите по професионално обучение</w:t>
      </w:r>
    </w:p>
    <w:p w14:paraId="774CC272" w14:textId="77777777" w:rsidR="00B572B1" w:rsidRPr="006F3533" w:rsidRDefault="00B572B1" w:rsidP="00551FED">
      <w:pPr>
        <w:numPr>
          <w:ilvl w:val="0"/>
          <w:numId w:val="67"/>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4:</w:t>
      </w:r>
      <w:r w:rsidRPr="006F3533">
        <w:rPr>
          <w:rFonts w:eastAsia="Times New Roman" w:cs="Times New Roman"/>
          <w:szCs w:val="24"/>
          <w:lang w:val="bg-BG" w:eastAsia="bg-BG"/>
        </w:rPr>
        <w:t xml:space="preserve"> Създаване на система за продължаваща професионална квалификация. Организиране на краткосрочни курсове за обучение (включително по част от професия) за придобиване на необходимите компетенции за изпълнение, поддръжка и експлоатация на решения за устойчива енергия</w:t>
      </w:r>
    </w:p>
    <w:p w14:paraId="56CC7F0E" w14:textId="77777777" w:rsidR="00B572B1" w:rsidRPr="006F3533" w:rsidRDefault="00B572B1" w:rsidP="00551FED">
      <w:pPr>
        <w:numPr>
          <w:ilvl w:val="0"/>
          <w:numId w:val="67"/>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5:</w:t>
      </w:r>
      <w:r w:rsidRPr="006F3533">
        <w:rPr>
          <w:rFonts w:eastAsia="Times New Roman" w:cs="Times New Roman"/>
          <w:szCs w:val="24"/>
          <w:lang w:val="bg-BG" w:eastAsia="bg-BG"/>
        </w:rPr>
        <w:t xml:space="preserve"> Участие в програми и проекти, свързани с подобряване на материалната база и оборудването на институциите от системата на професионалното образование</w:t>
      </w:r>
    </w:p>
    <w:p w14:paraId="7E332ECC" w14:textId="77777777" w:rsidR="00B572B1" w:rsidRPr="006F3533" w:rsidRDefault="00B572B1" w:rsidP="00551FED">
      <w:pPr>
        <w:numPr>
          <w:ilvl w:val="0"/>
          <w:numId w:val="67"/>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6:</w:t>
      </w:r>
      <w:r w:rsidRPr="006F3533">
        <w:rPr>
          <w:rFonts w:eastAsia="Times New Roman" w:cs="Times New Roman"/>
          <w:szCs w:val="24"/>
          <w:lang w:val="bg-BG" w:eastAsia="bg-BG"/>
        </w:rPr>
        <w:t xml:space="preserve"> Изграждане на образователни паркове</w:t>
      </w:r>
    </w:p>
    <w:p w14:paraId="0C974BD6" w14:textId="77777777" w:rsidR="00B572B1" w:rsidRPr="006F3533" w:rsidRDefault="00B572B1" w:rsidP="00551FED">
      <w:pPr>
        <w:numPr>
          <w:ilvl w:val="0"/>
          <w:numId w:val="67"/>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lastRenderedPageBreak/>
        <w:t>Мярка 7:</w:t>
      </w:r>
      <w:r w:rsidRPr="006F3533">
        <w:rPr>
          <w:rFonts w:eastAsia="Times New Roman" w:cs="Times New Roman"/>
          <w:szCs w:val="24"/>
          <w:lang w:val="bg-BG" w:eastAsia="bg-BG"/>
        </w:rPr>
        <w:t xml:space="preserve"> Привеждане на образователните програми на висшите учебни заведения в съответствие с технологичните иновации и нуждите на индустрията</w:t>
      </w:r>
    </w:p>
    <w:p w14:paraId="234510CF" w14:textId="77777777" w:rsidR="00B572B1" w:rsidRPr="006F3533" w:rsidRDefault="00B572B1" w:rsidP="00551FED">
      <w:pPr>
        <w:numPr>
          <w:ilvl w:val="0"/>
          <w:numId w:val="67"/>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8:</w:t>
      </w:r>
      <w:r w:rsidRPr="006F3533">
        <w:rPr>
          <w:rFonts w:eastAsia="Times New Roman" w:cs="Times New Roman"/>
          <w:szCs w:val="24"/>
          <w:lang w:val="bg-BG" w:eastAsia="bg-BG"/>
        </w:rPr>
        <w:t xml:space="preserve"> Обучения за енергийни одитори</w:t>
      </w:r>
    </w:p>
    <w:p w14:paraId="2BA2944A"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Приоритетна област 4. Сътрудничество с индустрията и интеграция на технологични иновации</w:t>
      </w:r>
    </w:p>
    <w:p w14:paraId="171FB27A"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Цел:</w:t>
      </w:r>
      <w:r w:rsidRPr="006F3533">
        <w:rPr>
          <w:rFonts w:eastAsia="Times New Roman" w:cs="Times New Roman"/>
          <w:szCs w:val="24"/>
          <w:lang w:val="bg-BG" w:eastAsia="bg-BG"/>
        </w:rPr>
        <w:t xml:space="preserve"> Насърчаване на сътрудничеството между строителни компании, предприемачи и доставчици на технологии. Интегриране на цифрови технологии, автоматизация и иновативни строителни процеси и методи.</w:t>
      </w:r>
    </w:p>
    <w:p w14:paraId="360EB2C2" w14:textId="77777777" w:rsidR="00B572B1" w:rsidRPr="006F3533" w:rsidRDefault="00B572B1" w:rsidP="00551FED">
      <w:pPr>
        <w:numPr>
          <w:ilvl w:val="0"/>
          <w:numId w:val="68"/>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1:</w:t>
      </w:r>
      <w:r w:rsidRPr="006F3533">
        <w:rPr>
          <w:rFonts w:eastAsia="Times New Roman" w:cs="Times New Roman"/>
          <w:szCs w:val="24"/>
          <w:lang w:val="bg-BG" w:eastAsia="bg-BG"/>
        </w:rPr>
        <w:t xml:space="preserve"> Обвързване на плановия прием в професионалните гимназии на територията на всяка област с търсенето на стопанските субекти</w:t>
      </w:r>
    </w:p>
    <w:p w14:paraId="6CEC9E68" w14:textId="77777777" w:rsidR="00B572B1" w:rsidRPr="006F3533" w:rsidRDefault="00B572B1" w:rsidP="00551FED">
      <w:pPr>
        <w:numPr>
          <w:ilvl w:val="0"/>
          <w:numId w:val="68"/>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2:</w:t>
      </w:r>
      <w:r w:rsidRPr="006F3533">
        <w:rPr>
          <w:rFonts w:eastAsia="Times New Roman" w:cs="Times New Roman"/>
          <w:szCs w:val="24"/>
          <w:lang w:val="bg-BG" w:eastAsia="bg-BG"/>
        </w:rPr>
        <w:t xml:space="preserve"> Информационна кампания сред работодателите</w:t>
      </w:r>
    </w:p>
    <w:p w14:paraId="4C85E521" w14:textId="77777777" w:rsidR="00B572B1" w:rsidRPr="006F3533" w:rsidRDefault="00B572B1" w:rsidP="00551FED">
      <w:pPr>
        <w:numPr>
          <w:ilvl w:val="0"/>
          <w:numId w:val="68"/>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3:</w:t>
      </w:r>
      <w:r w:rsidRPr="006F3533">
        <w:rPr>
          <w:rFonts w:eastAsia="Times New Roman" w:cs="Times New Roman"/>
          <w:szCs w:val="24"/>
          <w:lang w:val="bg-BG" w:eastAsia="bg-BG"/>
        </w:rPr>
        <w:t xml:space="preserve"> Допълнително регламентиране и стимулиране на модалността „обучение на работното място“ и валидиране на компетенциите</w:t>
      </w:r>
    </w:p>
    <w:p w14:paraId="47B40BD0" w14:textId="77777777" w:rsidR="00B572B1" w:rsidRPr="006F3533" w:rsidRDefault="00B572B1" w:rsidP="00551FED">
      <w:pPr>
        <w:numPr>
          <w:ilvl w:val="0"/>
          <w:numId w:val="68"/>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4:</w:t>
      </w:r>
      <w:r w:rsidRPr="006F3533">
        <w:rPr>
          <w:rFonts w:eastAsia="Times New Roman" w:cs="Times New Roman"/>
          <w:szCs w:val="24"/>
          <w:lang w:val="bg-BG" w:eastAsia="bg-BG"/>
        </w:rPr>
        <w:t xml:space="preserve"> Разработване на уеб базирана платформа за обмен на информация</w:t>
      </w:r>
    </w:p>
    <w:p w14:paraId="613608D2"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Приоритетна област 5. Ангажиране на заинтересованите страни за подобряване на обществения имидж на строителния сектор</w:t>
      </w:r>
    </w:p>
    <w:p w14:paraId="70FD4D75"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Цел:</w:t>
      </w:r>
      <w:r w:rsidRPr="006F3533">
        <w:rPr>
          <w:rFonts w:eastAsia="Times New Roman" w:cs="Times New Roman"/>
          <w:szCs w:val="24"/>
          <w:lang w:val="bg-BG" w:eastAsia="bg-BG"/>
        </w:rPr>
        <w:t xml:space="preserve"> Подобряване на общественото възприемане на строителната индустрия и превръщане на строителния сектор в привлекателен кариерен избор за младежи и жени.</w:t>
      </w:r>
    </w:p>
    <w:p w14:paraId="4091744B" w14:textId="77777777" w:rsidR="00B572B1" w:rsidRPr="006F3533" w:rsidRDefault="00B572B1" w:rsidP="00551FED">
      <w:pPr>
        <w:numPr>
          <w:ilvl w:val="0"/>
          <w:numId w:val="69"/>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1:</w:t>
      </w:r>
      <w:r w:rsidRPr="006F3533">
        <w:rPr>
          <w:rFonts w:eastAsia="Times New Roman" w:cs="Times New Roman"/>
          <w:szCs w:val="24"/>
          <w:lang w:val="bg-BG" w:eastAsia="bg-BG"/>
        </w:rPr>
        <w:t xml:space="preserve"> Включване на теми, свързани с енергийната ефективност на сградите, в основното образование, с цел придобиване на умения за енергоспестяване в ежедневието и знания за опазване на околната среда</w:t>
      </w:r>
    </w:p>
    <w:p w14:paraId="27274594" w14:textId="77777777" w:rsidR="00B572B1" w:rsidRPr="006F3533" w:rsidRDefault="00B572B1" w:rsidP="00551FED">
      <w:pPr>
        <w:numPr>
          <w:ilvl w:val="0"/>
          <w:numId w:val="69"/>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2:</w:t>
      </w:r>
      <w:r w:rsidRPr="006F3533">
        <w:rPr>
          <w:rFonts w:eastAsia="Times New Roman" w:cs="Times New Roman"/>
          <w:szCs w:val="24"/>
          <w:lang w:val="bg-BG" w:eastAsia="bg-BG"/>
        </w:rPr>
        <w:t xml:space="preserve"> Идентифициране на предмети и включване на теми за енергийно ефективни решения в средното образование с цел ориентация към кариери в строителния сектор</w:t>
      </w:r>
    </w:p>
    <w:p w14:paraId="28A4FA8F" w14:textId="77777777" w:rsidR="00B572B1" w:rsidRPr="006F3533" w:rsidRDefault="00B572B1" w:rsidP="00551FED">
      <w:pPr>
        <w:numPr>
          <w:ilvl w:val="0"/>
          <w:numId w:val="69"/>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3:</w:t>
      </w:r>
      <w:r w:rsidRPr="006F3533">
        <w:rPr>
          <w:rFonts w:eastAsia="Times New Roman" w:cs="Times New Roman"/>
          <w:szCs w:val="24"/>
          <w:lang w:val="bg-BG" w:eastAsia="bg-BG"/>
        </w:rPr>
        <w:t xml:space="preserve"> Инициативи за привличане на млади специалисти и жени в строителството</w:t>
      </w:r>
    </w:p>
    <w:p w14:paraId="5C2D17D7" w14:textId="77777777" w:rsidR="00B572B1" w:rsidRPr="006F3533" w:rsidRDefault="00B572B1" w:rsidP="00551FED">
      <w:pPr>
        <w:numPr>
          <w:ilvl w:val="0"/>
          <w:numId w:val="69"/>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Мярка 4:</w:t>
      </w:r>
      <w:r w:rsidRPr="006F3533">
        <w:rPr>
          <w:rFonts w:eastAsia="Times New Roman" w:cs="Times New Roman"/>
          <w:szCs w:val="24"/>
          <w:lang w:val="bg-BG" w:eastAsia="bg-BG"/>
        </w:rPr>
        <w:t xml:space="preserve"> Медийна кампания за повишаване на информираността относно ползите от енергийната ефективност и възможностите за кариерно развитие в сектора</w:t>
      </w:r>
    </w:p>
    <w:p w14:paraId="48F86F6B"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4) Допълнителни акценти и механизми за изпълнение (надграждащи, но съвместими с пътната карта)</w:t>
      </w:r>
    </w:p>
    <w:p w14:paraId="7DD72D51"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Роля на НАПОО и секторните съвети по уменията</w:t>
      </w:r>
    </w:p>
    <w:p w14:paraId="42F26746"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Ключово условие за изпълнение на пътната карта е </w:t>
      </w:r>
      <w:r w:rsidRPr="006F3533">
        <w:rPr>
          <w:rFonts w:eastAsia="Times New Roman" w:cs="Times New Roman"/>
          <w:b/>
          <w:bCs/>
          <w:szCs w:val="24"/>
          <w:lang w:val="bg-BG" w:eastAsia="bg-BG"/>
        </w:rPr>
        <w:t>системна актуализация на професиите, специалностите и учебните програми</w:t>
      </w:r>
      <w:r w:rsidRPr="006F3533">
        <w:rPr>
          <w:rFonts w:eastAsia="Times New Roman" w:cs="Times New Roman"/>
          <w:szCs w:val="24"/>
          <w:lang w:val="bg-BG" w:eastAsia="bg-BG"/>
        </w:rPr>
        <w:t xml:space="preserve"> в професионалното образование и обучение, както и </w:t>
      </w:r>
      <w:r w:rsidRPr="006F3533">
        <w:rPr>
          <w:rFonts w:eastAsia="Times New Roman" w:cs="Times New Roman"/>
          <w:b/>
          <w:bCs/>
          <w:szCs w:val="24"/>
          <w:lang w:val="bg-BG" w:eastAsia="bg-BG"/>
        </w:rPr>
        <w:t>гъвкави модули за обучение на възрастни</w:t>
      </w:r>
      <w:r w:rsidRPr="006F3533">
        <w:rPr>
          <w:rFonts w:eastAsia="Times New Roman" w:cs="Times New Roman"/>
          <w:szCs w:val="24"/>
          <w:lang w:val="bg-BG" w:eastAsia="bg-BG"/>
        </w:rPr>
        <w:t xml:space="preserve">. В този процес централна роля имат </w:t>
      </w:r>
      <w:r w:rsidRPr="006F3533">
        <w:rPr>
          <w:rFonts w:eastAsia="Times New Roman" w:cs="Times New Roman"/>
          <w:b/>
          <w:bCs/>
          <w:szCs w:val="24"/>
          <w:lang w:val="bg-BG" w:eastAsia="bg-BG"/>
        </w:rPr>
        <w:t>Националната агенция за професионално образование и обучение</w:t>
      </w:r>
      <w:r w:rsidRPr="006F3533">
        <w:rPr>
          <w:rFonts w:eastAsia="Times New Roman" w:cs="Times New Roman"/>
          <w:szCs w:val="24"/>
          <w:lang w:val="bg-BG" w:eastAsia="bg-BG"/>
        </w:rPr>
        <w:t xml:space="preserve"> (лицензиране и контрол на центровете за обучение, рамки за квалификации и валидиране) и </w:t>
      </w:r>
      <w:r w:rsidRPr="006F3533">
        <w:rPr>
          <w:rFonts w:eastAsia="Times New Roman" w:cs="Times New Roman"/>
          <w:b/>
          <w:bCs/>
          <w:szCs w:val="24"/>
          <w:lang w:val="bg-BG" w:eastAsia="bg-BG"/>
        </w:rPr>
        <w:t xml:space="preserve">секторните </w:t>
      </w:r>
      <w:r w:rsidRPr="006F3533">
        <w:rPr>
          <w:rFonts w:eastAsia="Times New Roman" w:cs="Times New Roman"/>
          <w:b/>
          <w:bCs/>
          <w:szCs w:val="24"/>
          <w:lang w:val="bg-BG" w:eastAsia="bg-BG"/>
        </w:rPr>
        <w:lastRenderedPageBreak/>
        <w:t>съвети по уменията</w:t>
      </w:r>
      <w:r w:rsidRPr="006F3533">
        <w:rPr>
          <w:rFonts w:eastAsia="Times New Roman" w:cs="Times New Roman"/>
          <w:szCs w:val="24"/>
          <w:lang w:val="bg-BG" w:eastAsia="bg-BG"/>
        </w:rPr>
        <w:t xml:space="preserve">, създадени за по-тясна връзка между образование и бизнес, в рамките на които бяха разработени нови държавни образователни стандарти и предстои съответстваща промяна на образователните планове и програми, както и обучения на преподаватели. </w:t>
      </w:r>
    </w:p>
    <w:p w14:paraId="6870C32A"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Недостатъчно представени групи и равен достъп до обучения</w:t>
      </w:r>
    </w:p>
    <w:p w14:paraId="48FC2130"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В изпълнение на европейските изисквания и с оглед реалния недостиг на кадри, прилагането на пътната карта следва да включва целенасочени действия за:</w:t>
      </w:r>
    </w:p>
    <w:p w14:paraId="0B91FCBE" w14:textId="77777777" w:rsidR="00B572B1" w:rsidRPr="006F3533" w:rsidRDefault="00B572B1" w:rsidP="00551FED">
      <w:pPr>
        <w:numPr>
          <w:ilvl w:val="0"/>
          <w:numId w:val="70"/>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привличане на жени</w:t>
      </w:r>
      <w:r w:rsidRPr="006F3533">
        <w:rPr>
          <w:rFonts w:eastAsia="Times New Roman" w:cs="Times New Roman"/>
          <w:szCs w:val="24"/>
          <w:lang w:val="bg-BG" w:eastAsia="bg-BG"/>
        </w:rPr>
        <w:t xml:space="preserve"> към технически и инсталационни професии (стипендии, целеви кампании, наставничество);</w:t>
      </w:r>
    </w:p>
    <w:p w14:paraId="7A99B161" w14:textId="77777777" w:rsidR="00B572B1" w:rsidRPr="006F3533" w:rsidRDefault="00B572B1" w:rsidP="00551FED">
      <w:pPr>
        <w:numPr>
          <w:ilvl w:val="0"/>
          <w:numId w:val="70"/>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включване на млади хора</w:t>
      </w:r>
      <w:r w:rsidRPr="006F3533">
        <w:rPr>
          <w:rFonts w:eastAsia="Times New Roman" w:cs="Times New Roman"/>
          <w:szCs w:val="24"/>
          <w:lang w:val="bg-BG" w:eastAsia="bg-BG"/>
        </w:rPr>
        <w:t xml:space="preserve"> чрез </w:t>
      </w:r>
      <w:proofErr w:type="spellStart"/>
      <w:r w:rsidRPr="006F3533">
        <w:rPr>
          <w:rFonts w:eastAsia="Times New Roman" w:cs="Times New Roman"/>
          <w:szCs w:val="24"/>
          <w:lang w:val="bg-BG" w:eastAsia="bg-BG"/>
        </w:rPr>
        <w:t>дуално</w:t>
      </w:r>
      <w:proofErr w:type="spellEnd"/>
      <w:r w:rsidRPr="006F3533">
        <w:rPr>
          <w:rFonts w:eastAsia="Times New Roman" w:cs="Times New Roman"/>
          <w:szCs w:val="24"/>
          <w:lang w:val="bg-BG" w:eastAsia="bg-BG"/>
        </w:rPr>
        <w:t xml:space="preserve"> обучение и стажове;</w:t>
      </w:r>
    </w:p>
    <w:p w14:paraId="7536C474" w14:textId="77777777" w:rsidR="00B572B1" w:rsidRPr="006F3533" w:rsidRDefault="00B572B1" w:rsidP="00551FED">
      <w:pPr>
        <w:numPr>
          <w:ilvl w:val="0"/>
          <w:numId w:val="70"/>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възможности за преквалификация</w:t>
      </w:r>
      <w:r w:rsidRPr="006F3533">
        <w:rPr>
          <w:rFonts w:eastAsia="Times New Roman" w:cs="Times New Roman"/>
          <w:szCs w:val="24"/>
          <w:lang w:val="bg-BG" w:eastAsia="bg-BG"/>
        </w:rPr>
        <w:t xml:space="preserve"> за хора от сродни сектори и за лица извън пазара на труда, включително в по-слабо развити региони и от лица от други държави, търсещи реализация в България;</w:t>
      </w:r>
    </w:p>
    <w:p w14:paraId="511B9DD6" w14:textId="77777777" w:rsidR="00B572B1" w:rsidRPr="006F3533" w:rsidRDefault="00B572B1" w:rsidP="00551FED">
      <w:pPr>
        <w:numPr>
          <w:ilvl w:val="0"/>
          <w:numId w:val="70"/>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достъпни формати на обучение</w:t>
      </w:r>
      <w:r w:rsidRPr="006F3533">
        <w:rPr>
          <w:rFonts w:eastAsia="Times New Roman" w:cs="Times New Roman"/>
          <w:szCs w:val="24"/>
          <w:lang w:val="bg-BG" w:eastAsia="bg-BG"/>
        </w:rPr>
        <w:t xml:space="preserve"> (модулни програми, смесено обучение, регионални центрове и мобилни обучения). </w:t>
      </w:r>
    </w:p>
    <w:p w14:paraId="2B82F2C9"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Обучения чрез Центровете за комплексно обслужване и връзка с реални инвестиционни програми</w:t>
      </w:r>
    </w:p>
    <w:p w14:paraId="59A8CCE7"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За да се превърнат обученията в реално изпълнение на проекти, е необходимо те да бъдат обвързани с </w:t>
      </w:r>
      <w:r w:rsidRPr="006F3533">
        <w:rPr>
          <w:rFonts w:eastAsia="Times New Roman" w:cs="Times New Roman"/>
          <w:b/>
          <w:bCs/>
          <w:szCs w:val="24"/>
          <w:lang w:val="bg-BG" w:eastAsia="bg-BG"/>
        </w:rPr>
        <w:t>дейността на Центровете за комплексно обслужване</w:t>
      </w:r>
      <w:r w:rsidRPr="006F3533">
        <w:rPr>
          <w:rFonts w:eastAsia="Times New Roman" w:cs="Times New Roman"/>
          <w:szCs w:val="24"/>
          <w:lang w:val="bg-BG" w:eastAsia="bg-BG"/>
        </w:rPr>
        <w:t xml:space="preserve"> (консултиране, подготовка на проекти, стандартни решения, контрол на качеството, насочване към финансиране, обучения за местната администрация и професионалните общности). Практическият опит показва как обученията могат да се интегрират в услуги към домакинства и общини, включително чрез инициативи като </w:t>
      </w:r>
      <w:proofErr w:type="spellStart"/>
      <w:r w:rsidRPr="006F3533">
        <w:rPr>
          <w:rFonts w:eastAsia="Times New Roman" w:cs="Times New Roman"/>
          <w:szCs w:val="24"/>
          <w:lang w:val="bg-BG" w:eastAsia="bg-BG"/>
        </w:rPr>
        <w:t>SHEERenov</w:t>
      </w:r>
      <w:proofErr w:type="spellEnd"/>
      <w:r w:rsidRPr="006F3533">
        <w:rPr>
          <w:rFonts w:eastAsia="Times New Roman" w:cs="Times New Roman"/>
          <w:szCs w:val="24"/>
          <w:lang w:val="bg-BG" w:eastAsia="bg-BG"/>
        </w:rPr>
        <w:t xml:space="preserve">+, където са разработени </w:t>
      </w:r>
      <w:proofErr w:type="spellStart"/>
      <w:r w:rsidRPr="006F3533">
        <w:rPr>
          <w:rFonts w:eastAsia="Times New Roman" w:cs="Times New Roman"/>
          <w:szCs w:val="24"/>
          <w:lang w:val="bg-BG" w:eastAsia="bg-BG"/>
        </w:rPr>
        <w:t>програни</w:t>
      </w:r>
      <w:proofErr w:type="spellEnd"/>
      <w:r w:rsidRPr="006F3533">
        <w:rPr>
          <w:rFonts w:eastAsia="Times New Roman" w:cs="Times New Roman"/>
          <w:szCs w:val="24"/>
          <w:lang w:val="bg-BG" w:eastAsia="bg-BG"/>
        </w:rPr>
        <w:t xml:space="preserve"> за изграждане на капацитет за местни центрове за комплексни услуги за сградно обновяване. </w:t>
      </w:r>
    </w:p>
    <w:p w14:paraId="3BC9A97D"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Роля на професионалните организации и добри практики</w:t>
      </w:r>
    </w:p>
    <w:p w14:paraId="4277E5A5"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Ускоряването на обучението и повишаването на качеството изисква активното участие на професионалните общности и обучителни структури, включително:</w:t>
      </w:r>
    </w:p>
    <w:p w14:paraId="0CB1BE7D" w14:textId="77777777" w:rsidR="00B572B1" w:rsidRPr="006F3533" w:rsidRDefault="00B572B1" w:rsidP="00551FED">
      <w:pPr>
        <w:numPr>
          <w:ilvl w:val="0"/>
          <w:numId w:val="71"/>
        </w:numPr>
        <w:spacing w:line="240" w:lineRule="auto"/>
        <w:jc w:val="both"/>
        <w:rPr>
          <w:rFonts w:eastAsia="Times New Roman" w:cs="Times New Roman"/>
          <w:szCs w:val="24"/>
          <w:lang w:val="bg-BG" w:eastAsia="bg-BG"/>
        </w:rPr>
      </w:pPr>
      <w:proofErr w:type="spellStart"/>
      <w:r w:rsidRPr="006F3533">
        <w:rPr>
          <w:rFonts w:eastAsia="Times New Roman" w:cs="Times New Roman"/>
          <w:b/>
          <w:bCs/>
          <w:szCs w:val="24"/>
          <w:lang w:val="bg-BG" w:eastAsia="bg-BG"/>
        </w:rPr>
        <w:t>ЕнЕфект</w:t>
      </w:r>
      <w:proofErr w:type="spellEnd"/>
      <w:r w:rsidRPr="006F3533">
        <w:rPr>
          <w:rFonts w:eastAsia="Times New Roman" w:cs="Times New Roman"/>
          <w:szCs w:val="24"/>
          <w:lang w:val="bg-BG" w:eastAsia="bg-BG"/>
        </w:rPr>
        <w:t xml:space="preserve"> – изпълнява редица дейности в областта на професионалното образование и обучение с </w:t>
      </w:r>
      <w:proofErr w:type="spellStart"/>
      <w:r w:rsidRPr="006F3533">
        <w:rPr>
          <w:rFonts w:eastAsia="Times New Roman" w:cs="Times New Roman"/>
          <w:szCs w:val="24"/>
          <w:lang w:val="bg-BG" w:eastAsia="bg-BG"/>
        </w:rPr>
        <w:t>помощтта</w:t>
      </w:r>
      <w:proofErr w:type="spellEnd"/>
      <w:r w:rsidRPr="006F3533">
        <w:rPr>
          <w:rFonts w:eastAsia="Times New Roman" w:cs="Times New Roman"/>
          <w:szCs w:val="24"/>
          <w:lang w:val="bg-BG" w:eastAsia="bg-BG"/>
        </w:rPr>
        <w:t xml:space="preserve"> на богато портфолио от проекти с обучителен компонент, вкл. по теми като </w:t>
      </w:r>
      <w:proofErr w:type="spellStart"/>
      <w:r w:rsidRPr="006F3533">
        <w:rPr>
          <w:rFonts w:eastAsia="Times New Roman" w:cs="Times New Roman"/>
          <w:szCs w:val="24"/>
          <w:lang w:val="bg-BG" w:eastAsia="bg-BG"/>
        </w:rPr>
        <w:t>нулевоенергийни</w:t>
      </w:r>
      <w:proofErr w:type="spellEnd"/>
      <w:r w:rsidRPr="006F3533">
        <w:rPr>
          <w:rFonts w:eastAsia="Times New Roman" w:cs="Times New Roman"/>
          <w:szCs w:val="24"/>
          <w:lang w:val="bg-BG" w:eastAsia="bg-BG"/>
        </w:rPr>
        <w:t>/</w:t>
      </w:r>
      <w:proofErr w:type="spellStart"/>
      <w:r w:rsidRPr="006F3533">
        <w:rPr>
          <w:rFonts w:eastAsia="Times New Roman" w:cs="Times New Roman"/>
          <w:szCs w:val="24"/>
          <w:lang w:val="bg-BG" w:eastAsia="bg-BG"/>
        </w:rPr>
        <w:t>нулевоемисионни</w:t>
      </w:r>
      <w:proofErr w:type="spellEnd"/>
      <w:r w:rsidRPr="006F3533">
        <w:rPr>
          <w:rFonts w:eastAsia="Times New Roman" w:cs="Times New Roman"/>
          <w:szCs w:val="24"/>
          <w:lang w:val="bg-BG" w:eastAsia="bg-BG"/>
        </w:rPr>
        <w:t xml:space="preserve"> сгради, консултантски услуги и центрове за комплексно обслужване и разработване на обучителни материали с виртуална реалност. Ключови дейности са координацията на серията проекти по линия на европейската инициатива BUILD UP </w:t>
      </w:r>
      <w:proofErr w:type="spellStart"/>
      <w:r w:rsidRPr="006F3533">
        <w:rPr>
          <w:rFonts w:eastAsia="Times New Roman" w:cs="Times New Roman"/>
          <w:szCs w:val="24"/>
          <w:lang w:val="bg-BG" w:eastAsia="bg-BG"/>
        </w:rPr>
        <w:t>Skills</w:t>
      </w:r>
      <w:proofErr w:type="spellEnd"/>
      <w:r w:rsidRPr="006F3533">
        <w:rPr>
          <w:rFonts w:eastAsia="Times New Roman" w:cs="Times New Roman"/>
          <w:szCs w:val="24"/>
          <w:lang w:val="bg-BG" w:eastAsia="bg-BG"/>
        </w:rPr>
        <w:t xml:space="preserve"> и специализирани проекти като NZEB </w:t>
      </w:r>
      <w:proofErr w:type="spellStart"/>
      <w:r w:rsidRPr="006F3533">
        <w:rPr>
          <w:rFonts w:eastAsia="Times New Roman" w:cs="Times New Roman"/>
          <w:szCs w:val="24"/>
          <w:lang w:val="bg-BG" w:eastAsia="bg-BG"/>
        </w:rPr>
        <w:t>Roadshow</w:t>
      </w:r>
      <w:proofErr w:type="spellEnd"/>
      <w:r w:rsidRPr="006F3533">
        <w:rPr>
          <w:rFonts w:eastAsia="Times New Roman" w:cs="Times New Roman"/>
          <w:szCs w:val="24"/>
          <w:lang w:val="bg-BG" w:eastAsia="bg-BG"/>
        </w:rPr>
        <w:t xml:space="preserve">, NZEB </w:t>
      </w:r>
      <w:proofErr w:type="spellStart"/>
      <w:r w:rsidRPr="006F3533">
        <w:rPr>
          <w:rFonts w:eastAsia="Times New Roman" w:cs="Times New Roman"/>
          <w:szCs w:val="24"/>
          <w:lang w:val="bg-BG" w:eastAsia="bg-BG"/>
        </w:rPr>
        <w:t>Ready</w:t>
      </w:r>
      <w:proofErr w:type="spellEnd"/>
      <w:r w:rsidRPr="006F3533">
        <w:rPr>
          <w:rFonts w:eastAsia="Times New Roman" w:cs="Times New Roman"/>
          <w:szCs w:val="24"/>
          <w:lang w:val="bg-BG" w:eastAsia="bg-BG"/>
        </w:rPr>
        <w:t xml:space="preserve">, </w:t>
      </w:r>
      <w:proofErr w:type="spellStart"/>
      <w:r w:rsidRPr="006F3533">
        <w:rPr>
          <w:rFonts w:eastAsia="Times New Roman" w:cs="Times New Roman"/>
          <w:szCs w:val="24"/>
          <w:lang w:val="bg-BG" w:eastAsia="bg-BG"/>
        </w:rPr>
        <w:t>DiVIRTUE</w:t>
      </w:r>
      <w:proofErr w:type="spellEnd"/>
      <w:r w:rsidRPr="006F3533">
        <w:rPr>
          <w:rFonts w:eastAsia="Times New Roman" w:cs="Times New Roman"/>
          <w:szCs w:val="24"/>
          <w:lang w:val="bg-BG" w:eastAsia="bg-BG"/>
        </w:rPr>
        <w:t xml:space="preserve">, BUS </w:t>
      </w:r>
      <w:proofErr w:type="spellStart"/>
      <w:r w:rsidRPr="006F3533">
        <w:rPr>
          <w:rFonts w:eastAsia="Times New Roman" w:cs="Times New Roman"/>
          <w:szCs w:val="24"/>
          <w:lang w:val="bg-BG" w:eastAsia="bg-BG"/>
        </w:rPr>
        <w:t>GoCircular</w:t>
      </w:r>
      <w:proofErr w:type="spellEnd"/>
      <w:r w:rsidRPr="006F3533">
        <w:rPr>
          <w:rFonts w:eastAsia="Times New Roman" w:cs="Times New Roman"/>
          <w:szCs w:val="24"/>
          <w:lang w:val="bg-BG" w:eastAsia="bg-BG"/>
        </w:rPr>
        <w:t xml:space="preserve">, BUS </w:t>
      </w:r>
      <w:proofErr w:type="spellStart"/>
      <w:r w:rsidRPr="006F3533">
        <w:rPr>
          <w:rFonts w:eastAsia="Times New Roman" w:cs="Times New Roman"/>
          <w:szCs w:val="24"/>
          <w:lang w:val="bg-BG" w:eastAsia="bg-BG"/>
        </w:rPr>
        <w:t>United</w:t>
      </w:r>
      <w:proofErr w:type="spellEnd"/>
      <w:r w:rsidRPr="006F3533">
        <w:rPr>
          <w:rFonts w:eastAsia="Times New Roman" w:cs="Times New Roman"/>
          <w:szCs w:val="24"/>
          <w:lang w:val="bg-BG" w:eastAsia="bg-BG"/>
        </w:rPr>
        <w:t xml:space="preserve">, BUS </w:t>
      </w:r>
      <w:proofErr w:type="spellStart"/>
      <w:r w:rsidRPr="006F3533">
        <w:rPr>
          <w:rFonts w:eastAsia="Times New Roman" w:cs="Times New Roman"/>
          <w:szCs w:val="24"/>
          <w:lang w:val="bg-BG" w:eastAsia="bg-BG"/>
        </w:rPr>
        <w:t>League</w:t>
      </w:r>
      <w:proofErr w:type="spellEnd"/>
      <w:r w:rsidRPr="006F3533">
        <w:rPr>
          <w:rFonts w:eastAsia="Times New Roman" w:cs="Times New Roman"/>
          <w:szCs w:val="24"/>
          <w:lang w:val="bg-BG" w:eastAsia="bg-BG"/>
        </w:rPr>
        <w:t xml:space="preserve">, INSTRUCT, </w:t>
      </w:r>
      <w:proofErr w:type="spellStart"/>
      <w:r w:rsidRPr="006F3533">
        <w:rPr>
          <w:rFonts w:eastAsia="Times New Roman" w:cs="Times New Roman"/>
          <w:szCs w:val="24"/>
          <w:lang w:val="bg-BG" w:eastAsia="bg-BG"/>
        </w:rPr>
        <w:t>CraftEdu</w:t>
      </w:r>
      <w:proofErr w:type="spellEnd"/>
      <w:r w:rsidRPr="006F3533">
        <w:rPr>
          <w:rFonts w:eastAsia="Times New Roman" w:cs="Times New Roman"/>
          <w:szCs w:val="24"/>
          <w:lang w:val="bg-BG" w:eastAsia="bg-BG"/>
        </w:rPr>
        <w:t xml:space="preserve"> и др.</w:t>
      </w:r>
    </w:p>
    <w:p w14:paraId="19E58932" w14:textId="77777777" w:rsidR="00B572B1" w:rsidRPr="006F3533" w:rsidRDefault="00B572B1" w:rsidP="00551FED">
      <w:pPr>
        <w:pStyle w:val="NormalWeb"/>
        <w:numPr>
          <w:ilvl w:val="0"/>
          <w:numId w:val="71"/>
        </w:numPr>
        <w:jc w:val="both"/>
        <w:rPr>
          <w:rFonts w:ascii="Aptos" w:hAnsi="Aptos"/>
          <w:lang w:val="bg-BG"/>
        </w:rPr>
      </w:pPr>
      <w:proofErr w:type="spellStart"/>
      <w:r w:rsidRPr="006F3533">
        <w:rPr>
          <w:rFonts w:ascii="Aptos" w:hAnsi="Aptos"/>
          <w:b/>
          <w:bCs/>
          <w:lang w:val="bg-BG"/>
        </w:rPr>
        <w:lastRenderedPageBreak/>
        <w:t>E</w:t>
      </w:r>
      <w:r w:rsidRPr="006F3533">
        <w:rPr>
          <w:rStyle w:val="Strong"/>
          <w:rFonts w:ascii="Aptos" w:hAnsi="Aptos"/>
          <w:lang w:val="bg-BG"/>
        </w:rPr>
        <w:t>вропейският</w:t>
      </w:r>
      <w:proofErr w:type="spellEnd"/>
      <w:r w:rsidRPr="006F3533">
        <w:rPr>
          <w:rStyle w:val="Strong"/>
          <w:rFonts w:ascii="Aptos" w:hAnsi="Aptos"/>
          <w:lang w:val="bg-BG"/>
        </w:rPr>
        <w:t xml:space="preserve"> цифров иновационен хъб за строителството (ЕЦИХ) - </w:t>
      </w:r>
      <w:r w:rsidRPr="006F3533">
        <w:rPr>
          <w:rFonts w:ascii="Aptos" w:hAnsi="Aptos"/>
          <w:lang w:val="bg-BG"/>
        </w:rPr>
        <w:t xml:space="preserve"> подпомага най-вече малките и средните строителни предприятия при въвеждането на цифрови технологии (включително информационно моделиране на сгради и дигитално управление на процесите) чрез услуги като „тестване преди инвестиране“, обучения и консултации за финансиране и технологичен трансфер.</w:t>
      </w:r>
    </w:p>
    <w:p w14:paraId="15CCF718" w14:textId="77777777" w:rsidR="00B572B1" w:rsidRPr="006F3533" w:rsidRDefault="00B572B1" w:rsidP="00551FED">
      <w:pPr>
        <w:pStyle w:val="NormalWeb"/>
        <w:numPr>
          <w:ilvl w:val="0"/>
          <w:numId w:val="71"/>
        </w:numPr>
        <w:jc w:val="both"/>
        <w:rPr>
          <w:rFonts w:ascii="Aptos" w:hAnsi="Aptos"/>
          <w:lang w:val="bg-BG"/>
        </w:rPr>
      </w:pPr>
      <w:r w:rsidRPr="006F3533">
        <w:rPr>
          <w:rStyle w:val="Strong"/>
          <w:rFonts w:ascii="Aptos" w:hAnsi="Aptos"/>
          <w:lang w:val="bg-BG"/>
        </w:rPr>
        <w:t>Камарата на строителите в България (КСБ)</w:t>
      </w:r>
      <w:r w:rsidRPr="006F3533">
        <w:rPr>
          <w:rFonts w:ascii="Aptos" w:hAnsi="Aptos"/>
          <w:lang w:val="bg-BG"/>
        </w:rPr>
        <w:t xml:space="preserve"> и </w:t>
      </w:r>
      <w:r w:rsidRPr="006F3533">
        <w:rPr>
          <w:rStyle w:val="Strong"/>
          <w:rFonts w:ascii="Aptos" w:hAnsi="Aptos"/>
          <w:lang w:val="bg-BG"/>
        </w:rPr>
        <w:t>„Строителна квалификация“ ЕАД</w:t>
      </w:r>
      <w:r w:rsidRPr="006F3533">
        <w:rPr>
          <w:rFonts w:ascii="Aptos" w:hAnsi="Aptos"/>
          <w:lang w:val="bg-BG"/>
        </w:rPr>
        <w:t xml:space="preserve"> подпомагат повишаването и признаването на професионалните умения в сектора чрез организиране на обучения и квалификационни програми за работници и специалисти, съобразени с потребностите на строителната практика и изискванията към качеството на изпълнение.</w:t>
      </w:r>
    </w:p>
    <w:p w14:paraId="73300279" w14:textId="77777777" w:rsidR="00B572B1" w:rsidRPr="006F3533" w:rsidRDefault="00B572B1" w:rsidP="00551FED">
      <w:pPr>
        <w:numPr>
          <w:ilvl w:val="0"/>
          <w:numId w:val="71"/>
        </w:numPr>
        <w:spacing w:line="240" w:lineRule="auto"/>
        <w:jc w:val="both"/>
        <w:rPr>
          <w:rFonts w:eastAsia="Times New Roman" w:cs="Times New Roman"/>
          <w:szCs w:val="24"/>
          <w:lang w:val="bg-BG" w:eastAsia="bg-BG"/>
        </w:rPr>
      </w:pPr>
      <w:proofErr w:type="spellStart"/>
      <w:r w:rsidRPr="006F3533">
        <w:rPr>
          <w:rFonts w:eastAsia="Times New Roman" w:cs="Times New Roman"/>
          <w:b/>
          <w:bCs/>
          <w:szCs w:val="24"/>
          <w:lang w:val="bg-BG" w:eastAsia="bg-BG"/>
        </w:rPr>
        <w:t>Клийнтех</w:t>
      </w:r>
      <w:proofErr w:type="spellEnd"/>
      <w:r w:rsidRPr="006F3533">
        <w:rPr>
          <w:rFonts w:eastAsia="Times New Roman" w:cs="Times New Roman"/>
          <w:b/>
          <w:bCs/>
          <w:szCs w:val="24"/>
          <w:lang w:val="bg-BG" w:eastAsia="bg-BG"/>
        </w:rPr>
        <w:t xml:space="preserve"> България</w:t>
      </w:r>
      <w:r w:rsidRPr="006F3533">
        <w:rPr>
          <w:rFonts w:eastAsia="Times New Roman" w:cs="Times New Roman"/>
          <w:szCs w:val="24"/>
          <w:lang w:val="bg-BG" w:eastAsia="bg-BG"/>
        </w:rPr>
        <w:t xml:space="preserve"> – изпълнява  проекти и инициативи в областта на иновациите в строителството и проекти като „BUILD </w:t>
      </w:r>
      <w:proofErr w:type="spellStart"/>
      <w:r w:rsidRPr="006F3533">
        <w:rPr>
          <w:rFonts w:eastAsia="Times New Roman" w:cs="Times New Roman"/>
          <w:szCs w:val="24"/>
          <w:lang w:val="bg-BG" w:eastAsia="bg-BG"/>
        </w:rPr>
        <w:t>Skills</w:t>
      </w:r>
      <w:proofErr w:type="spellEnd"/>
      <w:r w:rsidRPr="006F3533">
        <w:rPr>
          <w:rFonts w:eastAsia="Times New Roman" w:cs="Times New Roman"/>
          <w:szCs w:val="24"/>
          <w:lang w:val="bg-BG" w:eastAsia="bg-BG"/>
        </w:rPr>
        <w:t xml:space="preserve"> Academy“ и „Construction </w:t>
      </w:r>
      <w:proofErr w:type="spellStart"/>
      <w:r w:rsidRPr="006F3533">
        <w:rPr>
          <w:rFonts w:eastAsia="Times New Roman" w:cs="Times New Roman"/>
          <w:szCs w:val="24"/>
          <w:lang w:val="bg-BG" w:eastAsia="bg-BG"/>
        </w:rPr>
        <w:t>Blueprint</w:t>
      </w:r>
      <w:proofErr w:type="spellEnd"/>
      <w:r w:rsidRPr="006F3533">
        <w:rPr>
          <w:rFonts w:eastAsia="Times New Roman" w:cs="Times New Roman"/>
          <w:szCs w:val="24"/>
          <w:lang w:val="bg-BG" w:eastAsia="bg-BG"/>
        </w:rPr>
        <w:t xml:space="preserve"> 2.0“</w:t>
      </w:r>
    </w:p>
    <w:p w14:paraId="13DBC2FD" w14:textId="77777777" w:rsidR="00B572B1" w:rsidRPr="006F3533" w:rsidRDefault="00B572B1" w:rsidP="00551FED">
      <w:pPr>
        <w:numPr>
          <w:ilvl w:val="0"/>
          <w:numId w:val="71"/>
        </w:numPr>
        <w:spacing w:line="240" w:lineRule="auto"/>
        <w:jc w:val="both"/>
        <w:rPr>
          <w:rFonts w:eastAsia="Times New Roman" w:cs="Times New Roman"/>
          <w:szCs w:val="24"/>
          <w:lang w:val="bg-BG" w:eastAsia="bg-BG"/>
        </w:rPr>
      </w:pPr>
      <w:r w:rsidRPr="006F3533">
        <w:rPr>
          <w:rFonts w:eastAsia="Times New Roman" w:cs="Times New Roman"/>
          <w:b/>
          <w:bCs/>
          <w:szCs w:val="24"/>
          <w:lang w:val="bg-BG" w:eastAsia="bg-BG"/>
        </w:rPr>
        <w:t>Камара на инсталаторите в България и Софийски енергиен център</w:t>
      </w:r>
      <w:r w:rsidRPr="006F3533">
        <w:rPr>
          <w:rFonts w:eastAsia="Times New Roman" w:cs="Times New Roman"/>
          <w:szCs w:val="24"/>
          <w:lang w:val="bg-BG" w:eastAsia="bg-BG"/>
        </w:rPr>
        <w:t xml:space="preserve"> – съвместните им проекти подпомагат стандартизацията на уменията и практическите обучения и обученията на преподаватели в областта. </w:t>
      </w:r>
    </w:p>
    <w:p w14:paraId="70D40E18" w14:textId="77777777" w:rsidR="00B572B1" w:rsidRPr="006F3533" w:rsidRDefault="00B572B1" w:rsidP="00551FED">
      <w:pPr>
        <w:numPr>
          <w:ilvl w:val="0"/>
          <w:numId w:val="71"/>
        </w:numPr>
        <w:spacing w:line="240" w:lineRule="auto"/>
        <w:jc w:val="both"/>
        <w:rPr>
          <w:rFonts w:eastAsia="Times New Roman" w:cs="Times New Roman"/>
          <w:szCs w:val="24"/>
          <w:lang w:val="bg-BG" w:eastAsia="bg-BG"/>
        </w:rPr>
      </w:pPr>
      <w:proofErr w:type="spellStart"/>
      <w:r w:rsidRPr="006F3533">
        <w:rPr>
          <w:rFonts w:eastAsia="Times New Roman" w:cs="Times New Roman"/>
          <w:b/>
          <w:bCs/>
          <w:szCs w:val="24"/>
          <w:lang w:val="bg-BG" w:eastAsia="bg-BG"/>
        </w:rPr>
        <w:t>БауАкадеми</w:t>
      </w:r>
      <w:proofErr w:type="spellEnd"/>
      <w:r w:rsidRPr="006F3533">
        <w:rPr>
          <w:rFonts w:eastAsia="Times New Roman" w:cs="Times New Roman"/>
          <w:szCs w:val="24"/>
          <w:lang w:val="bg-BG" w:eastAsia="bg-BG"/>
        </w:rPr>
        <w:t xml:space="preserve"> – като пример за работещ модел на практическо обучение и квалификация в строителството, приложим за мащабиране на продължаващото професионално обучение.</w:t>
      </w:r>
    </w:p>
    <w:p w14:paraId="122D92AD" w14:textId="77777777" w:rsidR="00B572B1" w:rsidRPr="006F3533" w:rsidRDefault="00B572B1" w:rsidP="00077D42">
      <w:pPr>
        <w:spacing w:line="240" w:lineRule="auto"/>
        <w:jc w:val="both"/>
        <w:rPr>
          <w:rFonts w:eastAsia="Times New Roman" w:cs="Times New Roman"/>
          <w:b/>
          <w:bCs/>
          <w:szCs w:val="24"/>
          <w:lang w:val="bg-BG" w:eastAsia="bg-BG"/>
        </w:rPr>
      </w:pPr>
      <w:r w:rsidRPr="006F3533">
        <w:rPr>
          <w:rFonts w:eastAsia="Times New Roman" w:cs="Times New Roman"/>
          <w:b/>
          <w:bCs/>
          <w:szCs w:val="24"/>
          <w:lang w:val="bg-BG" w:eastAsia="bg-BG"/>
        </w:rPr>
        <w:t>Фокус върху системи за продължаващо професионално обучение за всички професии</w:t>
      </w:r>
    </w:p>
    <w:p w14:paraId="7960B64F" w14:textId="77777777" w:rsidR="00B572B1" w:rsidRPr="006F3533" w:rsidRDefault="00B572B1" w:rsidP="00077D42">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В съответствие с пътната карта, приоритет е да се изгради </w:t>
      </w:r>
      <w:r w:rsidRPr="006F3533">
        <w:rPr>
          <w:rFonts w:eastAsia="Times New Roman" w:cs="Times New Roman"/>
          <w:b/>
          <w:bCs/>
          <w:szCs w:val="24"/>
          <w:lang w:val="bg-BG" w:eastAsia="bg-BG"/>
        </w:rPr>
        <w:t>устойчива система за продължаващо професионално обучение</w:t>
      </w:r>
      <w:r w:rsidRPr="006F3533">
        <w:rPr>
          <w:rFonts w:eastAsia="Times New Roman" w:cs="Times New Roman"/>
          <w:szCs w:val="24"/>
          <w:lang w:val="bg-BG" w:eastAsia="bg-BG"/>
        </w:rPr>
        <w:t xml:space="preserve"> за всички свързани </w:t>
      </w:r>
      <w:proofErr w:type="spellStart"/>
      <w:r w:rsidRPr="006F3533">
        <w:rPr>
          <w:rFonts w:eastAsia="Times New Roman" w:cs="Times New Roman"/>
          <w:szCs w:val="24"/>
          <w:lang w:val="bg-BG" w:eastAsia="bg-BG"/>
        </w:rPr>
        <w:t>провесии</w:t>
      </w:r>
      <w:proofErr w:type="spellEnd"/>
      <w:r w:rsidRPr="006F3533">
        <w:rPr>
          <w:rFonts w:eastAsia="Times New Roman" w:cs="Times New Roman"/>
          <w:szCs w:val="24"/>
          <w:lang w:val="bg-BG" w:eastAsia="bg-BG"/>
        </w:rPr>
        <w:t xml:space="preserve"> под координацията на съответните браншовите камари и в сътрудничество с публичните власти (МОН, НАПОО, АУЕР), обучителните и образователните институции и професионалния сектор, която:</w:t>
      </w:r>
    </w:p>
    <w:p w14:paraId="0E3EEF23" w14:textId="77777777" w:rsidR="00B572B1" w:rsidRPr="006F3533" w:rsidRDefault="00B572B1" w:rsidP="00551FED">
      <w:pPr>
        <w:numPr>
          <w:ilvl w:val="0"/>
          <w:numId w:val="72"/>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да покрива </w:t>
      </w:r>
      <w:r w:rsidRPr="006F3533">
        <w:rPr>
          <w:rFonts w:eastAsia="Times New Roman" w:cs="Times New Roman"/>
          <w:b/>
          <w:bCs/>
          <w:szCs w:val="24"/>
          <w:lang w:val="bg-BG" w:eastAsia="bg-BG"/>
        </w:rPr>
        <w:t>целия цикъл</w:t>
      </w:r>
      <w:r w:rsidRPr="006F3533">
        <w:rPr>
          <w:rFonts w:eastAsia="Times New Roman" w:cs="Times New Roman"/>
          <w:szCs w:val="24"/>
          <w:lang w:val="bg-BG" w:eastAsia="bg-BG"/>
        </w:rPr>
        <w:t>: проектиране → изпълнение → контрол → експлоатация;</w:t>
      </w:r>
    </w:p>
    <w:p w14:paraId="1F68BDB3" w14:textId="77777777" w:rsidR="00B572B1" w:rsidRPr="006F3533" w:rsidRDefault="00B572B1" w:rsidP="00551FED">
      <w:pPr>
        <w:numPr>
          <w:ilvl w:val="0"/>
          <w:numId w:val="72"/>
        </w:num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да осигурява </w:t>
      </w:r>
      <w:r w:rsidRPr="006F3533">
        <w:rPr>
          <w:rFonts w:eastAsia="Times New Roman" w:cs="Times New Roman"/>
          <w:b/>
          <w:bCs/>
          <w:szCs w:val="24"/>
          <w:lang w:val="bg-BG" w:eastAsia="bg-BG"/>
        </w:rPr>
        <w:t>периодично обновяване на компетентности</w:t>
      </w:r>
      <w:r w:rsidRPr="006F3533">
        <w:rPr>
          <w:rFonts w:eastAsia="Times New Roman" w:cs="Times New Roman"/>
          <w:szCs w:val="24"/>
          <w:lang w:val="bg-BG" w:eastAsia="bg-BG"/>
        </w:rPr>
        <w:t xml:space="preserve"> при нови изисквания (възобновяеми източници, автоматизация, качество на вътрешната среда, нисковъглеродни материали, кръгова икономика);</w:t>
      </w:r>
    </w:p>
    <w:p w14:paraId="01537FA0" w14:textId="2CB9E135" w:rsidR="00B21480" w:rsidRPr="006F3533" w:rsidRDefault="00B572B1" w:rsidP="00551FED">
      <w:pPr>
        <w:numPr>
          <w:ilvl w:val="0"/>
          <w:numId w:val="72"/>
        </w:numPr>
        <w:spacing w:line="240" w:lineRule="auto"/>
        <w:jc w:val="both"/>
        <w:rPr>
          <w:rFonts w:eastAsia="Times New Roman" w:cs="Times New Roman"/>
          <w:szCs w:val="24"/>
          <w:lang w:val="bg-BG" w:eastAsia="bg-BG"/>
        </w:rPr>
        <w:sectPr w:rsidR="00B21480" w:rsidRPr="006F3533" w:rsidSect="00D27BA3">
          <w:pgSz w:w="12240" w:h="15840"/>
          <w:pgMar w:top="1440" w:right="1440" w:bottom="1440" w:left="1440" w:header="708" w:footer="708" w:gutter="0"/>
          <w:cols w:space="708"/>
          <w:docGrid w:linePitch="360"/>
        </w:sectPr>
      </w:pPr>
      <w:r w:rsidRPr="006F3533">
        <w:rPr>
          <w:rFonts w:eastAsia="Times New Roman" w:cs="Times New Roman"/>
          <w:szCs w:val="24"/>
          <w:lang w:val="bg-BG" w:eastAsia="bg-BG"/>
        </w:rPr>
        <w:t xml:space="preserve">да е свързана с </w:t>
      </w:r>
      <w:r w:rsidRPr="006F3533">
        <w:rPr>
          <w:rFonts w:eastAsia="Times New Roman" w:cs="Times New Roman"/>
          <w:b/>
          <w:bCs/>
          <w:szCs w:val="24"/>
          <w:lang w:val="bg-BG" w:eastAsia="bg-BG"/>
        </w:rPr>
        <w:t>изискванията в програмите за финансиране</w:t>
      </w:r>
      <w:r w:rsidRPr="006F3533">
        <w:rPr>
          <w:rFonts w:eastAsia="Times New Roman" w:cs="Times New Roman"/>
          <w:szCs w:val="24"/>
          <w:lang w:val="bg-BG" w:eastAsia="bg-BG"/>
        </w:rPr>
        <w:t xml:space="preserve"> и с критериите за качество при обществените поръчки, така че търсенето на квалифицирани кадри да бъде подкрепено от пазара</w:t>
      </w:r>
      <w:r w:rsidR="00B21480" w:rsidRPr="006F3533">
        <w:rPr>
          <w:rFonts w:eastAsia="Times New Roman" w:cs="Times New Roman"/>
          <w:szCs w:val="24"/>
          <w:lang w:val="bg-BG" w:eastAsia="bg-BG"/>
        </w:rPr>
        <w:t>.</w:t>
      </w:r>
    </w:p>
    <w:p w14:paraId="10424769" w14:textId="77777777" w:rsidR="00B572B1" w:rsidRPr="006F3533" w:rsidRDefault="00B572B1" w:rsidP="005B7693">
      <w:pPr>
        <w:spacing w:line="240" w:lineRule="auto"/>
        <w:ind w:left="360"/>
        <w:jc w:val="both"/>
        <w:rPr>
          <w:rFonts w:eastAsia="Times New Roman" w:cs="Times New Roman"/>
          <w:szCs w:val="24"/>
          <w:lang w:val="bg-BG" w:eastAsia="bg-BG"/>
        </w:rPr>
      </w:pPr>
    </w:p>
    <w:tbl>
      <w:tblPr>
        <w:tblStyle w:val="GridTable5Dark-Accent1"/>
        <w:tblW w:w="0" w:type="auto"/>
        <w:tblLook w:val="04A0" w:firstRow="1" w:lastRow="0" w:firstColumn="1" w:lastColumn="0" w:noHBand="0" w:noVBand="1"/>
      </w:tblPr>
      <w:tblGrid>
        <w:gridCol w:w="447"/>
        <w:gridCol w:w="1923"/>
        <w:gridCol w:w="2874"/>
        <w:gridCol w:w="1811"/>
        <w:gridCol w:w="2732"/>
        <w:gridCol w:w="1322"/>
        <w:gridCol w:w="1841"/>
      </w:tblGrid>
      <w:tr w:rsidR="005B7693" w:rsidRPr="006F3533" w14:paraId="30822E8E" w14:textId="77777777" w:rsidTr="005B76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2D0989D" w14:textId="77777777" w:rsidR="005B7693" w:rsidRPr="006F3533" w:rsidRDefault="005B7693" w:rsidP="005B7693">
            <w:pPr>
              <w:spacing w:after="160"/>
              <w:jc w:val="both"/>
              <w:rPr>
                <w:rFonts w:eastAsia="Times New Roman" w:cs="Times New Roman"/>
                <w:sz w:val="22"/>
                <w:lang w:eastAsia="bg-BG"/>
              </w:rPr>
            </w:pPr>
            <w:r w:rsidRPr="006F3533">
              <w:rPr>
                <w:rFonts w:eastAsia="Times New Roman" w:cs="Times New Roman"/>
                <w:sz w:val="22"/>
                <w:lang w:eastAsia="bg-BG"/>
              </w:rPr>
              <w:t>№</w:t>
            </w:r>
          </w:p>
        </w:tc>
        <w:tc>
          <w:tcPr>
            <w:tcW w:w="0" w:type="auto"/>
            <w:hideMark/>
          </w:tcPr>
          <w:p w14:paraId="077B9535" w14:textId="77777777" w:rsidR="005B7693" w:rsidRPr="006F3533" w:rsidRDefault="005B7693" w:rsidP="005B7693">
            <w:pPr>
              <w:spacing w:after="16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Реформа / мярка</w:t>
            </w:r>
          </w:p>
        </w:tc>
        <w:tc>
          <w:tcPr>
            <w:tcW w:w="0" w:type="auto"/>
            <w:hideMark/>
          </w:tcPr>
          <w:p w14:paraId="2B17C163" w14:textId="77777777" w:rsidR="005B7693" w:rsidRPr="006F3533" w:rsidRDefault="005B7693" w:rsidP="005B7693">
            <w:pPr>
              <w:spacing w:after="16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Съдържание и обхват</w:t>
            </w:r>
          </w:p>
        </w:tc>
        <w:tc>
          <w:tcPr>
            <w:tcW w:w="0" w:type="auto"/>
            <w:hideMark/>
          </w:tcPr>
          <w:p w14:paraId="4962B01B" w14:textId="77777777" w:rsidR="005B7693" w:rsidRPr="006F3533" w:rsidRDefault="005B7693" w:rsidP="005B7693">
            <w:pPr>
              <w:spacing w:after="16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Отговорни институции</w:t>
            </w:r>
          </w:p>
        </w:tc>
        <w:tc>
          <w:tcPr>
            <w:tcW w:w="0" w:type="auto"/>
            <w:hideMark/>
          </w:tcPr>
          <w:p w14:paraId="6A0ADE0A" w14:textId="77777777" w:rsidR="005B7693" w:rsidRPr="006F3533" w:rsidRDefault="005B7693" w:rsidP="005B7693">
            <w:pPr>
              <w:spacing w:after="16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Необходими законови / нормативни промени</w:t>
            </w:r>
          </w:p>
        </w:tc>
        <w:tc>
          <w:tcPr>
            <w:tcW w:w="1322" w:type="dxa"/>
            <w:hideMark/>
          </w:tcPr>
          <w:p w14:paraId="3DF5047E" w14:textId="77777777" w:rsidR="005B7693" w:rsidRPr="006F3533" w:rsidRDefault="005B7693" w:rsidP="005B7693">
            <w:pPr>
              <w:spacing w:after="16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Срок</w:t>
            </w:r>
          </w:p>
        </w:tc>
        <w:tc>
          <w:tcPr>
            <w:tcW w:w="1756" w:type="dxa"/>
            <w:hideMark/>
          </w:tcPr>
          <w:p w14:paraId="7BBA2DF6" w14:textId="77777777" w:rsidR="005B7693" w:rsidRPr="006F3533" w:rsidRDefault="005B7693" w:rsidP="005B7693">
            <w:pPr>
              <w:spacing w:after="160"/>
              <w:jc w:val="both"/>
              <w:cnfStyle w:val="100000000000" w:firstRow="1"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Източници на финансиране</w:t>
            </w:r>
          </w:p>
        </w:tc>
      </w:tr>
      <w:tr w:rsidR="005B7693" w:rsidRPr="006F3533" w14:paraId="45E839F4" w14:textId="77777777" w:rsidTr="005B76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D40BE8D" w14:textId="77777777" w:rsidR="005B7693" w:rsidRPr="006F3533" w:rsidRDefault="005B7693" w:rsidP="005B7693">
            <w:pPr>
              <w:spacing w:after="160"/>
              <w:jc w:val="both"/>
              <w:rPr>
                <w:rFonts w:eastAsia="Times New Roman" w:cs="Times New Roman"/>
                <w:sz w:val="22"/>
                <w:lang w:eastAsia="bg-BG"/>
              </w:rPr>
            </w:pPr>
            <w:r w:rsidRPr="006F3533">
              <w:rPr>
                <w:rFonts w:eastAsia="Times New Roman" w:cs="Times New Roman"/>
                <w:sz w:val="22"/>
                <w:lang w:eastAsia="bg-BG"/>
              </w:rPr>
              <w:t>1</w:t>
            </w:r>
          </w:p>
        </w:tc>
        <w:tc>
          <w:tcPr>
            <w:tcW w:w="0" w:type="auto"/>
            <w:hideMark/>
          </w:tcPr>
          <w:p w14:paraId="07DAED36"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Засилване на ролята на секторните съвети по уменията и браншовите организации</w:t>
            </w:r>
          </w:p>
        </w:tc>
        <w:tc>
          <w:tcPr>
            <w:tcW w:w="0" w:type="auto"/>
            <w:hideMark/>
          </w:tcPr>
          <w:p w14:paraId="74CAD6C1" w14:textId="41521512"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Институционализиране на водещата роля на секторните съвети по уменията и браншовите организации (КСБ, КАБ, КИИП, Камара на инсталаторите и др.) при определяне на профили на компетентности, формулиране на изисквания за продължаваща квалификация и участие в мониторинга на нуждите от умения</w:t>
            </w:r>
          </w:p>
        </w:tc>
        <w:tc>
          <w:tcPr>
            <w:tcW w:w="0" w:type="auto"/>
            <w:hideMark/>
          </w:tcPr>
          <w:p w14:paraId="249D956A"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МОН, НАПОО, секторни съвети по уменията, браншови и професионални организации</w:t>
            </w:r>
          </w:p>
        </w:tc>
        <w:tc>
          <w:tcPr>
            <w:tcW w:w="0" w:type="auto"/>
            <w:hideMark/>
          </w:tcPr>
          <w:p w14:paraId="4C79BB2E"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 xml:space="preserve">Изменение и допълнение на </w:t>
            </w:r>
            <w:r w:rsidRPr="006F3533">
              <w:rPr>
                <w:rFonts w:eastAsia="Times New Roman" w:cs="Times New Roman"/>
                <w:b/>
                <w:bCs/>
                <w:sz w:val="22"/>
                <w:lang w:eastAsia="bg-BG"/>
              </w:rPr>
              <w:t>Закона за професионалното образование и обучение (ЗПОО)</w:t>
            </w:r>
            <w:r w:rsidRPr="006F3533">
              <w:rPr>
                <w:rFonts w:eastAsia="Times New Roman" w:cs="Times New Roman"/>
                <w:sz w:val="22"/>
                <w:lang w:eastAsia="bg-BG"/>
              </w:rPr>
              <w:t xml:space="preserve"> – разширяване и формализиране на ролята на секторните съвети и браншовите организации в управлението на уменията</w:t>
            </w:r>
          </w:p>
        </w:tc>
        <w:tc>
          <w:tcPr>
            <w:tcW w:w="1322" w:type="dxa"/>
            <w:hideMark/>
          </w:tcPr>
          <w:p w14:paraId="750EABF9" w14:textId="4D9A28A1"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2026-2028</w:t>
            </w:r>
          </w:p>
        </w:tc>
        <w:tc>
          <w:tcPr>
            <w:tcW w:w="1756" w:type="dxa"/>
            <w:hideMark/>
          </w:tcPr>
          <w:p w14:paraId="4EE86E9C"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Държавен бюджет; ЕСФ+; Програма „Образование“</w:t>
            </w:r>
          </w:p>
        </w:tc>
      </w:tr>
      <w:tr w:rsidR="005B7693" w:rsidRPr="006F3533" w14:paraId="3CF09623" w14:textId="77777777" w:rsidTr="005B7693">
        <w:tc>
          <w:tcPr>
            <w:cnfStyle w:val="001000000000" w:firstRow="0" w:lastRow="0" w:firstColumn="1" w:lastColumn="0" w:oddVBand="0" w:evenVBand="0" w:oddHBand="0" w:evenHBand="0" w:firstRowFirstColumn="0" w:firstRowLastColumn="0" w:lastRowFirstColumn="0" w:lastRowLastColumn="0"/>
            <w:tcW w:w="0" w:type="auto"/>
            <w:hideMark/>
          </w:tcPr>
          <w:p w14:paraId="790412F7" w14:textId="77777777" w:rsidR="005B7693" w:rsidRPr="006F3533" w:rsidRDefault="005B7693" w:rsidP="005B7693">
            <w:pPr>
              <w:spacing w:after="160"/>
              <w:jc w:val="both"/>
              <w:rPr>
                <w:rFonts w:eastAsia="Times New Roman" w:cs="Times New Roman"/>
                <w:sz w:val="22"/>
                <w:lang w:eastAsia="bg-BG"/>
              </w:rPr>
            </w:pPr>
            <w:r w:rsidRPr="006F3533">
              <w:rPr>
                <w:rFonts w:eastAsia="Times New Roman" w:cs="Times New Roman"/>
                <w:sz w:val="22"/>
                <w:lang w:eastAsia="bg-BG"/>
              </w:rPr>
              <w:t>2</w:t>
            </w:r>
          </w:p>
        </w:tc>
        <w:tc>
          <w:tcPr>
            <w:tcW w:w="0" w:type="auto"/>
            <w:hideMark/>
          </w:tcPr>
          <w:p w14:paraId="2C5878F4" w14:textId="41BCE5B2"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Осъвременяване на учебните програми</w:t>
            </w:r>
          </w:p>
        </w:tc>
        <w:tc>
          <w:tcPr>
            <w:tcW w:w="0" w:type="auto"/>
            <w:hideMark/>
          </w:tcPr>
          <w:p w14:paraId="5924FFC8" w14:textId="29FDF34A"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 xml:space="preserve">Актуализация учебните планове и изпитните програми в професионалното образование по професиите от направления „Архитектура и строителство“ и „Електротехника и енергетика“, с включване на енергийна ефективност, ВЕИ, НЕС, интелигентни системи, качество на </w:t>
            </w:r>
            <w:r w:rsidRPr="006F3533">
              <w:rPr>
                <w:rFonts w:eastAsia="Times New Roman" w:cs="Times New Roman"/>
                <w:sz w:val="22"/>
                <w:lang w:eastAsia="bg-BG"/>
              </w:rPr>
              <w:lastRenderedPageBreak/>
              <w:t>изпълнение и кръгова икономика</w:t>
            </w:r>
          </w:p>
        </w:tc>
        <w:tc>
          <w:tcPr>
            <w:tcW w:w="0" w:type="auto"/>
            <w:hideMark/>
          </w:tcPr>
          <w:p w14:paraId="7B757F02" w14:textId="77777777"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lastRenderedPageBreak/>
              <w:t>МОН, НАПОО, професионални гимназии, секторни съвети по уменията</w:t>
            </w:r>
          </w:p>
        </w:tc>
        <w:tc>
          <w:tcPr>
            <w:tcW w:w="0" w:type="auto"/>
            <w:hideMark/>
          </w:tcPr>
          <w:p w14:paraId="65966A62" w14:textId="77777777"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 xml:space="preserve">Изменения в </w:t>
            </w:r>
            <w:r w:rsidRPr="006F3533">
              <w:rPr>
                <w:rFonts w:eastAsia="Times New Roman" w:cs="Times New Roman"/>
                <w:b/>
                <w:bCs/>
                <w:sz w:val="22"/>
                <w:lang w:eastAsia="bg-BG"/>
              </w:rPr>
              <w:t>държавните образователни стандарти</w:t>
            </w:r>
            <w:r w:rsidRPr="006F3533">
              <w:rPr>
                <w:rFonts w:eastAsia="Times New Roman" w:cs="Times New Roman"/>
                <w:sz w:val="22"/>
                <w:lang w:eastAsia="bg-BG"/>
              </w:rPr>
              <w:t xml:space="preserve"> и подзаконовите актове към ЗПОО; актуализация на националните изпитни програми</w:t>
            </w:r>
          </w:p>
        </w:tc>
        <w:tc>
          <w:tcPr>
            <w:tcW w:w="1322" w:type="dxa"/>
            <w:hideMark/>
          </w:tcPr>
          <w:p w14:paraId="567C18C7" w14:textId="793E4133"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2026-2027</w:t>
            </w:r>
          </w:p>
        </w:tc>
        <w:tc>
          <w:tcPr>
            <w:tcW w:w="1756" w:type="dxa"/>
            <w:hideMark/>
          </w:tcPr>
          <w:p w14:paraId="71CF68B3" w14:textId="77777777"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Държавен бюджет; Програма „Образование“; ЕСФ+</w:t>
            </w:r>
          </w:p>
        </w:tc>
      </w:tr>
      <w:tr w:rsidR="005B7693" w:rsidRPr="006F3533" w14:paraId="2736002A" w14:textId="77777777" w:rsidTr="005B76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BC80F9" w14:textId="77777777" w:rsidR="005B7693" w:rsidRPr="006F3533" w:rsidRDefault="005B7693" w:rsidP="005B7693">
            <w:pPr>
              <w:spacing w:after="160"/>
              <w:jc w:val="both"/>
              <w:rPr>
                <w:rFonts w:eastAsia="Times New Roman" w:cs="Times New Roman"/>
                <w:sz w:val="22"/>
                <w:lang w:eastAsia="bg-BG"/>
              </w:rPr>
            </w:pPr>
            <w:r w:rsidRPr="006F3533">
              <w:rPr>
                <w:rFonts w:eastAsia="Times New Roman" w:cs="Times New Roman"/>
                <w:sz w:val="22"/>
                <w:lang w:eastAsia="bg-BG"/>
              </w:rPr>
              <w:t>3</w:t>
            </w:r>
          </w:p>
        </w:tc>
        <w:tc>
          <w:tcPr>
            <w:tcW w:w="0" w:type="auto"/>
            <w:hideMark/>
          </w:tcPr>
          <w:p w14:paraId="7EACBC80"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Национална система за продължаващо професионално обучение (ППО) за всички нива</w:t>
            </w:r>
          </w:p>
        </w:tc>
        <w:tc>
          <w:tcPr>
            <w:tcW w:w="0" w:type="auto"/>
            <w:hideMark/>
          </w:tcPr>
          <w:p w14:paraId="43C87801"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Създаване на единна национална рамка за продължаващо професионално обучение, обхващаща работници, техници, проектанти, архитекти и инженери; въвеждане на модулни обучения, микроквалификации и кредити за ППО; обвързване на ППО с правото на упражняване на професията и с критериите за достъп до публично финансиране</w:t>
            </w:r>
          </w:p>
        </w:tc>
        <w:tc>
          <w:tcPr>
            <w:tcW w:w="0" w:type="auto"/>
            <w:hideMark/>
          </w:tcPr>
          <w:p w14:paraId="7CB0A1CA"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МОН, НАПОО, висши училища, браншови организации, професионални камари</w:t>
            </w:r>
          </w:p>
        </w:tc>
        <w:tc>
          <w:tcPr>
            <w:tcW w:w="0" w:type="auto"/>
            <w:hideMark/>
          </w:tcPr>
          <w:p w14:paraId="1F3BC403"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 xml:space="preserve">Изменение на </w:t>
            </w:r>
            <w:r w:rsidRPr="006F3533">
              <w:rPr>
                <w:rFonts w:eastAsia="Times New Roman" w:cs="Times New Roman"/>
                <w:b/>
                <w:bCs/>
                <w:sz w:val="22"/>
                <w:lang w:eastAsia="bg-BG"/>
              </w:rPr>
              <w:t>ЗПОО</w:t>
            </w:r>
            <w:r w:rsidRPr="006F3533">
              <w:rPr>
                <w:rFonts w:eastAsia="Times New Roman" w:cs="Times New Roman"/>
                <w:sz w:val="22"/>
                <w:lang w:eastAsia="bg-BG"/>
              </w:rPr>
              <w:t xml:space="preserve"> – разширяване на ППО към високи квалификации; </w:t>
            </w:r>
            <w:r w:rsidRPr="006F3533">
              <w:rPr>
                <w:rFonts w:eastAsia="Times New Roman" w:cs="Times New Roman"/>
                <w:b/>
                <w:bCs/>
                <w:sz w:val="22"/>
                <w:lang w:eastAsia="bg-BG"/>
              </w:rPr>
              <w:t>изменение на Закона за висшето образование (ЗВО)</w:t>
            </w:r>
            <w:r w:rsidRPr="006F3533">
              <w:rPr>
                <w:rFonts w:eastAsia="Times New Roman" w:cs="Times New Roman"/>
                <w:sz w:val="22"/>
                <w:lang w:eastAsia="bg-BG"/>
              </w:rPr>
              <w:t xml:space="preserve"> – правна рамка за продължаващо обучение на висококвалифицирани кадри в сътрудничество с браншовите камари; изменения в подзаконови актове</w:t>
            </w:r>
          </w:p>
        </w:tc>
        <w:tc>
          <w:tcPr>
            <w:tcW w:w="1322" w:type="dxa"/>
            <w:hideMark/>
          </w:tcPr>
          <w:p w14:paraId="52DB63DB" w14:textId="4205F574"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2026-2028</w:t>
            </w:r>
          </w:p>
        </w:tc>
        <w:tc>
          <w:tcPr>
            <w:tcW w:w="1756" w:type="dxa"/>
            <w:hideMark/>
          </w:tcPr>
          <w:p w14:paraId="4592AE50"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 xml:space="preserve">ЕСФ+; Програма „Образование“; Национален фонд за </w:t>
            </w:r>
            <w:proofErr w:type="spellStart"/>
            <w:r w:rsidRPr="006F3533">
              <w:rPr>
                <w:rFonts w:eastAsia="Times New Roman" w:cs="Times New Roman"/>
                <w:sz w:val="22"/>
                <w:lang w:eastAsia="bg-BG"/>
              </w:rPr>
              <w:t>декарбонизация</w:t>
            </w:r>
            <w:proofErr w:type="spellEnd"/>
            <w:r w:rsidRPr="006F3533">
              <w:rPr>
                <w:rFonts w:eastAsia="Times New Roman" w:cs="Times New Roman"/>
                <w:sz w:val="22"/>
                <w:lang w:eastAsia="bg-BG"/>
              </w:rPr>
              <w:t>; частно съфинансиране</w:t>
            </w:r>
          </w:p>
        </w:tc>
      </w:tr>
      <w:tr w:rsidR="005B7693" w:rsidRPr="006F3533" w14:paraId="06CBDED0" w14:textId="77777777" w:rsidTr="005B7693">
        <w:tc>
          <w:tcPr>
            <w:cnfStyle w:val="001000000000" w:firstRow="0" w:lastRow="0" w:firstColumn="1" w:lastColumn="0" w:oddVBand="0" w:evenVBand="0" w:oddHBand="0" w:evenHBand="0" w:firstRowFirstColumn="0" w:firstRowLastColumn="0" w:lastRowFirstColumn="0" w:lastRowLastColumn="0"/>
            <w:tcW w:w="0" w:type="auto"/>
            <w:hideMark/>
          </w:tcPr>
          <w:p w14:paraId="5DB12193" w14:textId="77777777" w:rsidR="005B7693" w:rsidRPr="006F3533" w:rsidRDefault="005B7693" w:rsidP="005B7693">
            <w:pPr>
              <w:spacing w:after="160"/>
              <w:jc w:val="both"/>
              <w:rPr>
                <w:rFonts w:eastAsia="Times New Roman" w:cs="Times New Roman"/>
                <w:sz w:val="22"/>
                <w:lang w:eastAsia="bg-BG"/>
              </w:rPr>
            </w:pPr>
            <w:r w:rsidRPr="006F3533">
              <w:rPr>
                <w:rFonts w:eastAsia="Times New Roman" w:cs="Times New Roman"/>
                <w:sz w:val="22"/>
                <w:lang w:eastAsia="bg-BG"/>
              </w:rPr>
              <w:t>4</w:t>
            </w:r>
          </w:p>
        </w:tc>
        <w:tc>
          <w:tcPr>
            <w:tcW w:w="0" w:type="auto"/>
            <w:hideMark/>
          </w:tcPr>
          <w:p w14:paraId="6F61E7D4" w14:textId="77777777"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 xml:space="preserve">Обучение и квалификация на преподаватели и </w:t>
            </w:r>
            <w:proofErr w:type="spellStart"/>
            <w:r w:rsidRPr="006F3533">
              <w:rPr>
                <w:rFonts w:eastAsia="Times New Roman" w:cs="Times New Roman"/>
                <w:sz w:val="22"/>
                <w:lang w:eastAsia="bg-BG"/>
              </w:rPr>
              <w:t>обучители</w:t>
            </w:r>
            <w:proofErr w:type="spellEnd"/>
          </w:p>
        </w:tc>
        <w:tc>
          <w:tcPr>
            <w:tcW w:w="0" w:type="auto"/>
            <w:hideMark/>
          </w:tcPr>
          <w:p w14:paraId="1A07B1A5" w14:textId="77777777"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 xml:space="preserve">Системно повишаване на квалификацията на преподавателите в професионалните гимназии, центровете за професионално обучение и висшите училища по теми като енергийна ефективност, ВЕИ, интелигентни технологии и качество на изпълнение; стимули за участие на практици от индустрията като </w:t>
            </w:r>
            <w:proofErr w:type="spellStart"/>
            <w:r w:rsidRPr="006F3533">
              <w:rPr>
                <w:rFonts w:eastAsia="Times New Roman" w:cs="Times New Roman"/>
                <w:sz w:val="22"/>
                <w:lang w:eastAsia="bg-BG"/>
              </w:rPr>
              <w:t>обучители</w:t>
            </w:r>
            <w:proofErr w:type="spellEnd"/>
          </w:p>
        </w:tc>
        <w:tc>
          <w:tcPr>
            <w:tcW w:w="0" w:type="auto"/>
            <w:hideMark/>
          </w:tcPr>
          <w:p w14:paraId="3436C3B6" w14:textId="77777777"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МОН, НАПОО, висши училища, браншови организации</w:t>
            </w:r>
          </w:p>
        </w:tc>
        <w:tc>
          <w:tcPr>
            <w:tcW w:w="0" w:type="auto"/>
            <w:hideMark/>
          </w:tcPr>
          <w:p w14:paraId="33FEDC82" w14:textId="77777777"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Изменения в подзаконовите актове към ЗПОО и ЗВО относно квалификацията и статута на преподавателите; въвеждане на стимули за обучения с участие на бизнеса</w:t>
            </w:r>
          </w:p>
        </w:tc>
        <w:tc>
          <w:tcPr>
            <w:tcW w:w="1322" w:type="dxa"/>
            <w:hideMark/>
          </w:tcPr>
          <w:p w14:paraId="535E3454" w14:textId="51CCE5CA"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2026-2029</w:t>
            </w:r>
          </w:p>
        </w:tc>
        <w:tc>
          <w:tcPr>
            <w:tcW w:w="1756" w:type="dxa"/>
            <w:hideMark/>
          </w:tcPr>
          <w:p w14:paraId="600A50D5" w14:textId="77777777" w:rsidR="005B7693" w:rsidRPr="006F3533" w:rsidRDefault="005B7693" w:rsidP="005B7693">
            <w:pPr>
              <w:spacing w:after="160"/>
              <w:jc w:val="both"/>
              <w:cnfStyle w:val="000000000000" w:firstRow="0" w:lastRow="0" w:firstColumn="0" w:lastColumn="0" w:oddVBand="0" w:evenVBand="0" w:oddHBand="0"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Програма „Образование“; ЕСФ+; национален бюджет</w:t>
            </w:r>
          </w:p>
        </w:tc>
      </w:tr>
      <w:tr w:rsidR="005B7693" w:rsidRPr="006F3533" w14:paraId="4A807B10" w14:textId="77777777" w:rsidTr="005B76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62F8676" w14:textId="77777777" w:rsidR="005B7693" w:rsidRPr="006F3533" w:rsidRDefault="005B7693" w:rsidP="005B7693">
            <w:pPr>
              <w:spacing w:after="160"/>
              <w:jc w:val="both"/>
              <w:rPr>
                <w:rFonts w:eastAsia="Times New Roman" w:cs="Times New Roman"/>
                <w:sz w:val="22"/>
                <w:lang w:eastAsia="bg-BG"/>
              </w:rPr>
            </w:pPr>
            <w:r w:rsidRPr="006F3533">
              <w:rPr>
                <w:rFonts w:eastAsia="Times New Roman" w:cs="Times New Roman"/>
                <w:sz w:val="22"/>
                <w:lang w:eastAsia="bg-BG"/>
              </w:rPr>
              <w:lastRenderedPageBreak/>
              <w:t>5</w:t>
            </w:r>
          </w:p>
        </w:tc>
        <w:tc>
          <w:tcPr>
            <w:tcW w:w="0" w:type="auto"/>
            <w:hideMark/>
          </w:tcPr>
          <w:p w14:paraId="78463FD8"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Национална система за мониторинг и прогнозиране на потребностите от умения</w:t>
            </w:r>
          </w:p>
        </w:tc>
        <w:tc>
          <w:tcPr>
            <w:tcW w:w="0" w:type="auto"/>
            <w:hideMark/>
          </w:tcPr>
          <w:p w14:paraId="3A0C3FA6"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Развитие на интегрирана система за ежегоден мониторинг и прогнозиране на потребностите от работна сила по квалификационни нива и региони, с използване на данни от строителния сектор, енергийните програми и регионалните планове</w:t>
            </w:r>
          </w:p>
        </w:tc>
        <w:tc>
          <w:tcPr>
            <w:tcW w:w="0" w:type="auto"/>
            <w:hideMark/>
          </w:tcPr>
          <w:p w14:paraId="02F298A7" w14:textId="6579E27F"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МОН, НАПОО, НСИ, МТСП, БСК, секторни съвети по уменията, браншови организации</w:t>
            </w:r>
          </w:p>
        </w:tc>
        <w:tc>
          <w:tcPr>
            <w:tcW w:w="0" w:type="auto"/>
            <w:hideMark/>
          </w:tcPr>
          <w:p w14:paraId="2FD6EDE0"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Подзаконови изменения към ЗПОО за въвеждане на задължителен цикъл на анализ и актуализация; координация с нормативната рамка за регионално развитие</w:t>
            </w:r>
          </w:p>
        </w:tc>
        <w:tc>
          <w:tcPr>
            <w:tcW w:w="1322" w:type="dxa"/>
            <w:hideMark/>
          </w:tcPr>
          <w:p w14:paraId="63706E7C" w14:textId="0C37D8C1"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2026-2027</w:t>
            </w:r>
          </w:p>
        </w:tc>
        <w:tc>
          <w:tcPr>
            <w:tcW w:w="1756" w:type="dxa"/>
            <w:hideMark/>
          </w:tcPr>
          <w:p w14:paraId="6B4B8028" w14:textId="77777777" w:rsidR="005B7693" w:rsidRPr="006F3533" w:rsidRDefault="005B7693" w:rsidP="005B7693">
            <w:pPr>
              <w:spacing w:after="160"/>
              <w:jc w:val="both"/>
              <w:cnfStyle w:val="000000100000" w:firstRow="0" w:lastRow="0" w:firstColumn="0" w:lastColumn="0" w:oddVBand="0" w:evenVBand="0" w:oddHBand="1" w:evenHBand="0" w:firstRowFirstColumn="0" w:firstRowLastColumn="0" w:lastRowFirstColumn="0" w:lastRowLastColumn="0"/>
              <w:rPr>
                <w:rFonts w:eastAsia="Times New Roman" w:cs="Times New Roman"/>
                <w:sz w:val="22"/>
                <w:lang w:eastAsia="bg-BG"/>
              </w:rPr>
            </w:pPr>
            <w:r w:rsidRPr="006F3533">
              <w:rPr>
                <w:rFonts w:eastAsia="Times New Roman" w:cs="Times New Roman"/>
                <w:sz w:val="22"/>
                <w:lang w:eastAsia="bg-BG"/>
              </w:rPr>
              <w:t>Държавен бюджет; ЕСФ+</w:t>
            </w:r>
          </w:p>
        </w:tc>
      </w:tr>
    </w:tbl>
    <w:p w14:paraId="09FC8DAA" w14:textId="77777777" w:rsidR="005B7693" w:rsidRPr="006F3533" w:rsidRDefault="005B7693" w:rsidP="005B7693">
      <w:pPr>
        <w:spacing w:line="240" w:lineRule="auto"/>
        <w:jc w:val="both"/>
        <w:rPr>
          <w:rFonts w:eastAsia="Times New Roman" w:cs="Times New Roman"/>
          <w:szCs w:val="24"/>
          <w:lang w:val="bg-BG" w:eastAsia="bg-BG"/>
        </w:rPr>
      </w:pPr>
    </w:p>
    <w:p w14:paraId="1EBCF5BA" w14:textId="77777777" w:rsidR="005B7693" w:rsidRPr="006F3533" w:rsidRDefault="005B7693" w:rsidP="005B7693">
      <w:pPr>
        <w:spacing w:line="240" w:lineRule="auto"/>
        <w:jc w:val="both"/>
        <w:rPr>
          <w:rFonts w:eastAsia="Times New Roman" w:cs="Times New Roman"/>
          <w:szCs w:val="24"/>
          <w:lang w:val="bg-BG" w:eastAsia="bg-BG"/>
        </w:rPr>
      </w:pPr>
    </w:p>
    <w:p w14:paraId="6F5F450F" w14:textId="77777777" w:rsidR="005B7693" w:rsidRPr="006F3533" w:rsidRDefault="005B7693" w:rsidP="005B7693">
      <w:pPr>
        <w:spacing w:line="240" w:lineRule="auto"/>
        <w:jc w:val="both"/>
        <w:rPr>
          <w:rFonts w:eastAsia="Times New Roman" w:cs="Times New Roman"/>
          <w:szCs w:val="24"/>
          <w:lang w:val="bg-BG" w:eastAsia="bg-BG"/>
        </w:rPr>
      </w:pPr>
    </w:p>
    <w:p w14:paraId="32B85306" w14:textId="77777777" w:rsidR="005B7693" w:rsidRPr="006F3533" w:rsidRDefault="005B7693" w:rsidP="005B7693">
      <w:pPr>
        <w:spacing w:line="240" w:lineRule="auto"/>
        <w:jc w:val="both"/>
        <w:rPr>
          <w:rFonts w:eastAsia="Times New Roman" w:cs="Times New Roman"/>
          <w:szCs w:val="24"/>
          <w:lang w:val="bg-BG" w:eastAsia="bg-BG"/>
        </w:rPr>
        <w:sectPr w:rsidR="005B7693" w:rsidRPr="006F3533" w:rsidSect="005B7693">
          <w:pgSz w:w="15840" w:h="12240" w:orient="landscape"/>
          <w:pgMar w:top="1440" w:right="1440" w:bottom="1440" w:left="1440" w:header="708" w:footer="708" w:gutter="0"/>
          <w:cols w:space="708"/>
          <w:docGrid w:linePitch="360"/>
        </w:sectPr>
      </w:pPr>
    </w:p>
    <w:p w14:paraId="755AAD54" w14:textId="77777777" w:rsidR="005B7693" w:rsidRPr="006F3533" w:rsidRDefault="005B7693" w:rsidP="005B7693">
      <w:pPr>
        <w:spacing w:line="240" w:lineRule="auto"/>
        <w:jc w:val="both"/>
        <w:rPr>
          <w:rFonts w:eastAsia="Times New Roman" w:cs="Times New Roman"/>
          <w:szCs w:val="24"/>
          <w:lang w:val="bg-BG" w:eastAsia="bg-BG"/>
        </w:rPr>
      </w:pPr>
    </w:p>
    <w:p w14:paraId="71CC33F0" w14:textId="77777777" w:rsidR="005B7693" w:rsidRPr="006F3533" w:rsidRDefault="005B7693" w:rsidP="005B7693">
      <w:pPr>
        <w:spacing w:line="240" w:lineRule="auto"/>
        <w:jc w:val="both"/>
        <w:rPr>
          <w:rFonts w:eastAsia="Times New Roman" w:cs="Times New Roman"/>
          <w:szCs w:val="24"/>
          <w:lang w:val="bg-BG" w:eastAsia="bg-BG"/>
        </w:rPr>
      </w:pPr>
    </w:p>
    <w:p w14:paraId="0E0F5C76" w14:textId="77777777" w:rsidR="00B572B1" w:rsidRPr="006F3533" w:rsidRDefault="00B572B1" w:rsidP="00077D42">
      <w:pPr>
        <w:pStyle w:val="Heading2"/>
        <w:jc w:val="both"/>
        <w:rPr>
          <w:lang w:val="bg-BG"/>
        </w:rPr>
      </w:pPr>
      <w:bookmarkStart w:id="378" w:name="_Toc217888885"/>
      <w:r w:rsidRPr="006F3533">
        <w:rPr>
          <w:lang w:val="bg-BG"/>
        </w:rPr>
        <w:t>(p) Кампании за повишаване на осведомеността и консултантски инструменти</w:t>
      </w:r>
      <w:bookmarkEnd w:id="378"/>
    </w:p>
    <w:p w14:paraId="7E5AD60F" w14:textId="06024E3F" w:rsidR="00B572B1" w:rsidRPr="006F3533" w:rsidRDefault="00B572B1" w:rsidP="00077D42">
      <w:pPr>
        <w:spacing w:line="240" w:lineRule="auto"/>
        <w:jc w:val="both"/>
        <w:rPr>
          <w:rFonts w:cs="Times New Roman"/>
          <w:b/>
          <w:bCs/>
          <w:szCs w:val="24"/>
          <w:lang w:val="bg-BG"/>
        </w:rPr>
      </w:pPr>
      <w:r w:rsidRPr="006F3533">
        <w:rPr>
          <w:rFonts w:cs="Times New Roman"/>
          <w:b/>
          <w:bCs/>
          <w:szCs w:val="24"/>
          <w:lang w:val="bg-BG"/>
        </w:rPr>
        <w:t>Настоящо състояние</w:t>
      </w:r>
    </w:p>
    <w:p w14:paraId="7DD2EA51"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В България съществуват значителни информационни и поведенчески бариери пред сградното обновяване, които допълват финансовите и административните пречки. Анализите за 2024 г. и опитът от предходни програми показват, че значителна част от собствениците на жилища и управителите на сгради не разполагат с достатъчна и надеждна информация относно ползите от дълбокото енергийно обновяване, наличните финансови инструменти, реалните разходи и очакваните спестявания, както и последователността на стъпките за подготовка и изпълнение на проекти.</w:t>
      </w:r>
    </w:p>
    <w:p w14:paraId="1F7422C8"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Особено ясно това се проявява при преминаването от 100% </w:t>
      </w:r>
      <w:proofErr w:type="spellStart"/>
      <w:r w:rsidRPr="006F3533">
        <w:rPr>
          <w:rFonts w:cs="Times New Roman"/>
          <w:szCs w:val="24"/>
          <w:lang w:val="bg-BG"/>
        </w:rPr>
        <w:t>грантови</w:t>
      </w:r>
      <w:proofErr w:type="spellEnd"/>
      <w:r w:rsidRPr="006F3533">
        <w:rPr>
          <w:rFonts w:cs="Times New Roman"/>
          <w:szCs w:val="24"/>
          <w:lang w:val="bg-BG"/>
        </w:rPr>
        <w:t xml:space="preserve"> схеми към модели със </w:t>
      </w:r>
      <w:r w:rsidRPr="006F3533">
        <w:rPr>
          <w:rFonts w:cs="Times New Roman"/>
          <w:b/>
          <w:bCs/>
          <w:szCs w:val="24"/>
          <w:lang w:val="bg-BG"/>
        </w:rPr>
        <w:t>съфинансиране от собствениците</w:t>
      </w:r>
      <w:r w:rsidRPr="006F3533">
        <w:rPr>
          <w:rFonts w:cs="Times New Roman"/>
          <w:szCs w:val="24"/>
          <w:lang w:val="bg-BG"/>
        </w:rPr>
        <w:t xml:space="preserve">, където липсата на доверие, разбираеми разяснения и персонализиран съвет води до ниска готовност за участие, дори при наличие на финансово изгодни условия. В този контекст, ролята на комуникационните кампании и консултантските инструменти е пряко свързана с ефективното функциониране на </w:t>
      </w:r>
      <w:r w:rsidRPr="006F3533">
        <w:rPr>
          <w:rFonts w:cs="Times New Roman"/>
          <w:b/>
          <w:bCs/>
          <w:szCs w:val="24"/>
          <w:lang w:val="bg-BG"/>
        </w:rPr>
        <w:t>Центровете за комплексно обслужване (ЦКО)</w:t>
      </w:r>
      <w:r w:rsidRPr="006F3533">
        <w:rPr>
          <w:rFonts w:cs="Times New Roman"/>
          <w:szCs w:val="24"/>
          <w:lang w:val="bg-BG"/>
        </w:rPr>
        <w:t>, описани в т. (e) от плана.</w:t>
      </w:r>
    </w:p>
    <w:p w14:paraId="45672826" w14:textId="24F894BB" w:rsidR="00B572B1" w:rsidRPr="006F3533" w:rsidRDefault="00B572B1" w:rsidP="00077D42">
      <w:pPr>
        <w:spacing w:line="240" w:lineRule="auto"/>
        <w:jc w:val="both"/>
        <w:rPr>
          <w:rFonts w:cs="Times New Roman"/>
          <w:b/>
          <w:bCs/>
          <w:szCs w:val="24"/>
          <w:lang w:val="bg-BG"/>
        </w:rPr>
      </w:pPr>
      <w:r w:rsidRPr="006F3533">
        <w:rPr>
          <w:rFonts w:cs="Times New Roman"/>
          <w:b/>
          <w:bCs/>
          <w:szCs w:val="24"/>
          <w:lang w:val="bg-BG"/>
        </w:rPr>
        <w:t>Съществуващи инициативи и натрупан опит</w:t>
      </w:r>
    </w:p>
    <w:p w14:paraId="217C1D50"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В България вече е налице солидна основа от проекти и инициативи, които комбинират информиране, обучение, демонстрации и консултации:</w:t>
      </w:r>
    </w:p>
    <w:p w14:paraId="317D41EE"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В България вече се изпълняват инициативи с включени комуникационни и образователни дейности, подкрепени от европейски проекти с ясно изразен обучителен и демонстрационен компонент. Сред тях са инициативите по линия на </w:t>
      </w:r>
      <w:r w:rsidRPr="006F3533">
        <w:rPr>
          <w:rFonts w:cs="Times New Roman"/>
          <w:b/>
          <w:bCs/>
          <w:szCs w:val="24"/>
          <w:lang w:val="bg-BG"/>
        </w:rPr>
        <w:t xml:space="preserve">BUILD UP </w:t>
      </w:r>
      <w:proofErr w:type="spellStart"/>
      <w:r w:rsidRPr="006F3533">
        <w:rPr>
          <w:rFonts w:cs="Times New Roman"/>
          <w:b/>
          <w:bCs/>
          <w:szCs w:val="24"/>
          <w:lang w:val="bg-BG"/>
        </w:rPr>
        <w:t>Skills</w:t>
      </w:r>
      <w:proofErr w:type="spellEnd"/>
      <w:r w:rsidRPr="006F3533">
        <w:rPr>
          <w:rFonts w:cs="Times New Roman"/>
          <w:szCs w:val="24"/>
          <w:lang w:val="bg-BG"/>
        </w:rPr>
        <w:t xml:space="preserve">, както и специализирани проекти като </w:t>
      </w:r>
      <w:r w:rsidRPr="006F3533">
        <w:rPr>
          <w:rFonts w:cs="Times New Roman"/>
          <w:b/>
          <w:bCs/>
          <w:szCs w:val="24"/>
          <w:lang w:val="bg-BG"/>
        </w:rPr>
        <w:t xml:space="preserve">NZEB </w:t>
      </w:r>
      <w:proofErr w:type="spellStart"/>
      <w:r w:rsidRPr="006F3533">
        <w:rPr>
          <w:rFonts w:cs="Times New Roman"/>
          <w:b/>
          <w:bCs/>
          <w:szCs w:val="24"/>
          <w:lang w:val="bg-BG"/>
        </w:rPr>
        <w:t>Roadshow</w:t>
      </w:r>
      <w:proofErr w:type="spellEnd"/>
      <w:r w:rsidRPr="006F3533">
        <w:rPr>
          <w:rFonts w:cs="Times New Roman"/>
          <w:b/>
          <w:bCs/>
          <w:szCs w:val="24"/>
          <w:lang w:val="bg-BG"/>
        </w:rPr>
        <w:t xml:space="preserve">, NZEB </w:t>
      </w:r>
      <w:proofErr w:type="spellStart"/>
      <w:r w:rsidRPr="006F3533">
        <w:rPr>
          <w:rFonts w:cs="Times New Roman"/>
          <w:b/>
          <w:bCs/>
          <w:szCs w:val="24"/>
          <w:lang w:val="bg-BG"/>
        </w:rPr>
        <w:t>Ready</w:t>
      </w:r>
      <w:proofErr w:type="spellEnd"/>
      <w:r w:rsidRPr="006F3533">
        <w:rPr>
          <w:rFonts w:cs="Times New Roman"/>
          <w:b/>
          <w:bCs/>
          <w:szCs w:val="24"/>
          <w:lang w:val="bg-BG"/>
        </w:rPr>
        <w:t xml:space="preserve">, </w:t>
      </w:r>
      <w:proofErr w:type="spellStart"/>
      <w:r w:rsidRPr="006F3533">
        <w:rPr>
          <w:rFonts w:cs="Times New Roman"/>
          <w:b/>
          <w:bCs/>
          <w:szCs w:val="24"/>
          <w:lang w:val="bg-BG"/>
        </w:rPr>
        <w:t>DiVIRTUE</w:t>
      </w:r>
      <w:proofErr w:type="spellEnd"/>
      <w:r w:rsidRPr="006F3533">
        <w:rPr>
          <w:rFonts w:cs="Times New Roman"/>
          <w:b/>
          <w:bCs/>
          <w:szCs w:val="24"/>
          <w:lang w:val="bg-BG"/>
        </w:rPr>
        <w:t xml:space="preserve">, </w:t>
      </w:r>
      <w:proofErr w:type="spellStart"/>
      <w:r w:rsidRPr="006F3533">
        <w:rPr>
          <w:rFonts w:cs="Times New Roman"/>
          <w:b/>
          <w:bCs/>
          <w:szCs w:val="24"/>
          <w:lang w:val="bg-BG"/>
        </w:rPr>
        <w:t>SHEERenov</w:t>
      </w:r>
      <w:proofErr w:type="spellEnd"/>
      <w:r w:rsidRPr="006F3533">
        <w:rPr>
          <w:rFonts w:cs="Times New Roman"/>
          <w:b/>
          <w:bCs/>
          <w:szCs w:val="24"/>
          <w:lang w:val="bg-BG"/>
        </w:rPr>
        <w:t xml:space="preserve">+, MULTIHOME, </w:t>
      </w:r>
      <w:proofErr w:type="spellStart"/>
      <w:r w:rsidRPr="006F3533">
        <w:rPr>
          <w:rFonts w:cs="Times New Roman"/>
          <w:b/>
          <w:bCs/>
          <w:szCs w:val="24"/>
          <w:lang w:val="bg-BG"/>
        </w:rPr>
        <w:t>INSPIRenov</w:t>
      </w:r>
      <w:proofErr w:type="spellEnd"/>
      <w:r w:rsidRPr="006F3533">
        <w:rPr>
          <w:rFonts w:cs="Times New Roman"/>
          <w:b/>
          <w:bCs/>
          <w:szCs w:val="24"/>
          <w:lang w:val="bg-BG"/>
        </w:rPr>
        <w:t xml:space="preserve"> и др.</w:t>
      </w:r>
      <w:r w:rsidRPr="006F3533">
        <w:rPr>
          <w:rFonts w:cs="Times New Roman"/>
          <w:szCs w:val="24"/>
          <w:lang w:val="bg-BG"/>
        </w:rPr>
        <w:t>, които комбинират:</w:t>
      </w:r>
    </w:p>
    <w:p w14:paraId="2D572652" w14:textId="77777777" w:rsidR="00B572B1" w:rsidRPr="006F3533" w:rsidRDefault="00B572B1" w:rsidP="00551FED">
      <w:pPr>
        <w:numPr>
          <w:ilvl w:val="0"/>
          <w:numId w:val="73"/>
        </w:numPr>
        <w:spacing w:line="240" w:lineRule="auto"/>
        <w:jc w:val="both"/>
        <w:rPr>
          <w:rFonts w:cs="Times New Roman"/>
          <w:szCs w:val="24"/>
          <w:lang w:val="bg-BG"/>
        </w:rPr>
      </w:pPr>
      <w:r w:rsidRPr="006F3533">
        <w:rPr>
          <w:rFonts w:cs="Times New Roman"/>
          <w:szCs w:val="24"/>
          <w:lang w:val="bg-BG"/>
        </w:rPr>
        <w:t>целеви комуникационни кампании към собственици, професионалисти и публични власти;</w:t>
      </w:r>
    </w:p>
    <w:p w14:paraId="0365EFFC" w14:textId="77777777" w:rsidR="00B572B1" w:rsidRPr="006F3533" w:rsidRDefault="00B572B1" w:rsidP="00551FED">
      <w:pPr>
        <w:numPr>
          <w:ilvl w:val="0"/>
          <w:numId w:val="73"/>
        </w:numPr>
        <w:spacing w:line="240" w:lineRule="auto"/>
        <w:jc w:val="both"/>
        <w:rPr>
          <w:rFonts w:cs="Times New Roman"/>
          <w:szCs w:val="24"/>
          <w:lang w:val="bg-BG"/>
        </w:rPr>
      </w:pPr>
      <w:r w:rsidRPr="006F3533">
        <w:rPr>
          <w:rFonts w:cs="Times New Roman"/>
          <w:szCs w:val="24"/>
          <w:lang w:val="bg-BG"/>
        </w:rPr>
        <w:t>демонстрационни събития, изложения и „</w:t>
      </w:r>
      <w:proofErr w:type="spellStart"/>
      <w:r w:rsidRPr="006F3533">
        <w:rPr>
          <w:rFonts w:cs="Times New Roman"/>
          <w:szCs w:val="24"/>
          <w:lang w:val="bg-BG"/>
        </w:rPr>
        <w:t>roadshow</w:t>
      </w:r>
      <w:proofErr w:type="spellEnd"/>
      <w:r w:rsidRPr="006F3533">
        <w:rPr>
          <w:rFonts w:cs="Times New Roman"/>
          <w:szCs w:val="24"/>
          <w:lang w:val="bg-BG"/>
        </w:rPr>
        <w:t>“ формати;</w:t>
      </w:r>
    </w:p>
    <w:p w14:paraId="78B44201" w14:textId="77777777" w:rsidR="00B572B1" w:rsidRPr="006F3533" w:rsidRDefault="00B572B1" w:rsidP="00551FED">
      <w:pPr>
        <w:numPr>
          <w:ilvl w:val="0"/>
          <w:numId w:val="73"/>
        </w:numPr>
        <w:spacing w:line="240" w:lineRule="auto"/>
        <w:jc w:val="both"/>
        <w:rPr>
          <w:rFonts w:cs="Times New Roman"/>
          <w:szCs w:val="24"/>
          <w:lang w:val="bg-BG"/>
        </w:rPr>
      </w:pPr>
      <w:r w:rsidRPr="006F3533">
        <w:rPr>
          <w:rFonts w:cs="Times New Roman"/>
          <w:szCs w:val="24"/>
          <w:lang w:val="bg-BG"/>
        </w:rPr>
        <w:t>практически консултации и обучения, включително с използване на дигитални и виртуални инструменти;</w:t>
      </w:r>
    </w:p>
    <w:p w14:paraId="365507B1" w14:textId="77777777" w:rsidR="00B572B1" w:rsidRPr="006F3533" w:rsidRDefault="00B572B1" w:rsidP="00551FED">
      <w:pPr>
        <w:numPr>
          <w:ilvl w:val="0"/>
          <w:numId w:val="73"/>
        </w:numPr>
        <w:spacing w:line="240" w:lineRule="auto"/>
        <w:jc w:val="both"/>
        <w:rPr>
          <w:rFonts w:cs="Times New Roman"/>
          <w:szCs w:val="24"/>
          <w:lang w:val="bg-BG"/>
        </w:rPr>
      </w:pPr>
      <w:r w:rsidRPr="006F3533">
        <w:rPr>
          <w:rFonts w:cs="Times New Roman"/>
          <w:szCs w:val="24"/>
          <w:lang w:val="bg-BG"/>
        </w:rPr>
        <w:t>връзка с услуги тип „</w:t>
      </w:r>
      <w:proofErr w:type="spellStart"/>
      <w:r w:rsidRPr="006F3533">
        <w:rPr>
          <w:rFonts w:cs="Times New Roman"/>
          <w:szCs w:val="24"/>
          <w:lang w:val="bg-BG"/>
        </w:rPr>
        <w:t>one-stop</w:t>
      </w:r>
      <w:proofErr w:type="spellEnd"/>
      <w:r w:rsidRPr="006F3533">
        <w:rPr>
          <w:rFonts w:cs="Times New Roman"/>
          <w:szCs w:val="24"/>
          <w:lang w:val="bg-BG"/>
        </w:rPr>
        <w:t xml:space="preserve"> </w:t>
      </w:r>
      <w:proofErr w:type="spellStart"/>
      <w:r w:rsidRPr="006F3533">
        <w:rPr>
          <w:rFonts w:cs="Times New Roman"/>
          <w:szCs w:val="24"/>
          <w:lang w:val="bg-BG"/>
        </w:rPr>
        <w:t>shop</w:t>
      </w:r>
      <w:proofErr w:type="spellEnd"/>
      <w:r w:rsidRPr="006F3533">
        <w:rPr>
          <w:rFonts w:cs="Times New Roman"/>
          <w:szCs w:val="24"/>
          <w:lang w:val="bg-BG"/>
        </w:rPr>
        <w:t>“.</w:t>
      </w:r>
    </w:p>
    <w:p w14:paraId="7714D75B" w14:textId="20686108"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Тези инициативи доказаха, че </w:t>
      </w:r>
      <w:r w:rsidRPr="006F3533">
        <w:rPr>
          <w:rFonts w:cs="Times New Roman"/>
          <w:b/>
          <w:bCs/>
          <w:szCs w:val="24"/>
          <w:lang w:val="bg-BG"/>
        </w:rPr>
        <w:t xml:space="preserve">комбинацията от присъствени събития, съдействие от </w:t>
      </w:r>
      <w:r w:rsidR="00130418" w:rsidRPr="006F3533">
        <w:rPr>
          <w:rFonts w:cs="Times New Roman"/>
          <w:b/>
          <w:bCs/>
          <w:szCs w:val="24"/>
          <w:lang w:val="bg-BG"/>
        </w:rPr>
        <w:t>общински</w:t>
      </w:r>
      <w:r w:rsidRPr="006F3533">
        <w:rPr>
          <w:rFonts w:cs="Times New Roman"/>
          <w:b/>
          <w:bCs/>
          <w:szCs w:val="24"/>
          <w:lang w:val="bg-BG"/>
        </w:rPr>
        <w:t xml:space="preserve"> </w:t>
      </w:r>
      <w:r w:rsidR="00130418" w:rsidRPr="006F3533">
        <w:rPr>
          <w:rFonts w:cs="Times New Roman"/>
          <w:b/>
          <w:bCs/>
          <w:szCs w:val="24"/>
          <w:lang w:val="bg-BG"/>
        </w:rPr>
        <w:t>служители</w:t>
      </w:r>
      <w:r w:rsidRPr="006F3533">
        <w:rPr>
          <w:rFonts w:cs="Times New Roman"/>
          <w:b/>
          <w:bCs/>
          <w:szCs w:val="24"/>
          <w:lang w:val="bg-BG"/>
        </w:rPr>
        <w:t>, практически демонстрации и достъп до независим експертен съвет</w:t>
      </w:r>
      <w:r w:rsidRPr="006F3533">
        <w:rPr>
          <w:rFonts w:cs="Times New Roman"/>
          <w:szCs w:val="24"/>
          <w:lang w:val="bg-BG"/>
        </w:rPr>
        <w:t xml:space="preserve"> е значително по-ефективна от институционалната информация за отв</w:t>
      </w:r>
      <w:r w:rsidR="00130418" w:rsidRPr="006F3533">
        <w:rPr>
          <w:rFonts w:cs="Times New Roman"/>
          <w:szCs w:val="24"/>
          <w:lang w:val="bg-BG"/>
        </w:rPr>
        <w:t>о</w:t>
      </w:r>
      <w:r w:rsidRPr="006F3533">
        <w:rPr>
          <w:rFonts w:cs="Times New Roman"/>
          <w:szCs w:val="24"/>
          <w:lang w:val="bg-BG"/>
        </w:rPr>
        <w:t>рени програми, разпространявана чрез традиционните медии или областните информационни центрове.</w:t>
      </w:r>
    </w:p>
    <w:p w14:paraId="7596B7E4"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lastRenderedPageBreak/>
        <w:t>Паралелно с това, на национално и местно ниво са разработени комуникационни стратегии в подкрепа на планове за устойчива енергия и климат (напр. на общинско ниво), които предоставят приложими модели за сегментиране на целевите групи, формулиране на ключови послания и мониторинг на ефекта от комуникационните дейности.</w:t>
      </w:r>
    </w:p>
    <w:p w14:paraId="32198D28" w14:textId="744A4F0A" w:rsidR="00B572B1" w:rsidRPr="006F3533" w:rsidRDefault="00B572B1" w:rsidP="00077D42">
      <w:pPr>
        <w:spacing w:line="240" w:lineRule="auto"/>
        <w:jc w:val="both"/>
        <w:rPr>
          <w:rFonts w:cs="Times New Roman"/>
          <w:b/>
          <w:bCs/>
          <w:szCs w:val="24"/>
          <w:lang w:val="bg-BG"/>
        </w:rPr>
      </w:pPr>
      <w:r w:rsidRPr="006F3533">
        <w:rPr>
          <w:rFonts w:cs="Times New Roman"/>
          <w:b/>
          <w:bCs/>
          <w:szCs w:val="24"/>
          <w:lang w:val="bg-BG"/>
        </w:rPr>
        <w:t>Стратегически фокус и ключови послания</w:t>
      </w:r>
    </w:p>
    <w:p w14:paraId="1948FD98" w14:textId="5680CAB6"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В рамките на Националния план за саниране се предвижда разработването и прилагането на </w:t>
      </w:r>
      <w:r w:rsidRPr="006F3533">
        <w:rPr>
          <w:rFonts w:cs="Times New Roman"/>
          <w:b/>
          <w:bCs/>
          <w:szCs w:val="24"/>
          <w:lang w:val="bg-BG"/>
        </w:rPr>
        <w:t>целенасочена национална комуникационна кампания</w:t>
      </w:r>
      <w:r w:rsidRPr="006F3533">
        <w:rPr>
          <w:rFonts w:cs="Times New Roman"/>
          <w:szCs w:val="24"/>
          <w:lang w:val="bg-BG"/>
        </w:rPr>
        <w:t>, тясно обвързана с дейността на ЦКО и с конкретните програми за обновяване на сгради.</w:t>
      </w:r>
    </w:p>
    <w:p w14:paraId="20355D54"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Основните стратегически фокуси на кампанията включват:</w:t>
      </w:r>
    </w:p>
    <w:p w14:paraId="3A4A2054" w14:textId="77777777" w:rsidR="00B572B1" w:rsidRPr="006F3533" w:rsidRDefault="00B572B1" w:rsidP="00551FED">
      <w:pPr>
        <w:numPr>
          <w:ilvl w:val="0"/>
          <w:numId w:val="74"/>
        </w:numPr>
        <w:spacing w:line="240" w:lineRule="auto"/>
        <w:jc w:val="both"/>
        <w:rPr>
          <w:rFonts w:cs="Times New Roman"/>
          <w:szCs w:val="24"/>
          <w:lang w:val="bg-BG"/>
        </w:rPr>
      </w:pPr>
      <w:r w:rsidRPr="006F3533">
        <w:rPr>
          <w:rFonts w:cs="Times New Roman"/>
          <w:szCs w:val="24"/>
          <w:lang w:val="bg-BG"/>
        </w:rPr>
        <w:t xml:space="preserve">ясно и разбираемо представяне на </w:t>
      </w:r>
      <w:r w:rsidRPr="006F3533">
        <w:rPr>
          <w:rFonts w:cs="Times New Roman"/>
          <w:b/>
          <w:bCs/>
          <w:szCs w:val="24"/>
          <w:lang w:val="bg-BG"/>
        </w:rPr>
        <w:t>ползите за собствениците</w:t>
      </w:r>
      <w:r w:rsidRPr="006F3533">
        <w:rPr>
          <w:rFonts w:cs="Times New Roman"/>
          <w:szCs w:val="24"/>
          <w:lang w:val="bg-BG"/>
        </w:rPr>
        <w:t xml:space="preserve"> – намалени разходи за енергия, повишен комфорт и здравословна среда, увеличена стойност на имота;</w:t>
      </w:r>
    </w:p>
    <w:p w14:paraId="48C714ED" w14:textId="77777777" w:rsidR="00B572B1" w:rsidRPr="006F3533" w:rsidRDefault="00B572B1" w:rsidP="00551FED">
      <w:pPr>
        <w:numPr>
          <w:ilvl w:val="0"/>
          <w:numId w:val="74"/>
        </w:numPr>
        <w:spacing w:line="240" w:lineRule="auto"/>
        <w:jc w:val="both"/>
        <w:rPr>
          <w:rFonts w:cs="Times New Roman"/>
          <w:szCs w:val="24"/>
          <w:lang w:val="bg-BG"/>
        </w:rPr>
      </w:pPr>
      <w:r w:rsidRPr="006F3533">
        <w:rPr>
          <w:rFonts w:cs="Times New Roman"/>
          <w:szCs w:val="24"/>
          <w:lang w:val="bg-BG"/>
        </w:rPr>
        <w:t xml:space="preserve">обяснение на </w:t>
      </w:r>
      <w:r w:rsidRPr="006F3533">
        <w:rPr>
          <w:rFonts w:cs="Times New Roman"/>
          <w:b/>
          <w:bCs/>
          <w:szCs w:val="24"/>
          <w:lang w:val="bg-BG"/>
        </w:rPr>
        <w:t>логиката на съфинансирането</w:t>
      </w:r>
      <w:r w:rsidRPr="006F3533">
        <w:rPr>
          <w:rFonts w:cs="Times New Roman"/>
          <w:szCs w:val="24"/>
          <w:lang w:val="bg-BG"/>
        </w:rPr>
        <w:t xml:space="preserve"> и дългосрочната икономическа ефективност на инвестицията;</w:t>
      </w:r>
    </w:p>
    <w:p w14:paraId="187A9CD8" w14:textId="77777777" w:rsidR="00B572B1" w:rsidRPr="006F3533" w:rsidRDefault="00B572B1" w:rsidP="00551FED">
      <w:pPr>
        <w:numPr>
          <w:ilvl w:val="0"/>
          <w:numId w:val="74"/>
        </w:numPr>
        <w:spacing w:line="240" w:lineRule="auto"/>
        <w:jc w:val="both"/>
        <w:rPr>
          <w:rFonts w:cs="Times New Roman"/>
          <w:szCs w:val="24"/>
          <w:lang w:val="bg-BG"/>
        </w:rPr>
      </w:pPr>
      <w:r w:rsidRPr="006F3533">
        <w:rPr>
          <w:rFonts w:cs="Times New Roman"/>
          <w:szCs w:val="24"/>
          <w:lang w:val="bg-BG"/>
        </w:rPr>
        <w:t xml:space="preserve">популяризиране на </w:t>
      </w:r>
      <w:r w:rsidRPr="006F3533">
        <w:rPr>
          <w:rFonts w:cs="Times New Roman"/>
          <w:b/>
          <w:bCs/>
          <w:szCs w:val="24"/>
          <w:lang w:val="bg-BG"/>
        </w:rPr>
        <w:t>конкретни инструменти</w:t>
      </w:r>
      <w:r w:rsidRPr="006F3533">
        <w:rPr>
          <w:rFonts w:cs="Times New Roman"/>
          <w:szCs w:val="24"/>
          <w:lang w:val="bg-BG"/>
        </w:rPr>
        <w:t>, като сертификати за енергийни характеристики, пътни карти за обновяване, етапни сценарии за инвестиции и комбинирани финансови продукти (грантове, заеми, гаранции);</w:t>
      </w:r>
    </w:p>
    <w:p w14:paraId="32DFCEA8" w14:textId="77777777" w:rsidR="00B572B1" w:rsidRPr="006F3533" w:rsidRDefault="00B572B1" w:rsidP="00551FED">
      <w:pPr>
        <w:numPr>
          <w:ilvl w:val="0"/>
          <w:numId w:val="74"/>
        </w:numPr>
        <w:spacing w:line="240" w:lineRule="auto"/>
        <w:jc w:val="both"/>
        <w:rPr>
          <w:rFonts w:cs="Times New Roman"/>
          <w:szCs w:val="24"/>
          <w:lang w:val="bg-BG"/>
        </w:rPr>
      </w:pPr>
      <w:r w:rsidRPr="006F3533">
        <w:rPr>
          <w:rFonts w:cs="Times New Roman"/>
          <w:szCs w:val="24"/>
          <w:lang w:val="bg-BG"/>
        </w:rPr>
        <w:t xml:space="preserve">позициониране на ЦКО като </w:t>
      </w:r>
      <w:r w:rsidRPr="006F3533">
        <w:rPr>
          <w:rFonts w:cs="Times New Roman"/>
          <w:b/>
          <w:bCs/>
          <w:szCs w:val="24"/>
          <w:lang w:val="bg-BG"/>
        </w:rPr>
        <w:t>надеждна входна точка</w:t>
      </w:r>
      <w:r w:rsidRPr="006F3533">
        <w:rPr>
          <w:rFonts w:cs="Times New Roman"/>
          <w:szCs w:val="24"/>
          <w:lang w:val="bg-BG"/>
        </w:rPr>
        <w:t xml:space="preserve"> за информация, технически и финансов съвет, а не като административна структура.</w:t>
      </w:r>
    </w:p>
    <w:p w14:paraId="4F07C1BF"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Ключовото послание на кампанията е, че сградното обновяване е </w:t>
      </w:r>
      <w:r w:rsidRPr="006F3533">
        <w:rPr>
          <w:rFonts w:cs="Times New Roman"/>
          <w:b/>
          <w:bCs/>
          <w:szCs w:val="24"/>
          <w:lang w:val="bg-BG"/>
        </w:rPr>
        <w:t>управляем процес</w:t>
      </w:r>
      <w:r w:rsidRPr="006F3533">
        <w:rPr>
          <w:rFonts w:cs="Times New Roman"/>
          <w:szCs w:val="24"/>
          <w:lang w:val="bg-BG"/>
        </w:rPr>
        <w:t>, който може да бъде планиран поетапно, с ясна представа за разходите, ползите и рисковете, и с достъп до професионална подкрепа.</w:t>
      </w:r>
    </w:p>
    <w:p w14:paraId="77A0977F" w14:textId="3A5853A0" w:rsidR="00B572B1" w:rsidRPr="006F3533" w:rsidRDefault="00B572B1" w:rsidP="00077D42">
      <w:pPr>
        <w:spacing w:line="240" w:lineRule="auto"/>
        <w:jc w:val="both"/>
        <w:rPr>
          <w:rFonts w:cs="Times New Roman"/>
          <w:b/>
          <w:bCs/>
          <w:szCs w:val="24"/>
          <w:lang w:val="bg-BG"/>
        </w:rPr>
      </w:pPr>
      <w:r w:rsidRPr="006F3533">
        <w:rPr>
          <w:rFonts w:cs="Times New Roman"/>
          <w:b/>
          <w:bCs/>
          <w:szCs w:val="24"/>
          <w:lang w:val="bg-BG"/>
        </w:rPr>
        <w:t>Планирани дейности и инструменти</w:t>
      </w:r>
    </w:p>
    <w:p w14:paraId="66E0DE8B"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Планираните дейности включват:</w:t>
      </w:r>
    </w:p>
    <w:p w14:paraId="5BC65AA1" w14:textId="77777777" w:rsidR="00B572B1" w:rsidRPr="006F3533" w:rsidRDefault="00B572B1" w:rsidP="00551FED">
      <w:pPr>
        <w:numPr>
          <w:ilvl w:val="0"/>
          <w:numId w:val="75"/>
        </w:numPr>
        <w:spacing w:line="240" w:lineRule="auto"/>
        <w:jc w:val="both"/>
        <w:rPr>
          <w:rFonts w:cs="Times New Roman"/>
          <w:szCs w:val="24"/>
          <w:lang w:val="bg-BG"/>
        </w:rPr>
      </w:pPr>
      <w:r w:rsidRPr="006F3533">
        <w:rPr>
          <w:rFonts w:cs="Times New Roman"/>
          <w:szCs w:val="24"/>
          <w:lang w:val="bg-BG"/>
        </w:rPr>
        <w:t>национална и регионални комуникационни кампании, съгласувани с графика на програмите за саниране;</w:t>
      </w:r>
    </w:p>
    <w:p w14:paraId="638FAE0C" w14:textId="77777777" w:rsidR="00B572B1" w:rsidRPr="006F3533" w:rsidRDefault="00B572B1" w:rsidP="00551FED">
      <w:pPr>
        <w:numPr>
          <w:ilvl w:val="0"/>
          <w:numId w:val="75"/>
        </w:numPr>
        <w:spacing w:line="240" w:lineRule="auto"/>
        <w:jc w:val="both"/>
        <w:rPr>
          <w:rFonts w:cs="Times New Roman"/>
          <w:szCs w:val="24"/>
          <w:lang w:val="bg-BG"/>
        </w:rPr>
      </w:pPr>
      <w:r w:rsidRPr="006F3533">
        <w:rPr>
          <w:rFonts w:cs="Times New Roman"/>
          <w:szCs w:val="24"/>
          <w:lang w:val="bg-BG"/>
        </w:rPr>
        <w:t>разработване на стандартизирани информационни материали и калкулатори, използвани от ЦКО при работа със собственици и сдружения на собственици;</w:t>
      </w:r>
    </w:p>
    <w:p w14:paraId="1A150137" w14:textId="77777777" w:rsidR="00B572B1" w:rsidRPr="006F3533" w:rsidRDefault="00B572B1" w:rsidP="00551FED">
      <w:pPr>
        <w:numPr>
          <w:ilvl w:val="0"/>
          <w:numId w:val="75"/>
        </w:numPr>
        <w:spacing w:line="240" w:lineRule="auto"/>
        <w:jc w:val="both"/>
        <w:rPr>
          <w:rFonts w:cs="Times New Roman"/>
          <w:szCs w:val="24"/>
          <w:lang w:val="bg-BG"/>
        </w:rPr>
      </w:pPr>
      <w:r w:rsidRPr="006F3533">
        <w:rPr>
          <w:rFonts w:cs="Times New Roman"/>
          <w:szCs w:val="24"/>
          <w:lang w:val="bg-BG"/>
        </w:rPr>
        <w:t>организиране на тематични събития, демонстрационни дни и „</w:t>
      </w:r>
      <w:proofErr w:type="spellStart"/>
      <w:r w:rsidRPr="006F3533">
        <w:rPr>
          <w:rFonts w:cs="Times New Roman"/>
          <w:szCs w:val="24"/>
          <w:lang w:val="bg-BG"/>
        </w:rPr>
        <w:t>roadshow</w:t>
      </w:r>
      <w:proofErr w:type="spellEnd"/>
      <w:r w:rsidRPr="006F3533">
        <w:rPr>
          <w:rFonts w:cs="Times New Roman"/>
          <w:szCs w:val="24"/>
          <w:lang w:val="bg-BG"/>
        </w:rPr>
        <w:t xml:space="preserve">“ формати, надграждащи доказани модели като NZEB </w:t>
      </w:r>
      <w:proofErr w:type="spellStart"/>
      <w:r w:rsidRPr="006F3533">
        <w:rPr>
          <w:rFonts w:cs="Times New Roman"/>
          <w:szCs w:val="24"/>
          <w:lang w:val="bg-BG"/>
        </w:rPr>
        <w:t>Roadshow</w:t>
      </w:r>
      <w:proofErr w:type="spellEnd"/>
      <w:r w:rsidRPr="006F3533">
        <w:rPr>
          <w:rFonts w:cs="Times New Roman"/>
          <w:szCs w:val="24"/>
          <w:lang w:val="bg-BG"/>
        </w:rPr>
        <w:t>;</w:t>
      </w:r>
    </w:p>
    <w:p w14:paraId="32DC6250" w14:textId="77777777" w:rsidR="00B572B1" w:rsidRPr="006F3533" w:rsidRDefault="00B572B1" w:rsidP="00551FED">
      <w:pPr>
        <w:numPr>
          <w:ilvl w:val="0"/>
          <w:numId w:val="75"/>
        </w:numPr>
        <w:spacing w:line="240" w:lineRule="auto"/>
        <w:jc w:val="both"/>
        <w:rPr>
          <w:rFonts w:cs="Times New Roman"/>
          <w:szCs w:val="24"/>
          <w:lang w:val="bg-BG"/>
        </w:rPr>
      </w:pPr>
      <w:r w:rsidRPr="006F3533">
        <w:rPr>
          <w:rFonts w:cs="Times New Roman"/>
          <w:szCs w:val="24"/>
          <w:lang w:val="bg-BG"/>
        </w:rPr>
        <w:t>целево информиране на управители на етажна собственост, общински експерти и местни лидери;</w:t>
      </w:r>
    </w:p>
    <w:p w14:paraId="4BB46DE7" w14:textId="77777777" w:rsidR="00B572B1" w:rsidRPr="006F3533" w:rsidRDefault="00B572B1" w:rsidP="00551FED">
      <w:pPr>
        <w:numPr>
          <w:ilvl w:val="0"/>
          <w:numId w:val="75"/>
        </w:numPr>
        <w:spacing w:line="240" w:lineRule="auto"/>
        <w:jc w:val="both"/>
        <w:rPr>
          <w:rFonts w:cs="Times New Roman"/>
          <w:szCs w:val="24"/>
          <w:lang w:val="bg-BG"/>
        </w:rPr>
      </w:pPr>
      <w:r w:rsidRPr="006F3533">
        <w:rPr>
          <w:rFonts w:cs="Times New Roman"/>
          <w:szCs w:val="24"/>
          <w:lang w:val="bg-BG"/>
        </w:rPr>
        <w:t>интеграция на комуникационните дейности с цифрови платформи и регистри, свързани със сертификати и пътни карти за обновяване.</w:t>
      </w:r>
    </w:p>
    <w:p w14:paraId="63E924C3" w14:textId="5F5F330A" w:rsidR="00B572B1" w:rsidRPr="006F3533" w:rsidRDefault="00130418" w:rsidP="00077D42">
      <w:pPr>
        <w:spacing w:line="240" w:lineRule="auto"/>
        <w:jc w:val="both"/>
        <w:rPr>
          <w:rFonts w:cs="Times New Roman"/>
          <w:b/>
          <w:bCs/>
          <w:szCs w:val="24"/>
          <w:lang w:val="bg-BG"/>
        </w:rPr>
      </w:pPr>
      <w:r w:rsidRPr="006F3533">
        <w:rPr>
          <w:rFonts w:cs="Times New Roman"/>
          <w:b/>
          <w:bCs/>
          <w:szCs w:val="24"/>
          <w:lang w:val="bg-BG"/>
        </w:rPr>
        <w:t>О</w:t>
      </w:r>
      <w:r w:rsidR="00B572B1" w:rsidRPr="006F3533">
        <w:rPr>
          <w:rFonts w:cs="Times New Roman"/>
          <w:b/>
          <w:bCs/>
          <w:szCs w:val="24"/>
          <w:lang w:val="bg-BG"/>
        </w:rPr>
        <w:t>чакван ефект и връзка с ЦКО</w:t>
      </w:r>
    </w:p>
    <w:p w14:paraId="0234319F"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lastRenderedPageBreak/>
        <w:t>Чрез систематично прилагане на тези кампании и инструменти се очаква:</w:t>
      </w:r>
    </w:p>
    <w:p w14:paraId="27606001" w14:textId="77777777" w:rsidR="00B572B1" w:rsidRPr="006F3533" w:rsidRDefault="00B572B1" w:rsidP="00551FED">
      <w:pPr>
        <w:numPr>
          <w:ilvl w:val="0"/>
          <w:numId w:val="76"/>
        </w:numPr>
        <w:spacing w:line="240" w:lineRule="auto"/>
        <w:jc w:val="both"/>
        <w:rPr>
          <w:rFonts w:cs="Times New Roman"/>
          <w:szCs w:val="24"/>
          <w:lang w:val="bg-BG"/>
        </w:rPr>
      </w:pPr>
      <w:r w:rsidRPr="006F3533">
        <w:rPr>
          <w:rFonts w:cs="Times New Roman"/>
          <w:szCs w:val="24"/>
          <w:lang w:val="bg-BG"/>
        </w:rPr>
        <w:t>повишаване на информираното търсене на дълбоко енергийно обновяване;</w:t>
      </w:r>
    </w:p>
    <w:p w14:paraId="374FC588" w14:textId="77777777" w:rsidR="00B572B1" w:rsidRPr="006F3533" w:rsidRDefault="00B572B1" w:rsidP="00551FED">
      <w:pPr>
        <w:numPr>
          <w:ilvl w:val="0"/>
          <w:numId w:val="76"/>
        </w:numPr>
        <w:spacing w:line="240" w:lineRule="auto"/>
        <w:jc w:val="both"/>
        <w:rPr>
          <w:rFonts w:cs="Times New Roman"/>
          <w:szCs w:val="24"/>
          <w:lang w:val="bg-BG"/>
        </w:rPr>
      </w:pPr>
      <w:r w:rsidRPr="006F3533">
        <w:rPr>
          <w:rFonts w:cs="Times New Roman"/>
          <w:szCs w:val="24"/>
          <w:lang w:val="bg-BG"/>
        </w:rPr>
        <w:t>по-висока готовност на собствениците да участват в програми със съфинансиране;</w:t>
      </w:r>
    </w:p>
    <w:p w14:paraId="0A59C19C" w14:textId="77777777" w:rsidR="00B572B1" w:rsidRPr="006F3533" w:rsidRDefault="00B572B1" w:rsidP="00551FED">
      <w:pPr>
        <w:numPr>
          <w:ilvl w:val="0"/>
          <w:numId w:val="76"/>
        </w:numPr>
        <w:spacing w:line="240" w:lineRule="auto"/>
        <w:jc w:val="both"/>
        <w:rPr>
          <w:rFonts w:cs="Times New Roman"/>
          <w:szCs w:val="24"/>
          <w:lang w:val="bg-BG"/>
        </w:rPr>
      </w:pPr>
      <w:r w:rsidRPr="006F3533">
        <w:rPr>
          <w:rFonts w:cs="Times New Roman"/>
          <w:szCs w:val="24"/>
          <w:lang w:val="bg-BG"/>
        </w:rPr>
        <w:t>по-ефективно използване на финансовите инструменти;</w:t>
      </w:r>
    </w:p>
    <w:p w14:paraId="306530ED" w14:textId="77777777" w:rsidR="00B572B1" w:rsidRPr="006F3533" w:rsidRDefault="00B572B1" w:rsidP="00551FED">
      <w:pPr>
        <w:numPr>
          <w:ilvl w:val="0"/>
          <w:numId w:val="76"/>
        </w:numPr>
        <w:spacing w:line="240" w:lineRule="auto"/>
        <w:jc w:val="both"/>
        <w:rPr>
          <w:rFonts w:cs="Times New Roman"/>
          <w:szCs w:val="24"/>
          <w:lang w:val="bg-BG"/>
        </w:rPr>
      </w:pPr>
      <w:r w:rsidRPr="006F3533">
        <w:rPr>
          <w:rFonts w:cs="Times New Roman"/>
          <w:szCs w:val="24"/>
          <w:lang w:val="bg-BG"/>
        </w:rPr>
        <w:t>укрепване на ролята на ЦКО като постоянен и доверен посредник между политики, финансиране и крайни ползватели.</w:t>
      </w:r>
    </w:p>
    <w:p w14:paraId="3512B0DE"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По този начин кампаниите за повишаване на осведомеността и консултантските инструменти се превръщат в </w:t>
      </w:r>
      <w:r w:rsidRPr="006F3533">
        <w:rPr>
          <w:rFonts w:cs="Times New Roman"/>
          <w:b/>
          <w:bCs/>
          <w:szCs w:val="24"/>
          <w:lang w:val="bg-BG"/>
        </w:rPr>
        <w:t>ключов хоризонтален елемент</w:t>
      </w:r>
      <w:r w:rsidRPr="006F3533">
        <w:rPr>
          <w:rFonts w:cs="Times New Roman"/>
          <w:szCs w:val="24"/>
          <w:lang w:val="bg-BG"/>
        </w:rPr>
        <w:t xml:space="preserve"> за успешното изпълнение на Националния план за саниране и за постигане на устойчив пазар на сградно обновяване в България.</w:t>
      </w:r>
    </w:p>
    <w:p w14:paraId="618B6C9C" w14:textId="77777777" w:rsidR="00B21480" w:rsidRPr="006F3533" w:rsidRDefault="00B21480" w:rsidP="00B21480">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С оглед преодоляване на установените информационни и поведенчески бариери и осигуряване на устойчиво подобряване на ефективността на публичните интервенции, всички бъдещи национални програми за сградно обновяване ще  включват задължителни минимални бюджети за комуникация, обучения и за проследяване на резултатите. Най-малко </w:t>
      </w:r>
      <w:r w:rsidRPr="006F3533">
        <w:rPr>
          <w:rFonts w:eastAsia="Times New Roman" w:cs="Times New Roman"/>
          <w:b/>
          <w:bCs/>
          <w:szCs w:val="24"/>
          <w:lang w:val="bg-BG" w:eastAsia="bg-BG"/>
        </w:rPr>
        <w:t>2% от общия бюджет на всяка програма</w:t>
      </w:r>
      <w:r w:rsidRPr="006F3533">
        <w:rPr>
          <w:rFonts w:eastAsia="Times New Roman" w:cs="Times New Roman"/>
          <w:szCs w:val="24"/>
          <w:lang w:val="bg-BG" w:eastAsia="bg-BG"/>
        </w:rPr>
        <w:t xml:space="preserve"> следва да бъдат заделени за целенасочени комуникационни, информационни и обучителни дейности, тясно обвързани с работата на Центровете за комплексно обслужване, а </w:t>
      </w:r>
      <w:r w:rsidRPr="006F3533">
        <w:rPr>
          <w:rFonts w:eastAsia="Times New Roman" w:cs="Times New Roman"/>
          <w:b/>
          <w:bCs/>
          <w:szCs w:val="24"/>
          <w:lang w:val="bg-BG" w:eastAsia="bg-BG"/>
        </w:rPr>
        <w:t>най-малко 2%</w:t>
      </w:r>
      <w:r w:rsidRPr="006F3533">
        <w:rPr>
          <w:rFonts w:eastAsia="Times New Roman" w:cs="Times New Roman"/>
          <w:szCs w:val="24"/>
          <w:lang w:val="bg-BG" w:eastAsia="bg-BG"/>
        </w:rPr>
        <w:t xml:space="preserve"> – за </w:t>
      </w:r>
      <w:r w:rsidRPr="006F3533">
        <w:rPr>
          <w:rFonts w:eastAsia="Times New Roman" w:cs="Times New Roman"/>
          <w:b/>
          <w:bCs/>
          <w:szCs w:val="24"/>
          <w:lang w:val="bg-BG" w:eastAsia="bg-BG"/>
        </w:rPr>
        <w:t>техническо проследяване, мониторинг, оценка и докладване на резултатите</w:t>
      </w:r>
      <w:r w:rsidRPr="006F3533">
        <w:rPr>
          <w:rFonts w:eastAsia="Times New Roman" w:cs="Times New Roman"/>
          <w:szCs w:val="24"/>
          <w:lang w:val="bg-BG" w:eastAsia="bg-BG"/>
        </w:rPr>
        <w:t xml:space="preserve"> (енергийни спестявания, емисионен ефект, участие на бенефициенти, поведенчески промени). </w:t>
      </w:r>
    </w:p>
    <w:p w14:paraId="3B9BC2C2" w14:textId="0C75E322" w:rsidR="00B21480" w:rsidRPr="006F3533" w:rsidRDefault="00B21480" w:rsidP="00B21480">
      <w:pPr>
        <w:spacing w:line="240" w:lineRule="auto"/>
        <w:jc w:val="both"/>
        <w:rPr>
          <w:rFonts w:eastAsia="Times New Roman" w:cs="Times New Roman"/>
          <w:szCs w:val="24"/>
          <w:lang w:val="bg-BG" w:eastAsia="bg-BG"/>
        </w:rPr>
      </w:pPr>
      <w:r w:rsidRPr="006F3533">
        <w:rPr>
          <w:rFonts w:eastAsia="Times New Roman" w:cs="Times New Roman"/>
          <w:szCs w:val="24"/>
          <w:lang w:val="bg-BG" w:eastAsia="bg-BG"/>
        </w:rPr>
        <w:t xml:space="preserve">Тези дейности следва да бъдат планирани още на етапа на разработване на програмите и да се изпълняват чрез стандартизирани индикатори и цифрови инструменти, като резултатите се докладват регулярно към Министерския съвет, ресорните министерства и заинтересованите страни и се използват за адаптиране и подобряване на бъдещите финансови инструменти и програмни дизайни. </w:t>
      </w:r>
    </w:p>
    <w:p w14:paraId="3247A296" w14:textId="77777777" w:rsidR="00B21480" w:rsidRPr="006F3533" w:rsidRDefault="00B21480" w:rsidP="00B21480">
      <w:pPr>
        <w:spacing w:line="240" w:lineRule="auto"/>
        <w:jc w:val="both"/>
        <w:rPr>
          <w:rFonts w:cs="Times New Roman"/>
          <w:szCs w:val="24"/>
          <w:lang w:val="bg-BG"/>
        </w:rPr>
        <w:sectPr w:rsidR="00B21480" w:rsidRPr="006F3533" w:rsidSect="00D27BA3">
          <w:pgSz w:w="12240" w:h="15840"/>
          <w:pgMar w:top="1440" w:right="1440" w:bottom="1440" w:left="1440" w:header="708" w:footer="708" w:gutter="0"/>
          <w:cols w:space="708"/>
          <w:docGrid w:linePitch="360"/>
        </w:sectPr>
      </w:pPr>
    </w:p>
    <w:tbl>
      <w:tblPr>
        <w:tblStyle w:val="GridTable5Dark-Accent1"/>
        <w:tblW w:w="0" w:type="auto"/>
        <w:tblLook w:val="04A0" w:firstRow="1" w:lastRow="0" w:firstColumn="1" w:lastColumn="0" w:noHBand="0" w:noVBand="1"/>
      </w:tblPr>
      <w:tblGrid>
        <w:gridCol w:w="447"/>
        <w:gridCol w:w="1913"/>
        <w:gridCol w:w="3414"/>
        <w:gridCol w:w="1945"/>
        <w:gridCol w:w="2604"/>
        <w:gridCol w:w="857"/>
        <w:gridCol w:w="1750"/>
      </w:tblGrid>
      <w:tr w:rsidR="00B21480" w:rsidRPr="006F3533" w14:paraId="43D8B0E4" w14:textId="77777777" w:rsidTr="00B214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A044C2D" w14:textId="77777777" w:rsidR="00B21480" w:rsidRPr="006F3533" w:rsidRDefault="00B21480" w:rsidP="00B21480">
            <w:pPr>
              <w:jc w:val="both"/>
              <w:rPr>
                <w:rFonts w:cs="Times New Roman"/>
                <w:sz w:val="22"/>
              </w:rPr>
            </w:pPr>
            <w:r w:rsidRPr="006F3533">
              <w:rPr>
                <w:rFonts w:cs="Times New Roman"/>
                <w:sz w:val="22"/>
              </w:rPr>
              <w:lastRenderedPageBreak/>
              <w:t>№</w:t>
            </w:r>
          </w:p>
        </w:tc>
        <w:tc>
          <w:tcPr>
            <w:tcW w:w="1913" w:type="dxa"/>
            <w:hideMark/>
          </w:tcPr>
          <w:p w14:paraId="11EB644B" w14:textId="77777777" w:rsidR="00B21480" w:rsidRPr="006F3533" w:rsidRDefault="00B21480" w:rsidP="00B21480">
            <w:pPr>
              <w:jc w:val="both"/>
              <w:cnfStyle w:val="100000000000" w:firstRow="1"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Реформа / мярка</w:t>
            </w:r>
          </w:p>
        </w:tc>
        <w:tc>
          <w:tcPr>
            <w:tcW w:w="3414" w:type="dxa"/>
            <w:hideMark/>
          </w:tcPr>
          <w:p w14:paraId="0E735429" w14:textId="77777777" w:rsidR="00B21480" w:rsidRPr="006F3533" w:rsidRDefault="00B21480" w:rsidP="00B21480">
            <w:pPr>
              <w:jc w:val="both"/>
              <w:cnfStyle w:val="100000000000" w:firstRow="1"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Съдържание и обхват</w:t>
            </w:r>
          </w:p>
        </w:tc>
        <w:tc>
          <w:tcPr>
            <w:tcW w:w="1945" w:type="dxa"/>
            <w:hideMark/>
          </w:tcPr>
          <w:p w14:paraId="7970643C" w14:textId="77777777" w:rsidR="00B21480" w:rsidRPr="006F3533" w:rsidRDefault="00B21480" w:rsidP="00B21480">
            <w:pPr>
              <w:jc w:val="both"/>
              <w:cnfStyle w:val="100000000000" w:firstRow="1"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Отговорни институции</w:t>
            </w:r>
          </w:p>
        </w:tc>
        <w:tc>
          <w:tcPr>
            <w:tcW w:w="2604" w:type="dxa"/>
            <w:hideMark/>
          </w:tcPr>
          <w:p w14:paraId="67C24C9A" w14:textId="77777777" w:rsidR="00B21480" w:rsidRPr="006F3533" w:rsidRDefault="00B21480" w:rsidP="00B21480">
            <w:pPr>
              <w:jc w:val="both"/>
              <w:cnfStyle w:val="100000000000" w:firstRow="1"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Законодателни / нормативни промени</w:t>
            </w:r>
          </w:p>
        </w:tc>
        <w:tc>
          <w:tcPr>
            <w:tcW w:w="857" w:type="dxa"/>
            <w:hideMark/>
          </w:tcPr>
          <w:p w14:paraId="2401A50F" w14:textId="77777777" w:rsidR="00B21480" w:rsidRPr="006F3533" w:rsidRDefault="00B21480" w:rsidP="00B21480">
            <w:pPr>
              <w:jc w:val="both"/>
              <w:cnfStyle w:val="100000000000" w:firstRow="1"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Срок</w:t>
            </w:r>
          </w:p>
        </w:tc>
        <w:tc>
          <w:tcPr>
            <w:tcW w:w="1750" w:type="dxa"/>
            <w:hideMark/>
          </w:tcPr>
          <w:p w14:paraId="6E26069D" w14:textId="77777777" w:rsidR="00B21480" w:rsidRPr="006F3533" w:rsidRDefault="00B21480" w:rsidP="00B21480">
            <w:pPr>
              <w:jc w:val="both"/>
              <w:cnfStyle w:val="100000000000" w:firstRow="1"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Финансиране</w:t>
            </w:r>
          </w:p>
        </w:tc>
      </w:tr>
      <w:tr w:rsidR="00B21480" w:rsidRPr="006F3533" w14:paraId="1D78D470" w14:textId="77777777" w:rsidTr="00B2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06FE68" w14:textId="77777777" w:rsidR="00B21480" w:rsidRPr="006F3533" w:rsidRDefault="00B21480" w:rsidP="00B21480">
            <w:pPr>
              <w:jc w:val="both"/>
              <w:rPr>
                <w:rFonts w:cs="Times New Roman"/>
                <w:sz w:val="22"/>
              </w:rPr>
            </w:pPr>
            <w:r w:rsidRPr="006F3533">
              <w:rPr>
                <w:rFonts w:cs="Times New Roman"/>
                <w:sz w:val="22"/>
              </w:rPr>
              <w:t>1</w:t>
            </w:r>
          </w:p>
        </w:tc>
        <w:tc>
          <w:tcPr>
            <w:tcW w:w="1913" w:type="dxa"/>
            <w:hideMark/>
          </w:tcPr>
          <w:p w14:paraId="065AC4FC" w14:textId="7777777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Задължителен минимален бюджет за комуникация в програмите за обновяване</w:t>
            </w:r>
          </w:p>
        </w:tc>
        <w:tc>
          <w:tcPr>
            <w:tcW w:w="3414" w:type="dxa"/>
            <w:hideMark/>
          </w:tcPr>
          <w:p w14:paraId="6343ABEC" w14:textId="7777777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Въвеждане на изискване всички публични програми за сградно обновяване да заделят минимум 2% от бюджета за целенасочени комуникационни, информационни и консултантски дейности, интегрирани с ЦКО</w:t>
            </w:r>
          </w:p>
        </w:tc>
        <w:tc>
          <w:tcPr>
            <w:tcW w:w="1945" w:type="dxa"/>
            <w:hideMark/>
          </w:tcPr>
          <w:p w14:paraId="3627554D" w14:textId="7777777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МЕ, МРРБ, МФ, управляващи органи на програми</w:t>
            </w:r>
          </w:p>
        </w:tc>
        <w:tc>
          <w:tcPr>
            <w:tcW w:w="2604" w:type="dxa"/>
            <w:hideMark/>
          </w:tcPr>
          <w:p w14:paraId="1E003946" w14:textId="3066340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Програмни правила и методически указания за програмите (насоки за кандидатстване, програми по структурните и кохезионните фондове в следващата бюджетна рамка)</w:t>
            </w:r>
          </w:p>
        </w:tc>
        <w:tc>
          <w:tcPr>
            <w:tcW w:w="857" w:type="dxa"/>
            <w:hideMark/>
          </w:tcPr>
          <w:p w14:paraId="09A20527" w14:textId="17F75112"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2025</w:t>
            </w:r>
            <w:r w:rsidR="00514FBD" w:rsidRPr="006F3533">
              <w:rPr>
                <w:rFonts w:cs="Times New Roman"/>
                <w:sz w:val="22"/>
              </w:rPr>
              <w:t>-</w:t>
            </w:r>
            <w:r w:rsidRPr="006F3533">
              <w:rPr>
                <w:rFonts w:cs="Times New Roman"/>
                <w:sz w:val="22"/>
              </w:rPr>
              <w:t>2026</w:t>
            </w:r>
          </w:p>
        </w:tc>
        <w:tc>
          <w:tcPr>
            <w:tcW w:w="1750" w:type="dxa"/>
            <w:hideMark/>
          </w:tcPr>
          <w:p w14:paraId="27AC7107" w14:textId="7777777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Бюджетите на съответните програми</w:t>
            </w:r>
          </w:p>
        </w:tc>
      </w:tr>
      <w:tr w:rsidR="00B21480" w:rsidRPr="006F3533" w14:paraId="1FF31451" w14:textId="77777777" w:rsidTr="00B21480">
        <w:tc>
          <w:tcPr>
            <w:cnfStyle w:val="001000000000" w:firstRow="0" w:lastRow="0" w:firstColumn="1" w:lastColumn="0" w:oddVBand="0" w:evenVBand="0" w:oddHBand="0" w:evenHBand="0" w:firstRowFirstColumn="0" w:firstRowLastColumn="0" w:lastRowFirstColumn="0" w:lastRowLastColumn="0"/>
            <w:tcW w:w="0" w:type="auto"/>
            <w:hideMark/>
          </w:tcPr>
          <w:p w14:paraId="3F7A9DAF" w14:textId="77777777" w:rsidR="00B21480" w:rsidRPr="006F3533" w:rsidRDefault="00B21480" w:rsidP="00B21480">
            <w:pPr>
              <w:jc w:val="both"/>
              <w:rPr>
                <w:rFonts w:cs="Times New Roman"/>
                <w:sz w:val="22"/>
              </w:rPr>
            </w:pPr>
            <w:r w:rsidRPr="006F3533">
              <w:rPr>
                <w:rFonts w:cs="Times New Roman"/>
                <w:sz w:val="22"/>
              </w:rPr>
              <w:t>2</w:t>
            </w:r>
          </w:p>
        </w:tc>
        <w:tc>
          <w:tcPr>
            <w:tcW w:w="1913" w:type="dxa"/>
            <w:hideMark/>
          </w:tcPr>
          <w:p w14:paraId="5E0029F9" w14:textId="77777777"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Задължителен бюджет за мониторинг, оценка и докладване</w:t>
            </w:r>
          </w:p>
        </w:tc>
        <w:tc>
          <w:tcPr>
            <w:tcW w:w="3414" w:type="dxa"/>
            <w:hideMark/>
          </w:tcPr>
          <w:p w14:paraId="475728C6" w14:textId="77777777"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Въвеждане на минимум 2% от бюджета за техническо проследяване, измерване и верификация на резултатите, поведенчески анализ и публично докладване</w:t>
            </w:r>
          </w:p>
        </w:tc>
        <w:tc>
          <w:tcPr>
            <w:tcW w:w="1945" w:type="dxa"/>
            <w:hideMark/>
          </w:tcPr>
          <w:p w14:paraId="75C3FC4F" w14:textId="498BB75E"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МЕ, АУЕР, МРРБ, МФ, управляващи органи</w:t>
            </w:r>
          </w:p>
        </w:tc>
        <w:tc>
          <w:tcPr>
            <w:tcW w:w="2604" w:type="dxa"/>
            <w:hideMark/>
          </w:tcPr>
          <w:p w14:paraId="7AB34E5E" w14:textId="1BB3E26F"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Програмни правила и методически указания за програмите</w:t>
            </w:r>
          </w:p>
        </w:tc>
        <w:tc>
          <w:tcPr>
            <w:tcW w:w="857" w:type="dxa"/>
            <w:hideMark/>
          </w:tcPr>
          <w:p w14:paraId="4BD26D1A" w14:textId="1442DE66"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2025</w:t>
            </w:r>
            <w:r w:rsidR="00514FBD" w:rsidRPr="006F3533">
              <w:rPr>
                <w:rFonts w:cs="Times New Roman"/>
                <w:sz w:val="22"/>
              </w:rPr>
              <w:t>-</w:t>
            </w:r>
            <w:r w:rsidRPr="006F3533">
              <w:rPr>
                <w:rFonts w:cs="Times New Roman"/>
                <w:sz w:val="22"/>
              </w:rPr>
              <w:t>2026</w:t>
            </w:r>
          </w:p>
        </w:tc>
        <w:tc>
          <w:tcPr>
            <w:tcW w:w="1750" w:type="dxa"/>
            <w:hideMark/>
          </w:tcPr>
          <w:p w14:paraId="62B04926" w14:textId="77777777"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Бюджетите на съответните програми</w:t>
            </w:r>
          </w:p>
        </w:tc>
      </w:tr>
      <w:tr w:rsidR="00B21480" w:rsidRPr="006F3533" w14:paraId="0A18874B" w14:textId="77777777" w:rsidTr="00B214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5F3547" w14:textId="77777777" w:rsidR="00B21480" w:rsidRPr="006F3533" w:rsidRDefault="00B21480" w:rsidP="00B21480">
            <w:pPr>
              <w:jc w:val="both"/>
              <w:rPr>
                <w:rFonts w:cs="Times New Roman"/>
                <w:sz w:val="22"/>
              </w:rPr>
            </w:pPr>
            <w:r w:rsidRPr="006F3533">
              <w:rPr>
                <w:rFonts w:cs="Times New Roman"/>
                <w:sz w:val="22"/>
              </w:rPr>
              <w:t>3</w:t>
            </w:r>
          </w:p>
        </w:tc>
        <w:tc>
          <w:tcPr>
            <w:tcW w:w="1913" w:type="dxa"/>
            <w:hideMark/>
          </w:tcPr>
          <w:p w14:paraId="1E8BB412" w14:textId="7777777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Национална методика за комуникация и мониторинг</w:t>
            </w:r>
          </w:p>
        </w:tc>
        <w:tc>
          <w:tcPr>
            <w:tcW w:w="3414" w:type="dxa"/>
            <w:hideMark/>
          </w:tcPr>
          <w:p w14:paraId="7087D0C1" w14:textId="7777777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Разработване на стандартизирана методика и набор от KPI за комуникационни кампании и за мониторинг на ефекта от програмите, използвана от всички управляващи органи</w:t>
            </w:r>
          </w:p>
        </w:tc>
        <w:tc>
          <w:tcPr>
            <w:tcW w:w="1945" w:type="dxa"/>
            <w:hideMark/>
          </w:tcPr>
          <w:p w14:paraId="2560817D" w14:textId="7AE3F99D"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МЕ, АУЕР, МС, НСОРБ, университети и НПО</w:t>
            </w:r>
          </w:p>
        </w:tc>
        <w:tc>
          <w:tcPr>
            <w:tcW w:w="2604" w:type="dxa"/>
            <w:hideMark/>
          </w:tcPr>
          <w:p w14:paraId="0254582E" w14:textId="7777777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 xml:space="preserve">Методически акт/наредба към </w:t>
            </w:r>
            <w:r w:rsidRPr="006F3533">
              <w:rPr>
                <w:rFonts w:cs="Times New Roman"/>
                <w:b/>
                <w:bCs/>
                <w:sz w:val="22"/>
              </w:rPr>
              <w:t>ЗЕЕ</w:t>
            </w:r>
            <w:r w:rsidRPr="006F3533">
              <w:rPr>
                <w:rFonts w:cs="Times New Roman"/>
                <w:sz w:val="22"/>
              </w:rPr>
              <w:t xml:space="preserve"> или решение на МС</w:t>
            </w:r>
          </w:p>
        </w:tc>
        <w:tc>
          <w:tcPr>
            <w:tcW w:w="857" w:type="dxa"/>
            <w:hideMark/>
          </w:tcPr>
          <w:p w14:paraId="78C77FED" w14:textId="7777777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2026</w:t>
            </w:r>
          </w:p>
        </w:tc>
        <w:tc>
          <w:tcPr>
            <w:tcW w:w="1750" w:type="dxa"/>
            <w:hideMark/>
          </w:tcPr>
          <w:p w14:paraId="18838F2E" w14:textId="77777777" w:rsidR="00B21480" w:rsidRPr="006F3533" w:rsidRDefault="00B21480" w:rsidP="00B21480">
            <w:pPr>
              <w:jc w:val="both"/>
              <w:cnfStyle w:val="000000100000" w:firstRow="0" w:lastRow="0" w:firstColumn="0" w:lastColumn="0" w:oddVBand="0" w:evenVBand="0" w:oddHBand="1" w:evenHBand="0" w:firstRowFirstColumn="0" w:firstRowLastColumn="0" w:lastRowFirstColumn="0" w:lastRowLastColumn="0"/>
              <w:rPr>
                <w:rFonts w:cs="Times New Roman"/>
                <w:sz w:val="22"/>
              </w:rPr>
            </w:pPr>
            <w:r w:rsidRPr="006F3533">
              <w:rPr>
                <w:rFonts w:cs="Times New Roman"/>
                <w:sz w:val="22"/>
              </w:rPr>
              <w:t>Държавен бюджет; техническа помощ</w:t>
            </w:r>
          </w:p>
        </w:tc>
      </w:tr>
      <w:tr w:rsidR="00B21480" w:rsidRPr="006F3533" w14:paraId="7C2D1C8E" w14:textId="77777777" w:rsidTr="00B21480">
        <w:tc>
          <w:tcPr>
            <w:cnfStyle w:val="001000000000" w:firstRow="0" w:lastRow="0" w:firstColumn="1" w:lastColumn="0" w:oddVBand="0" w:evenVBand="0" w:oddHBand="0" w:evenHBand="0" w:firstRowFirstColumn="0" w:firstRowLastColumn="0" w:lastRowFirstColumn="0" w:lastRowLastColumn="0"/>
            <w:tcW w:w="0" w:type="auto"/>
            <w:hideMark/>
          </w:tcPr>
          <w:p w14:paraId="6A0B08D5" w14:textId="77777777" w:rsidR="00B21480" w:rsidRPr="006F3533" w:rsidRDefault="00B21480" w:rsidP="00B21480">
            <w:pPr>
              <w:jc w:val="both"/>
              <w:rPr>
                <w:rFonts w:cs="Times New Roman"/>
                <w:sz w:val="22"/>
              </w:rPr>
            </w:pPr>
            <w:r w:rsidRPr="006F3533">
              <w:rPr>
                <w:rFonts w:cs="Times New Roman"/>
                <w:sz w:val="22"/>
              </w:rPr>
              <w:t>4</w:t>
            </w:r>
          </w:p>
        </w:tc>
        <w:tc>
          <w:tcPr>
            <w:tcW w:w="1913" w:type="dxa"/>
            <w:hideMark/>
          </w:tcPr>
          <w:p w14:paraId="445EC33F" w14:textId="77777777"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Интеграция на мониторинга с цифровите регистри и ЦКО</w:t>
            </w:r>
          </w:p>
        </w:tc>
        <w:tc>
          <w:tcPr>
            <w:tcW w:w="3414" w:type="dxa"/>
            <w:hideMark/>
          </w:tcPr>
          <w:p w14:paraId="027528FF" w14:textId="67C71FBB"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Свързване на комуникационните, обучителните и мониторинговите дейности с националните цифрови регистри (сертификати, паспорти за сградно обновяване) и с дейностите на ЦКО</w:t>
            </w:r>
          </w:p>
        </w:tc>
        <w:tc>
          <w:tcPr>
            <w:tcW w:w="1945" w:type="dxa"/>
            <w:hideMark/>
          </w:tcPr>
          <w:p w14:paraId="63B281B2" w14:textId="77777777"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АУЕР, МЕ, МРРБ, ЦКО</w:t>
            </w:r>
          </w:p>
        </w:tc>
        <w:tc>
          <w:tcPr>
            <w:tcW w:w="2604" w:type="dxa"/>
            <w:hideMark/>
          </w:tcPr>
          <w:p w14:paraId="5226794F" w14:textId="77777777"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 xml:space="preserve">Подзаконови актове към </w:t>
            </w:r>
            <w:r w:rsidRPr="006F3533">
              <w:rPr>
                <w:rFonts w:cs="Times New Roman"/>
                <w:b/>
                <w:bCs/>
                <w:sz w:val="22"/>
              </w:rPr>
              <w:t>ЗЕЕ</w:t>
            </w:r>
            <w:r w:rsidRPr="006F3533">
              <w:rPr>
                <w:rFonts w:cs="Times New Roman"/>
                <w:sz w:val="22"/>
              </w:rPr>
              <w:t xml:space="preserve"> и технически спецификации</w:t>
            </w:r>
          </w:p>
        </w:tc>
        <w:tc>
          <w:tcPr>
            <w:tcW w:w="857" w:type="dxa"/>
            <w:hideMark/>
          </w:tcPr>
          <w:p w14:paraId="2908AEE8" w14:textId="0436CBCA"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2026</w:t>
            </w:r>
            <w:r w:rsidR="00514FBD" w:rsidRPr="006F3533">
              <w:rPr>
                <w:rFonts w:cs="Times New Roman"/>
                <w:sz w:val="22"/>
              </w:rPr>
              <w:t>-</w:t>
            </w:r>
            <w:r w:rsidRPr="006F3533">
              <w:rPr>
                <w:rFonts w:cs="Times New Roman"/>
                <w:sz w:val="22"/>
              </w:rPr>
              <w:t>2027</w:t>
            </w:r>
          </w:p>
        </w:tc>
        <w:tc>
          <w:tcPr>
            <w:tcW w:w="1750" w:type="dxa"/>
            <w:hideMark/>
          </w:tcPr>
          <w:p w14:paraId="4D2AC0A3" w14:textId="77777777" w:rsidR="00B21480" w:rsidRPr="006F3533" w:rsidRDefault="00B21480" w:rsidP="00B21480">
            <w:pPr>
              <w:jc w:val="both"/>
              <w:cnfStyle w:val="000000000000" w:firstRow="0" w:lastRow="0" w:firstColumn="0" w:lastColumn="0" w:oddVBand="0" w:evenVBand="0" w:oddHBand="0" w:evenHBand="0" w:firstRowFirstColumn="0" w:firstRowLastColumn="0" w:lastRowFirstColumn="0" w:lastRowLastColumn="0"/>
              <w:rPr>
                <w:rFonts w:cs="Times New Roman"/>
                <w:sz w:val="22"/>
              </w:rPr>
            </w:pPr>
            <w:r w:rsidRPr="006F3533">
              <w:rPr>
                <w:rFonts w:cs="Times New Roman"/>
                <w:sz w:val="22"/>
              </w:rPr>
              <w:t>Програми за цифровизация; бюджети на програмите</w:t>
            </w:r>
          </w:p>
        </w:tc>
      </w:tr>
    </w:tbl>
    <w:p w14:paraId="07728EBB" w14:textId="77777777" w:rsidR="00B21480" w:rsidRPr="006F3533" w:rsidRDefault="00B21480" w:rsidP="00B21480">
      <w:pPr>
        <w:spacing w:line="240" w:lineRule="auto"/>
        <w:jc w:val="both"/>
        <w:rPr>
          <w:rFonts w:cs="Times New Roman"/>
          <w:szCs w:val="24"/>
          <w:lang w:val="bg-BG"/>
        </w:rPr>
      </w:pPr>
    </w:p>
    <w:p w14:paraId="1650251A" w14:textId="77777777" w:rsidR="00B21480" w:rsidRPr="006F3533" w:rsidRDefault="00B21480" w:rsidP="00B21480">
      <w:pPr>
        <w:spacing w:line="240" w:lineRule="auto"/>
        <w:jc w:val="both"/>
        <w:rPr>
          <w:rFonts w:cs="Times New Roman"/>
          <w:szCs w:val="24"/>
          <w:lang w:val="bg-BG"/>
        </w:rPr>
        <w:sectPr w:rsidR="00B21480" w:rsidRPr="006F3533" w:rsidSect="00B21480">
          <w:pgSz w:w="15840" w:h="12240" w:orient="landscape"/>
          <w:pgMar w:top="1440" w:right="1440" w:bottom="1440" w:left="1440" w:header="708" w:footer="708" w:gutter="0"/>
          <w:cols w:space="708"/>
          <w:docGrid w:linePitch="360"/>
        </w:sectPr>
      </w:pPr>
    </w:p>
    <w:p w14:paraId="127E99DC" w14:textId="77777777" w:rsidR="001A1208" w:rsidRPr="006F3533" w:rsidRDefault="001A1208" w:rsidP="00077D42">
      <w:pPr>
        <w:pStyle w:val="Heading2"/>
        <w:jc w:val="both"/>
        <w:rPr>
          <w:lang w:val="bg-BG"/>
        </w:rPr>
      </w:pPr>
      <w:bookmarkStart w:id="379" w:name="_Toc217888886"/>
      <w:r w:rsidRPr="006F3533">
        <w:rPr>
          <w:lang w:val="bg-BG"/>
        </w:rPr>
        <w:lastRenderedPageBreak/>
        <w:t>(q) Насърчаване на модулни и индустриализирани решения за строителство и обновяване на сгради</w:t>
      </w:r>
      <w:bookmarkEnd w:id="379"/>
    </w:p>
    <w:p w14:paraId="1DE140C6" w14:textId="77777777" w:rsidR="001A1208" w:rsidRPr="006F3533" w:rsidRDefault="001A1208" w:rsidP="00077D42">
      <w:pPr>
        <w:jc w:val="both"/>
        <w:rPr>
          <w:rFonts w:cs="Times New Roman"/>
          <w:b/>
          <w:szCs w:val="24"/>
          <w:lang w:val="bg-BG"/>
        </w:rPr>
      </w:pPr>
      <w:r w:rsidRPr="006F3533">
        <w:rPr>
          <w:rFonts w:cs="Times New Roman"/>
          <w:b/>
          <w:szCs w:val="24"/>
          <w:lang w:val="bg-BG"/>
        </w:rPr>
        <w:t>Текущо състояние на модулното и индустриализирано строителство в България</w:t>
      </w:r>
    </w:p>
    <w:p w14:paraId="657EBA14" w14:textId="77777777" w:rsidR="001A1208" w:rsidRPr="006F3533" w:rsidRDefault="001A1208" w:rsidP="00077D42">
      <w:pPr>
        <w:jc w:val="both"/>
        <w:rPr>
          <w:rFonts w:cs="Times New Roman"/>
          <w:szCs w:val="24"/>
          <w:lang w:val="bg-BG"/>
        </w:rPr>
      </w:pPr>
      <w:r w:rsidRPr="006F3533">
        <w:rPr>
          <w:rFonts w:cs="Times New Roman"/>
          <w:szCs w:val="24"/>
          <w:lang w:val="bg-BG"/>
        </w:rPr>
        <w:t xml:space="preserve">Модулното и индустриализирано строителство се определя като строителни системи, при които основни конструктивни и функционални компоненти - фасадни системи, покривни системи, </w:t>
      </w:r>
      <w:proofErr w:type="spellStart"/>
      <w:r w:rsidRPr="006F3533">
        <w:rPr>
          <w:rFonts w:cs="Times New Roman"/>
          <w:szCs w:val="24"/>
          <w:lang w:val="bg-BG"/>
        </w:rPr>
        <w:t>ОВиК</w:t>
      </w:r>
      <w:proofErr w:type="spellEnd"/>
      <w:r w:rsidRPr="006F3533">
        <w:rPr>
          <w:rFonts w:cs="Times New Roman"/>
          <w:szCs w:val="24"/>
          <w:lang w:val="bg-BG"/>
        </w:rPr>
        <w:t xml:space="preserve"> системи и интериорни модули - се произвеждат в контролирана фабрична среда и след това се транспортират на строителната площадка за монтаж. Този подход е насочен към осигуряване на по-добра енергийна ефективност, по-бързо строителство с по-малко зависимост от работна сила на място, подобрен контрол на качеството и намаляване на строителните отпадъци благодарение на прецизното производство и стандартизирани компоненти.</w:t>
      </w:r>
    </w:p>
    <w:p w14:paraId="49B57C6A" w14:textId="4E02A1F9" w:rsidR="001A1208" w:rsidRPr="006F3533" w:rsidRDefault="001A1208" w:rsidP="00077D42">
      <w:pPr>
        <w:jc w:val="both"/>
        <w:rPr>
          <w:rFonts w:cs="Times New Roman"/>
          <w:szCs w:val="24"/>
          <w:lang w:val="bg-BG"/>
        </w:rPr>
      </w:pPr>
      <w:r w:rsidRPr="006F3533">
        <w:rPr>
          <w:rFonts w:cs="Times New Roman"/>
          <w:szCs w:val="24"/>
          <w:lang w:val="bg-BG"/>
        </w:rPr>
        <w:t>Секторът на модулното строителство в България е в начален етап на развитие, представляващ под 1% от новопостроените жилищни проекти.</w:t>
      </w:r>
      <w:r w:rsidRPr="006F3533">
        <w:rPr>
          <w:rFonts w:cs="Times New Roman"/>
          <w:szCs w:val="24"/>
          <w:vertAlign w:val="superscript"/>
          <w:lang w:val="bg-BG"/>
        </w:rPr>
        <w:footnoteReference w:id="58"/>
      </w:r>
      <w:r w:rsidRPr="006F3533">
        <w:rPr>
          <w:rFonts w:cs="Times New Roman"/>
          <w:szCs w:val="24"/>
          <w:lang w:val="bg-BG"/>
        </w:rPr>
        <w:t xml:space="preserve"> По-голямата част от производството е фокусирано върху еднофамилни жилищни сгради. На европейско ниво модулното строителство и индустриализираното обновяване демонстрират доказана техническа и икономическа жизнеспособност. </w:t>
      </w:r>
      <w:proofErr w:type="spellStart"/>
      <w:r w:rsidRPr="006F3533">
        <w:rPr>
          <w:rFonts w:cs="Times New Roman"/>
          <w:b/>
          <w:szCs w:val="24"/>
          <w:lang w:val="bg-BG"/>
        </w:rPr>
        <w:t>Energiesprong</w:t>
      </w:r>
      <w:proofErr w:type="spellEnd"/>
      <w:r w:rsidRPr="006F3533">
        <w:rPr>
          <w:rFonts w:cs="Times New Roman"/>
          <w:szCs w:val="24"/>
          <w:vertAlign w:val="superscript"/>
          <w:lang w:val="bg-BG"/>
        </w:rPr>
        <w:footnoteReference w:id="59"/>
      </w:r>
      <w:r w:rsidRPr="006F3533">
        <w:rPr>
          <w:rFonts w:cs="Times New Roman"/>
          <w:szCs w:val="24"/>
          <w:lang w:val="bg-BG"/>
        </w:rPr>
        <w:t xml:space="preserve"> в Нидерландия е известна като успешна програма за индустриализирано обновяване чрез модулни фасадни системи и готови </w:t>
      </w:r>
      <w:proofErr w:type="spellStart"/>
      <w:r w:rsidRPr="006F3533">
        <w:rPr>
          <w:rFonts w:cs="Times New Roman"/>
          <w:szCs w:val="24"/>
          <w:lang w:val="bg-BG"/>
        </w:rPr>
        <w:t>ОВиК</w:t>
      </w:r>
      <w:proofErr w:type="spellEnd"/>
      <w:r w:rsidRPr="006F3533">
        <w:rPr>
          <w:rFonts w:cs="Times New Roman"/>
          <w:szCs w:val="24"/>
          <w:lang w:val="bg-BG"/>
        </w:rPr>
        <w:t xml:space="preserve"> модули. На европейско ниво се изпълняват редица проекти на </w:t>
      </w:r>
      <w:proofErr w:type="spellStart"/>
      <w:r w:rsidRPr="006F3533">
        <w:rPr>
          <w:rFonts w:cs="Times New Roman"/>
          <w:szCs w:val="24"/>
          <w:lang w:val="bg-BG"/>
        </w:rPr>
        <w:t>Horizon</w:t>
      </w:r>
      <w:proofErr w:type="spellEnd"/>
      <w:r w:rsidRPr="006F3533">
        <w:rPr>
          <w:rFonts w:cs="Times New Roman"/>
          <w:szCs w:val="24"/>
          <w:lang w:val="bg-BG"/>
        </w:rPr>
        <w:t xml:space="preserve"> </w:t>
      </w:r>
      <w:proofErr w:type="spellStart"/>
      <w:r w:rsidRPr="006F3533">
        <w:rPr>
          <w:rFonts w:cs="Times New Roman"/>
          <w:szCs w:val="24"/>
          <w:lang w:val="bg-BG"/>
        </w:rPr>
        <w:t>Europe</w:t>
      </w:r>
      <w:proofErr w:type="spellEnd"/>
      <w:r w:rsidRPr="006F3533">
        <w:rPr>
          <w:rFonts w:cs="Times New Roman"/>
          <w:szCs w:val="24"/>
          <w:lang w:val="bg-BG"/>
        </w:rPr>
        <w:t xml:space="preserve">, LIFE и други европейски и национални механизми, демонстриращи </w:t>
      </w:r>
      <w:proofErr w:type="spellStart"/>
      <w:r w:rsidRPr="006F3533">
        <w:rPr>
          <w:rFonts w:cs="Times New Roman"/>
          <w:szCs w:val="24"/>
          <w:lang w:val="bg-BG"/>
        </w:rPr>
        <w:t>мащабируемостта</w:t>
      </w:r>
      <w:proofErr w:type="spellEnd"/>
      <w:r w:rsidRPr="006F3533">
        <w:rPr>
          <w:rFonts w:cs="Times New Roman"/>
          <w:szCs w:val="24"/>
          <w:lang w:val="bg-BG"/>
        </w:rPr>
        <w:t xml:space="preserve"> на подхода при обновяване на многофамилни жилища.</w:t>
      </w:r>
    </w:p>
    <w:p w14:paraId="5272BE9B" w14:textId="77777777" w:rsidR="001A1208" w:rsidRPr="006F3533" w:rsidRDefault="001A1208" w:rsidP="00077D42">
      <w:pPr>
        <w:jc w:val="both"/>
        <w:rPr>
          <w:rFonts w:cs="Times New Roman"/>
          <w:szCs w:val="24"/>
          <w:lang w:val="bg-BG"/>
        </w:rPr>
      </w:pPr>
      <w:r w:rsidRPr="006F3533">
        <w:rPr>
          <w:rFonts w:cs="Times New Roman"/>
          <w:szCs w:val="24"/>
          <w:lang w:val="bg-BG"/>
        </w:rPr>
        <w:t xml:space="preserve">България се сблъсква с редица предизвикателства и движещи сили, които правят модулното строителство все по-актуално решение. </w:t>
      </w:r>
    </w:p>
    <w:p w14:paraId="170720D2" w14:textId="77777777" w:rsidR="001A1208" w:rsidRPr="006F3533" w:rsidRDefault="001A1208" w:rsidP="00077D42">
      <w:pPr>
        <w:jc w:val="both"/>
        <w:rPr>
          <w:rFonts w:cs="Times New Roman"/>
          <w:szCs w:val="24"/>
          <w:lang w:val="bg-BG"/>
        </w:rPr>
      </w:pPr>
      <w:r w:rsidRPr="006F3533">
        <w:rPr>
          <w:rFonts w:cs="Times New Roman"/>
          <w:b/>
          <w:szCs w:val="24"/>
          <w:lang w:val="bg-BG"/>
        </w:rPr>
        <w:t xml:space="preserve">Дефицит на квалифицирана работна сила: </w:t>
      </w:r>
      <w:r w:rsidRPr="006F3533">
        <w:rPr>
          <w:rFonts w:cs="Times New Roman"/>
          <w:szCs w:val="24"/>
          <w:lang w:val="bg-BG"/>
        </w:rPr>
        <w:t>Според Националния статистически институт, търсенето на строителни работници достига около 23 000 лица през 2024 г., в сравнение с 8 300 през 2023 г.</w:t>
      </w:r>
      <w:r w:rsidRPr="006F3533">
        <w:rPr>
          <w:rFonts w:cs="Times New Roman"/>
          <w:szCs w:val="24"/>
          <w:vertAlign w:val="superscript"/>
          <w:lang w:val="bg-BG"/>
        </w:rPr>
        <w:footnoteReference w:id="60"/>
      </w:r>
      <w:r w:rsidRPr="006F3533">
        <w:rPr>
          <w:rFonts w:cs="Times New Roman"/>
          <w:szCs w:val="24"/>
          <w:lang w:val="bg-BG"/>
        </w:rPr>
        <w:t xml:space="preserve"> На по-широк план, България се сблъсква с дефицит на около 260 000 работници на пазара на труда</w:t>
      </w:r>
      <w:r w:rsidRPr="006F3533">
        <w:rPr>
          <w:rFonts w:cs="Times New Roman"/>
          <w:szCs w:val="24"/>
          <w:vertAlign w:val="superscript"/>
          <w:lang w:val="bg-BG"/>
        </w:rPr>
        <w:footnoteReference w:id="61"/>
      </w:r>
      <w:r w:rsidRPr="006F3533">
        <w:rPr>
          <w:rFonts w:cs="Times New Roman"/>
          <w:szCs w:val="24"/>
          <w:lang w:val="bg-BG"/>
        </w:rPr>
        <w:t xml:space="preserve">, особено в отрасли като строителство. Модулното строителство позволява намаляване на потребността от работна сила на място чрез преместване на голяма част от производството в контролирана фабрична среда. </w:t>
      </w:r>
    </w:p>
    <w:p w14:paraId="0782C9F8" w14:textId="77777777" w:rsidR="001A1208" w:rsidRPr="006F3533" w:rsidRDefault="001A1208" w:rsidP="00077D42">
      <w:pPr>
        <w:jc w:val="both"/>
        <w:rPr>
          <w:rFonts w:cs="Times New Roman"/>
          <w:szCs w:val="24"/>
          <w:lang w:val="bg-BG"/>
        </w:rPr>
      </w:pPr>
      <w:r w:rsidRPr="006F3533">
        <w:rPr>
          <w:rFonts w:cs="Times New Roman"/>
          <w:b/>
          <w:szCs w:val="24"/>
          <w:lang w:val="bg-BG"/>
        </w:rPr>
        <w:t>Нарастващи строителни разходи и непредвидимост:</w:t>
      </w:r>
      <w:r w:rsidRPr="006F3533">
        <w:rPr>
          <w:rFonts w:cs="Times New Roman"/>
          <w:szCs w:val="24"/>
          <w:lang w:val="bg-BG"/>
        </w:rPr>
        <w:t xml:space="preserve"> През 2024 г. индексът на разходите на строителство показва устойчиво увеличение причинено от световни колебания в цените на суровините и нарастване на разходите на труда. Модулното производство позволява по-</w:t>
      </w:r>
      <w:r w:rsidRPr="006F3533">
        <w:rPr>
          <w:rFonts w:cs="Times New Roman"/>
          <w:szCs w:val="24"/>
          <w:lang w:val="bg-BG"/>
        </w:rPr>
        <w:lastRenderedPageBreak/>
        <w:t>точно планиране и потенциално намаляване на разходите при прилагане на цялостен анализ на разходите през жизнения цикъл, в съответствие с методологията за анализ на разходната оптималност по Директива (ЕС) 2024/1275</w:t>
      </w:r>
      <w:r w:rsidRPr="006F3533">
        <w:rPr>
          <w:rFonts w:cs="Times New Roman"/>
          <w:szCs w:val="24"/>
          <w:vertAlign w:val="superscript"/>
          <w:lang w:val="bg-BG"/>
        </w:rPr>
        <w:footnoteReference w:id="62"/>
      </w:r>
      <w:r w:rsidRPr="006F3533">
        <w:rPr>
          <w:rFonts w:cs="Times New Roman"/>
          <w:szCs w:val="24"/>
          <w:lang w:val="bg-BG"/>
        </w:rPr>
        <w:t xml:space="preserve">. </w:t>
      </w:r>
    </w:p>
    <w:p w14:paraId="3F8AF2FB" w14:textId="77777777" w:rsidR="001A1208" w:rsidRPr="006F3533" w:rsidRDefault="001A1208" w:rsidP="00077D42">
      <w:pPr>
        <w:jc w:val="both"/>
        <w:rPr>
          <w:rFonts w:cs="Times New Roman"/>
          <w:szCs w:val="24"/>
          <w:lang w:val="bg-BG"/>
        </w:rPr>
      </w:pPr>
      <w:r w:rsidRPr="006F3533">
        <w:rPr>
          <w:rFonts w:cs="Times New Roman"/>
          <w:b/>
          <w:szCs w:val="24"/>
          <w:lang w:val="bg-BG"/>
        </w:rPr>
        <w:t>Амбициозни национални цели:</w:t>
      </w:r>
      <w:r w:rsidRPr="006F3533">
        <w:rPr>
          <w:rFonts w:cs="Times New Roman"/>
          <w:szCs w:val="24"/>
          <w:lang w:val="bg-BG"/>
        </w:rPr>
        <w:t xml:space="preserve"> През контекста на Директива (ЕС) 2024/1275 относно енергийните характеристики на сградите, България трябва да постигне значително намаляване на енергопотреблението и емисиите на парникови газове в сградния сектор. Фабрично произведени фасадни и покривни системи, проектирани до строги енергийни стандарти, осигуряват предвидима енергийна производителност. </w:t>
      </w:r>
    </w:p>
    <w:p w14:paraId="50985063" w14:textId="77777777" w:rsidR="001A1208" w:rsidRPr="006F3533" w:rsidRDefault="001A1208" w:rsidP="00077D42">
      <w:pPr>
        <w:jc w:val="both"/>
        <w:rPr>
          <w:rFonts w:cs="Times New Roman"/>
          <w:szCs w:val="24"/>
          <w:lang w:val="bg-BG"/>
        </w:rPr>
      </w:pPr>
      <w:r w:rsidRPr="006F3533">
        <w:rPr>
          <w:rFonts w:cs="Times New Roman"/>
          <w:b/>
          <w:szCs w:val="24"/>
          <w:lang w:val="bg-BG"/>
        </w:rPr>
        <w:t>Сеизмичен риск:</w:t>
      </w:r>
      <w:r w:rsidRPr="006F3533">
        <w:rPr>
          <w:rFonts w:cs="Times New Roman"/>
          <w:szCs w:val="24"/>
          <w:lang w:val="bg-BG"/>
        </w:rPr>
        <w:t xml:space="preserve"> България се намира в регион с повишен сеизмичен риск. Жилищният фонд включва значителен брой многофамилни жилища от панелно строителство, построени през периода 1950-1980, които са близо до или превишили техния експлоатационен живот от 50-70 години, според европейския стандарт EN 1990</w:t>
      </w:r>
      <w:r w:rsidRPr="006F3533">
        <w:rPr>
          <w:rFonts w:cs="Times New Roman"/>
          <w:szCs w:val="24"/>
          <w:vertAlign w:val="superscript"/>
          <w:lang w:val="bg-BG"/>
        </w:rPr>
        <w:footnoteReference w:id="63"/>
      </w:r>
      <w:r w:rsidRPr="006F3533">
        <w:rPr>
          <w:rFonts w:cs="Times New Roman"/>
          <w:szCs w:val="24"/>
          <w:lang w:val="bg-BG"/>
        </w:rPr>
        <w:t>. Модулното строителство позволява последователни качествени сглобки, фабрично тестване на компоненти и интегриране на структурни укрепващи мерки.</w:t>
      </w:r>
    </w:p>
    <w:p w14:paraId="7E50D18F" w14:textId="77777777" w:rsidR="001A1208" w:rsidRPr="006F3533" w:rsidRDefault="001A1208" w:rsidP="00077D42">
      <w:pPr>
        <w:jc w:val="both"/>
        <w:rPr>
          <w:rFonts w:cs="Times New Roman"/>
          <w:szCs w:val="24"/>
          <w:lang w:val="bg-BG"/>
        </w:rPr>
      </w:pPr>
      <w:r w:rsidRPr="006F3533">
        <w:rPr>
          <w:rFonts w:cs="Times New Roman"/>
          <w:szCs w:val="24"/>
          <w:lang w:val="bg-BG"/>
        </w:rPr>
        <w:t xml:space="preserve">Въпреки потенциала, развитието на модулния сектор се затруднява от съществени бариери. </w:t>
      </w:r>
    </w:p>
    <w:p w14:paraId="7D8454DB" w14:textId="77777777" w:rsidR="001A1208" w:rsidRPr="006F3533" w:rsidRDefault="001A1208" w:rsidP="00077D42">
      <w:pPr>
        <w:jc w:val="both"/>
        <w:rPr>
          <w:rFonts w:cs="Times New Roman"/>
          <w:szCs w:val="24"/>
          <w:lang w:val="bg-BG"/>
        </w:rPr>
      </w:pPr>
      <w:r w:rsidRPr="006F3533">
        <w:rPr>
          <w:rFonts w:cs="Times New Roman"/>
          <w:b/>
          <w:szCs w:val="24"/>
          <w:lang w:val="bg-BG"/>
        </w:rPr>
        <w:t>Регулаторни препятствия:</w:t>
      </w:r>
      <w:r w:rsidRPr="006F3533">
        <w:rPr>
          <w:rFonts w:cs="Times New Roman"/>
          <w:szCs w:val="24"/>
          <w:lang w:val="bg-BG"/>
        </w:rPr>
        <w:t xml:space="preserve"> В българските строителни норми липсва явна процедура за признаване и одобрение на модулни системи. Всяка фабрично произведена единица подлежи на пълна архитектурна оценка. Липсват механизми на "типово одобрение" за предварително сертифицирани системи. </w:t>
      </w:r>
    </w:p>
    <w:p w14:paraId="58B843C7" w14:textId="77777777" w:rsidR="001A1208" w:rsidRPr="006F3533" w:rsidRDefault="001A1208" w:rsidP="00077D42">
      <w:pPr>
        <w:jc w:val="both"/>
        <w:rPr>
          <w:rFonts w:cs="Times New Roman"/>
          <w:szCs w:val="24"/>
          <w:lang w:val="bg-BG"/>
        </w:rPr>
      </w:pPr>
      <w:r w:rsidRPr="006F3533">
        <w:rPr>
          <w:rFonts w:cs="Times New Roman"/>
          <w:b/>
          <w:szCs w:val="24"/>
          <w:lang w:val="bg-BG"/>
        </w:rPr>
        <w:t>Дефицит на специализирани умения:</w:t>
      </w:r>
      <w:r w:rsidRPr="006F3533">
        <w:rPr>
          <w:rFonts w:cs="Times New Roman"/>
          <w:szCs w:val="24"/>
          <w:lang w:val="bg-BG"/>
        </w:rPr>
        <w:t xml:space="preserve"> България няма установени сертифицирани програми за обучение на специалисти в модулното строителство, монтажни екипи или инспектори обучени в контрола на качеството на индустриализирани системи. </w:t>
      </w:r>
    </w:p>
    <w:p w14:paraId="300D0AA0" w14:textId="77777777" w:rsidR="001A1208" w:rsidRPr="006F3533" w:rsidRDefault="001A1208" w:rsidP="00077D42">
      <w:pPr>
        <w:jc w:val="both"/>
        <w:rPr>
          <w:rFonts w:cs="Times New Roman"/>
          <w:szCs w:val="24"/>
          <w:lang w:val="bg-BG"/>
        </w:rPr>
      </w:pPr>
      <w:r w:rsidRPr="006F3533">
        <w:rPr>
          <w:rFonts w:cs="Times New Roman"/>
          <w:b/>
          <w:szCs w:val="24"/>
          <w:lang w:val="bg-BG"/>
        </w:rPr>
        <w:t xml:space="preserve">Финансови ограничения: </w:t>
      </w:r>
      <w:r w:rsidRPr="006F3533">
        <w:rPr>
          <w:rFonts w:cs="Times New Roman"/>
          <w:szCs w:val="24"/>
          <w:lang w:val="bg-BG"/>
        </w:rPr>
        <w:t xml:space="preserve">Модулното производство изисква значителен начален капитал за установяване на фабричен процес. На европейско ниво финансирането остава предизвикателство за по-малките проекти, въпреки че индустриализираното обновяване е разходно-конкурентно със традиционните методи при цялостна анализа на разходите през жизнения цикъл. </w:t>
      </w:r>
    </w:p>
    <w:p w14:paraId="7F5D7416" w14:textId="77777777" w:rsidR="001A1208" w:rsidRPr="006F3533" w:rsidRDefault="001A1208" w:rsidP="00077D42">
      <w:pPr>
        <w:jc w:val="both"/>
        <w:rPr>
          <w:rFonts w:cs="Times New Roman"/>
          <w:szCs w:val="24"/>
          <w:lang w:val="bg-BG"/>
        </w:rPr>
      </w:pPr>
      <w:r w:rsidRPr="006F3533">
        <w:rPr>
          <w:rFonts w:cs="Times New Roman"/>
          <w:b/>
          <w:szCs w:val="24"/>
          <w:lang w:val="bg-BG"/>
        </w:rPr>
        <w:t>Липса на пазарна видимост:</w:t>
      </w:r>
      <w:r w:rsidRPr="006F3533">
        <w:rPr>
          <w:rFonts w:cs="Times New Roman"/>
          <w:szCs w:val="24"/>
          <w:lang w:val="bg-BG"/>
        </w:rPr>
        <w:t xml:space="preserve"> Липсата на детайлни примери на успешни модулни проекти в България ограничава видимостта и доверието на финансови институции към подхода.</w:t>
      </w:r>
    </w:p>
    <w:p w14:paraId="693BABF8" w14:textId="77777777" w:rsidR="001A1208" w:rsidRPr="006F3533" w:rsidRDefault="001A1208" w:rsidP="00077D42">
      <w:pPr>
        <w:jc w:val="both"/>
        <w:rPr>
          <w:rFonts w:cs="Times New Roman"/>
          <w:b/>
          <w:szCs w:val="24"/>
          <w:lang w:val="bg-BG"/>
        </w:rPr>
      </w:pPr>
      <w:r w:rsidRPr="006F3533">
        <w:rPr>
          <w:rFonts w:cs="Times New Roman"/>
          <w:b/>
          <w:szCs w:val="24"/>
          <w:lang w:val="bg-BG"/>
        </w:rPr>
        <w:t>Политики и мерки за насърчаване на модулно и индустриализирано строителство</w:t>
      </w:r>
    </w:p>
    <w:p w14:paraId="30F356CA" w14:textId="77777777" w:rsidR="001A1208" w:rsidRPr="006F3533" w:rsidRDefault="001A1208" w:rsidP="00077D42">
      <w:pPr>
        <w:jc w:val="both"/>
        <w:rPr>
          <w:rFonts w:cs="Times New Roman"/>
          <w:b/>
          <w:szCs w:val="24"/>
          <w:lang w:val="bg-BG"/>
        </w:rPr>
      </w:pPr>
      <w:r w:rsidRPr="006F3533">
        <w:rPr>
          <w:rFonts w:cs="Times New Roman"/>
          <w:b/>
          <w:szCs w:val="24"/>
          <w:lang w:val="bg-BG"/>
        </w:rPr>
        <w:lastRenderedPageBreak/>
        <w:t>Нормативна рамка</w:t>
      </w:r>
    </w:p>
    <w:p w14:paraId="02556099" w14:textId="77777777" w:rsidR="001A1208" w:rsidRPr="006F3533" w:rsidRDefault="001A1208" w:rsidP="00077D42">
      <w:pPr>
        <w:jc w:val="both"/>
        <w:rPr>
          <w:rFonts w:cs="Times New Roman"/>
          <w:szCs w:val="24"/>
          <w:lang w:val="bg-BG"/>
        </w:rPr>
      </w:pPr>
      <w:r w:rsidRPr="006F3533">
        <w:rPr>
          <w:rFonts w:cs="Times New Roman"/>
          <w:szCs w:val="24"/>
          <w:lang w:val="bg-BG"/>
        </w:rPr>
        <w:t>България ще разработи и прилага указания и наредби за признаване на модулни и индустриализирани решения при обновяване и ново строителство, в съответствие с Наредба № РД-02-20-3 от 9 ноември 2022 г. относно енергийните характеристики на сградите</w:t>
      </w:r>
      <w:r w:rsidRPr="006F3533">
        <w:rPr>
          <w:rFonts w:cs="Times New Roman"/>
          <w:szCs w:val="24"/>
          <w:vertAlign w:val="superscript"/>
          <w:lang w:val="bg-BG"/>
        </w:rPr>
        <w:footnoteReference w:id="64"/>
      </w:r>
      <w:r w:rsidRPr="006F3533">
        <w:rPr>
          <w:rFonts w:cs="Times New Roman"/>
          <w:szCs w:val="24"/>
          <w:lang w:val="bg-BG"/>
        </w:rPr>
        <w:t xml:space="preserve">. Това включва признаване на фабрично произведени фасадни системи, покривни системи, </w:t>
      </w:r>
      <w:proofErr w:type="spellStart"/>
      <w:r w:rsidRPr="006F3533">
        <w:rPr>
          <w:rFonts w:cs="Times New Roman"/>
          <w:szCs w:val="24"/>
          <w:lang w:val="bg-BG"/>
        </w:rPr>
        <w:t>ОВиК</w:t>
      </w:r>
      <w:proofErr w:type="spellEnd"/>
      <w:r w:rsidRPr="006F3533">
        <w:rPr>
          <w:rFonts w:cs="Times New Roman"/>
          <w:szCs w:val="24"/>
          <w:lang w:val="bg-BG"/>
        </w:rPr>
        <w:t xml:space="preserve"> модули и интериорни модули като еквивалентни на традиционните решения при спазване на енергийни, конструктивни, пожарни изисквания и стандарти за достъпност. България ще установи механизъм за "типово одобрение" на модулни системи, който позволява бързо разрешаване на проекти когато се използват предварително одобрени системи, регистрирани в национален онлайн каталог. Каталогът ще бъде организиран по климатични зони и типове сгради, съдържащ технически данни, CE декларации, Екологични продуктови декларации (EPD) където е налично, и информация за производители. България ще хармонизира националния каталог с европейските хармонизирани стандарти (EN ISO, </w:t>
      </w:r>
      <w:proofErr w:type="spellStart"/>
      <w:r w:rsidRPr="006F3533">
        <w:rPr>
          <w:rFonts w:cs="Times New Roman"/>
          <w:szCs w:val="24"/>
          <w:lang w:val="bg-BG"/>
        </w:rPr>
        <w:t>Eurocode</w:t>
      </w:r>
      <w:proofErr w:type="spellEnd"/>
      <w:r w:rsidRPr="006F3533">
        <w:rPr>
          <w:rFonts w:cs="Times New Roman"/>
          <w:szCs w:val="24"/>
          <w:lang w:val="bg-BG"/>
        </w:rPr>
        <w:t>)</w:t>
      </w:r>
      <w:r w:rsidRPr="006F3533">
        <w:rPr>
          <w:rFonts w:cs="Times New Roman"/>
          <w:szCs w:val="24"/>
          <w:vertAlign w:val="superscript"/>
          <w:lang w:val="bg-BG"/>
        </w:rPr>
        <w:footnoteReference w:id="65"/>
      </w:r>
      <w:r w:rsidRPr="006F3533">
        <w:rPr>
          <w:rFonts w:cs="Times New Roman"/>
          <w:szCs w:val="24"/>
          <w:lang w:val="bg-BG"/>
        </w:rPr>
        <w:t xml:space="preserve"> и ще признае Декларациите за съответствие (</w:t>
      </w:r>
      <w:proofErr w:type="spellStart"/>
      <w:r w:rsidRPr="006F3533">
        <w:rPr>
          <w:rFonts w:cs="Times New Roman"/>
          <w:szCs w:val="24"/>
          <w:lang w:val="bg-BG"/>
        </w:rPr>
        <w:t>DoP</w:t>
      </w:r>
      <w:proofErr w:type="spellEnd"/>
      <w:r w:rsidRPr="006F3533">
        <w:rPr>
          <w:rFonts w:cs="Times New Roman"/>
          <w:szCs w:val="24"/>
          <w:lang w:val="bg-BG"/>
        </w:rPr>
        <w:t>) по Регламент (ЕС) 305/2011</w:t>
      </w:r>
      <w:r w:rsidRPr="006F3533">
        <w:rPr>
          <w:rFonts w:cs="Times New Roman"/>
          <w:szCs w:val="24"/>
          <w:vertAlign w:val="superscript"/>
          <w:lang w:val="bg-BG"/>
        </w:rPr>
        <w:footnoteReference w:id="66"/>
      </w:r>
      <w:r w:rsidRPr="006F3533">
        <w:rPr>
          <w:rFonts w:cs="Times New Roman"/>
          <w:szCs w:val="24"/>
          <w:lang w:val="bg-BG"/>
        </w:rPr>
        <w:t xml:space="preserve"> като достатъчни доказателства за съответствие с енергийни и конструктивни изисквания.</w:t>
      </w:r>
    </w:p>
    <w:p w14:paraId="20677F90" w14:textId="77777777" w:rsidR="001A1208" w:rsidRPr="006F3533" w:rsidRDefault="001A1208" w:rsidP="00077D42">
      <w:pPr>
        <w:jc w:val="both"/>
        <w:rPr>
          <w:rFonts w:cs="Times New Roman"/>
          <w:szCs w:val="24"/>
          <w:lang w:val="bg-BG"/>
        </w:rPr>
      </w:pPr>
      <w:r w:rsidRPr="006F3533">
        <w:rPr>
          <w:rFonts w:cs="Times New Roman"/>
          <w:szCs w:val="24"/>
          <w:lang w:val="bg-BG"/>
        </w:rPr>
        <w:t>Паралелно България ще наложи задължително използване на строително-информационното моделиране (BIM) за публично финансирани модулни проекти превишаващи €1 милион или 1 000 m², в съответствие със Директива (ЕС) 2014/24 относно обществени поръчки</w:t>
      </w:r>
      <w:r w:rsidRPr="006F3533">
        <w:rPr>
          <w:rFonts w:cs="Times New Roman"/>
          <w:szCs w:val="24"/>
          <w:vertAlign w:val="superscript"/>
          <w:lang w:val="bg-BG"/>
        </w:rPr>
        <w:footnoteReference w:id="67"/>
      </w:r>
      <w:r w:rsidRPr="006F3533">
        <w:rPr>
          <w:rFonts w:cs="Times New Roman"/>
          <w:szCs w:val="24"/>
          <w:lang w:val="bg-BG"/>
        </w:rPr>
        <w:t>, насърчавайки проектирането за производство и сглобяване (</w:t>
      </w:r>
      <w:proofErr w:type="spellStart"/>
      <w:r w:rsidRPr="006F3533">
        <w:rPr>
          <w:rFonts w:cs="Times New Roman"/>
          <w:szCs w:val="24"/>
          <w:lang w:val="bg-BG"/>
        </w:rPr>
        <w:t>DfMA</w:t>
      </w:r>
      <w:proofErr w:type="spellEnd"/>
      <w:r w:rsidRPr="006F3533">
        <w:rPr>
          <w:rFonts w:cs="Times New Roman"/>
          <w:szCs w:val="24"/>
          <w:lang w:val="bg-BG"/>
        </w:rPr>
        <w:t xml:space="preserve"> - </w:t>
      </w:r>
      <w:proofErr w:type="spellStart"/>
      <w:r w:rsidRPr="006F3533">
        <w:rPr>
          <w:rFonts w:cs="Times New Roman"/>
          <w:szCs w:val="24"/>
          <w:lang w:val="bg-BG"/>
        </w:rPr>
        <w:t>Design</w:t>
      </w:r>
      <w:proofErr w:type="spellEnd"/>
      <w:r w:rsidRPr="006F3533">
        <w:rPr>
          <w:rFonts w:cs="Times New Roman"/>
          <w:szCs w:val="24"/>
          <w:lang w:val="bg-BG"/>
        </w:rPr>
        <w:t xml:space="preserve"> </w:t>
      </w:r>
      <w:proofErr w:type="spellStart"/>
      <w:r w:rsidRPr="006F3533">
        <w:rPr>
          <w:rFonts w:cs="Times New Roman"/>
          <w:szCs w:val="24"/>
          <w:lang w:val="bg-BG"/>
        </w:rPr>
        <w:t>for</w:t>
      </w:r>
      <w:proofErr w:type="spellEnd"/>
      <w:r w:rsidRPr="006F3533">
        <w:rPr>
          <w:rFonts w:cs="Times New Roman"/>
          <w:szCs w:val="24"/>
          <w:lang w:val="bg-BG"/>
        </w:rPr>
        <w:t xml:space="preserve"> Manufacturing and </w:t>
      </w:r>
      <w:proofErr w:type="spellStart"/>
      <w:r w:rsidRPr="006F3533">
        <w:rPr>
          <w:rFonts w:cs="Times New Roman"/>
          <w:szCs w:val="24"/>
          <w:lang w:val="bg-BG"/>
        </w:rPr>
        <w:t>Assembly</w:t>
      </w:r>
      <w:proofErr w:type="spellEnd"/>
      <w:r w:rsidRPr="006F3533">
        <w:rPr>
          <w:rFonts w:cs="Times New Roman"/>
          <w:szCs w:val="24"/>
          <w:lang w:val="bg-BG"/>
        </w:rPr>
        <w:t>). BIM моделите ще бъдат интегрирани с производственото оборудване за фабрично управление и ще подкрепят преход към цифрово управлявано издаване на разрешения.</w:t>
      </w:r>
    </w:p>
    <w:p w14:paraId="3D9570B6" w14:textId="77777777" w:rsidR="001A1208" w:rsidRPr="006F3533" w:rsidRDefault="001A1208" w:rsidP="00077D42">
      <w:pPr>
        <w:jc w:val="both"/>
        <w:rPr>
          <w:rFonts w:cs="Times New Roman"/>
          <w:b/>
          <w:szCs w:val="24"/>
          <w:lang w:val="bg-BG"/>
        </w:rPr>
      </w:pPr>
      <w:r w:rsidRPr="006F3533">
        <w:rPr>
          <w:rFonts w:cs="Times New Roman"/>
          <w:b/>
          <w:szCs w:val="24"/>
          <w:lang w:val="bg-BG"/>
        </w:rPr>
        <w:t>Инициативи за научни изследвания и развитие</w:t>
      </w:r>
    </w:p>
    <w:p w14:paraId="2911C5D8" w14:textId="77777777" w:rsidR="001A1208" w:rsidRPr="006F3533" w:rsidRDefault="001A1208" w:rsidP="00077D42">
      <w:pPr>
        <w:jc w:val="both"/>
        <w:rPr>
          <w:rFonts w:cs="Times New Roman"/>
          <w:szCs w:val="24"/>
          <w:lang w:val="bg-BG"/>
        </w:rPr>
      </w:pPr>
      <w:r w:rsidRPr="006F3533">
        <w:rPr>
          <w:rFonts w:cs="Times New Roman"/>
          <w:szCs w:val="24"/>
          <w:lang w:val="bg-BG"/>
        </w:rPr>
        <w:t>България ще подкрепи инициативи за развитие на модулни решения, адаптирани към национални условия, включително сътрудничество със университети и научни институции за разработване на нови модулни системи, оптимизирани за България климатични зони (според БДС EN ISO 52010-1)</w:t>
      </w:r>
      <w:r w:rsidRPr="006F3533">
        <w:rPr>
          <w:rFonts w:cs="Times New Roman"/>
          <w:szCs w:val="24"/>
          <w:vertAlign w:val="superscript"/>
          <w:lang w:val="bg-BG"/>
        </w:rPr>
        <w:footnoteReference w:id="68"/>
      </w:r>
      <w:r w:rsidRPr="006F3533">
        <w:rPr>
          <w:rFonts w:cs="Times New Roman"/>
          <w:szCs w:val="24"/>
          <w:lang w:val="bg-BG"/>
        </w:rPr>
        <w:t xml:space="preserve"> и сеизмичния риск. България ще участва активно в </w:t>
      </w:r>
      <w:r w:rsidRPr="006F3533">
        <w:rPr>
          <w:rFonts w:cs="Times New Roman"/>
          <w:szCs w:val="24"/>
          <w:lang w:val="bg-BG"/>
        </w:rPr>
        <w:lastRenderedPageBreak/>
        <w:t>европейски проекти (</w:t>
      </w:r>
      <w:proofErr w:type="spellStart"/>
      <w:r w:rsidRPr="006F3533">
        <w:rPr>
          <w:rFonts w:cs="Times New Roman"/>
          <w:szCs w:val="24"/>
          <w:lang w:val="bg-BG"/>
        </w:rPr>
        <w:t>Horizon</w:t>
      </w:r>
      <w:proofErr w:type="spellEnd"/>
      <w:r w:rsidRPr="006F3533">
        <w:rPr>
          <w:rFonts w:cs="Times New Roman"/>
          <w:szCs w:val="24"/>
          <w:lang w:val="bg-BG"/>
        </w:rPr>
        <w:t xml:space="preserve"> </w:t>
      </w:r>
      <w:proofErr w:type="spellStart"/>
      <w:r w:rsidRPr="006F3533">
        <w:rPr>
          <w:rFonts w:cs="Times New Roman"/>
          <w:szCs w:val="24"/>
          <w:lang w:val="bg-BG"/>
        </w:rPr>
        <w:t>Europe</w:t>
      </w:r>
      <w:proofErr w:type="spellEnd"/>
      <w:r w:rsidRPr="006F3533">
        <w:rPr>
          <w:rFonts w:cs="Times New Roman"/>
          <w:szCs w:val="24"/>
          <w:lang w:val="bg-BG"/>
        </w:rPr>
        <w:t>, LIFE) фокусирани върху индустриализирано обновяване. Страната ще проведе пилотни проекти за демонстрация на техническата жизнеспособност и икономическата конкурентност на модулни решения, както и ще подкрепи развитието на цифрови инструменти и платформи за проектиране и управление на модулни системи.</w:t>
      </w:r>
    </w:p>
    <w:p w14:paraId="29DFAD23" w14:textId="77777777" w:rsidR="001A1208" w:rsidRPr="006F3533" w:rsidRDefault="001A1208" w:rsidP="00077D42">
      <w:pPr>
        <w:jc w:val="both"/>
        <w:rPr>
          <w:rFonts w:cs="Times New Roman"/>
          <w:b/>
          <w:szCs w:val="24"/>
          <w:lang w:val="bg-BG"/>
        </w:rPr>
      </w:pPr>
      <w:r w:rsidRPr="006F3533">
        <w:rPr>
          <w:rFonts w:cs="Times New Roman"/>
          <w:b/>
          <w:szCs w:val="24"/>
          <w:lang w:val="bg-BG"/>
        </w:rPr>
        <w:t>Сътрудничество и обмен на знания</w:t>
      </w:r>
    </w:p>
    <w:p w14:paraId="0501DE00" w14:textId="77777777" w:rsidR="001A1208" w:rsidRPr="006F3533" w:rsidRDefault="001A1208" w:rsidP="00077D42">
      <w:pPr>
        <w:jc w:val="both"/>
        <w:rPr>
          <w:rFonts w:cs="Times New Roman"/>
          <w:szCs w:val="24"/>
          <w:lang w:val="bg-BG"/>
        </w:rPr>
      </w:pPr>
      <w:r w:rsidRPr="006F3533">
        <w:rPr>
          <w:rFonts w:cs="Times New Roman"/>
          <w:szCs w:val="24"/>
          <w:lang w:val="bg-BG"/>
        </w:rPr>
        <w:t xml:space="preserve">България ще установи механизми за сътрудничество между министерства, местни органи, производители, професионални асоциации, академия и финансови институции, чрез национален координационен комитет. Страната ще публикува технически ръководства и документи с добри практики за модулна дизайн, производство и контрол на качеството. България ще участва в европейски мрежи за обмен на опит (напр. </w:t>
      </w:r>
      <w:proofErr w:type="spellStart"/>
      <w:r w:rsidRPr="006F3533">
        <w:rPr>
          <w:rFonts w:cs="Times New Roman"/>
          <w:szCs w:val="24"/>
          <w:lang w:val="bg-BG"/>
        </w:rPr>
        <w:t>Energiesprong</w:t>
      </w:r>
      <w:proofErr w:type="spellEnd"/>
      <w:r w:rsidRPr="006F3533">
        <w:rPr>
          <w:rFonts w:cs="Times New Roman"/>
          <w:szCs w:val="24"/>
          <w:lang w:val="bg-BG"/>
        </w:rPr>
        <w:t>) и ще организира регулярни конференции, работилници и обучителни семинари за обмен на знания между производители, проектанти, строители и надзорни органи.</w:t>
      </w:r>
    </w:p>
    <w:p w14:paraId="33AE6803" w14:textId="77777777" w:rsidR="001A1208" w:rsidRPr="006F3533" w:rsidRDefault="001A1208" w:rsidP="00077D42">
      <w:pPr>
        <w:jc w:val="both"/>
        <w:rPr>
          <w:rFonts w:cs="Times New Roman"/>
          <w:b/>
          <w:szCs w:val="24"/>
          <w:lang w:val="bg-BG"/>
        </w:rPr>
      </w:pPr>
      <w:r w:rsidRPr="006F3533">
        <w:rPr>
          <w:rFonts w:cs="Times New Roman"/>
          <w:b/>
          <w:szCs w:val="24"/>
          <w:lang w:val="bg-BG"/>
        </w:rPr>
        <w:t>Развитие на работна сила и финансиране</w:t>
      </w:r>
    </w:p>
    <w:p w14:paraId="44D915E7" w14:textId="77777777" w:rsidR="001A1208" w:rsidRPr="006F3533" w:rsidRDefault="001A1208" w:rsidP="00077D42">
      <w:pPr>
        <w:jc w:val="both"/>
        <w:rPr>
          <w:rFonts w:cs="Times New Roman"/>
          <w:szCs w:val="24"/>
          <w:lang w:val="bg-BG"/>
        </w:rPr>
      </w:pPr>
      <w:r w:rsidRPr="006F3533">
        <w:rPr>
          <w:rFonts w:cs="Times New Roman"/>
          <w:szCs w:val="24"/>
          <w:lang w:val="bg-BG"/>
        </w:rPr>
        <w:t xml:space="preserve">България ще установи и подкрепи сертифицирани програми за обучение на фабрични оператори, монтажни екипи, BIM координатори и строителни инспектори обучени в контрола на качеството на индустриализирани системи, развити в партньорство със професионални училища и университети. България ще предостави целева финансова подкрепа за модулни обновявания, включително </w:t>
      </w:r>
      <w:proofErr w:type="spellStart"/>
      <w:r w:rsidRPr="006F3533">
        <w:rPr>
          <w:rFonts w:cs="Times New Roman"/>
          <w:szCs w:val="24"/>
          <w:lang w:val="bg-BG"/>
        </w:rPr>
        <w:t>грантова</w:t>
      </w:r>
      <w:proofErr w:type="spellEnd"/>
      <w:r w:rsidRPr="006F3533">
        <w:rPr>
          <w:rFonts w:cs="Times New Roman"/>
          <w:szCs w:val="24"/>
          <w:lang w:val="bg-BG"/>
        </w:rPr>
        <w:t xml:space="preserve"> подкрепа с по-висока степен на субсидия в сравнение с традиционни обновявания, финансиране чрез партньорство с финансови институции (зелени ипотеки, договори с гарантирани енергийни спестявания), </w:t>
      </w:r>
      <w:proofErr w:type="spellStart"/>
      <w:r w:rsidRPr="006F3533">
        <w:rPr>
          <w:rFonts w:cs="Times New Roman"/>
          <w:szCs w:val="24"/>
          <w:lang w:val="bg-BG"/>
        </w:rPr>
        <w:t>агрегирани</w:t>
      </w:r>
      <w:proofErr w:type="spellEnd"/>
      <w:r w:rsidRPr="006F3533">
        <w:rPr>
          <w:rFonts w:cs="Times New Roman"/>
          <w:szCs w:val="24"/>
          <w:lang w:val="bg-BG"/>
        </w:rPr>
        <w:t xml:space="preserve"> публични поръчки събиращи множество проекти в един пакет за закупуване, финансова подкрепа за професионално обучение, и достъп до европейски финансови инструменти (EIB, EBRD, </w:t>
      </w:r>
      <w:proofErr w:type="spellStart"/>
      <w:r w:rsidRPr="006F3533">
        <w:rPr>
          <w:rFonts w:cs="Times New Roman"/>
          <w:szCs w:val="24"/>
          <w:lang w:val="bg-BG"/>
        </w:rPr>
        <w:t>Horizon</w:t>
      </w:r>
      <w:proofErr w:type="spellEnd"/>
      <w:r w:rsidRPr="006F3533">
        <w:rPr>
          <w:rFonts w:cs="Times New Roman"/>
          <w:szCs w:val="24"/>
          <w:lang w:val="bg-BG"/>
        </w:rPr>
        <w:t xml:space="preserve"> </w:t>
      </w:r>
      <w:proofErr w:type="spellStart"/>
      <w:r w:rsidRPr="006F3533">
        <w:rPr>
          <w:rFonts w:cs="Times New Roman"/>
          <w:szCs w:val="24"/>
          <w:lang w:val="bg-BG"/>
        </w:rPr>
        <w:t>Europe</w:t>
      </w:r>
      <w:proofErr w:type="spellEnd"/>
      <w:r w:rsidRPr="006F3533">
        <w:rPr>
          <w:rFonts w:cs="Times New Roman"/>
          <w:szCs w:val="24"/>
          <w:lang w:val="bg-BG"/>
        </w:rPr>
        <w:t xml:space="preserve">, </w:t>
      </w:r>
      <w:proofErr w:type="spellStart"/>
      <w:r w:rsidRPr="006F3533">
        <w:rPr>
          <w:rFonts w:cs="Times New Roman"/>
          <w:szCs w:val="24"/>
          <w:lang w:val="bg-BG"/>
        </w:rPr>
        <w:t>Modernization</w:t>
      </w:r>
      <w:proofErr w:type="spellEnd"/>
      <w:r w:rsidRPr="006F3533">
        <w:rPr>
          <w:rFonts w:cs="Times New Roman"/>
          <w:szCs w:val="24"/>
          <w:lang w:val="bg-BG"/>
        </w:rPr>
        <w:t xml:space="preserve"> </w:t>
      </w:r>
      <w:proofErr w:type="spellStart"/>
      <w:r w:rsidRPr="006F3533">
        <w:rPr>
          <w:rFonts w:cs="Times New Roman"/>
          <w:szCs w:val="24"/>
          <w:lang w:val="bg-BG"/>
        </w:rPr>
        <w:t>Fund</w:t>
      </w:r>
      <w:proofErr w:type="spellEnd"/>
      <w:r w:rsidRPr="006F3533">
        <w:rPr>
          <w:rFonts w:cs="Times New Roman"/>
          <w:szCs w:val="24"/>
          <w:lang w:val="bg-BG"/>
        </w:rPr>
        <w:t xml:space="preserve">, </w:t>
      </w:r>
      <w:proofErr w:type="spellStart"/>
      <w:r w:rsidRPr="006F3533">
        <w:rPr>
          <w:rFonts w:cs="Times New Roman"/>
          <w:szCs w:val="24"/>
          <w:lang w:val="bg-BG"/>
        </w:rPr>
        <w:t>Cohesion</w:t>
      </w:r>
      <w:proofErr w:type="spellEnd"/>
      <w:r w:rsidRPr="006F3533">
        <w:rPr>
          <w:rFonts w:cs="Times New Roman"/>
          <w:szCs w:val="24"/>
          <w:lang w:val="bg-BG"/>
        </w:rPr>
        <w:t xml:space="preserve"> </w:t>
      </w:r>
      <w:proofErr w:type="spellStart"/>
      <w:r w:rsidRPr="006F3533">
        <w:rPr>
          <w:rFonts w:cs="Times New Roman"/>
          <w:szCs w:val="24"/>
          <w:lang w:val="bg-BG"/>
        </w:rPr>
        <w:t>Funds</w:t>
      </w:r>
      <w:proofErr w:type="spellEnd"/>
      <w:r w:rsidRPr="006F3533">
        <w:rPr>
          <w:rFonts w:cs="Times New Roman"/>
          <w:szCs w:val="24"/>
          <w:lang w:val="bg-BG"/>
        </w:rPr>
        <w:t>). България ще активно работи с международни производители за обмен на технически знания и ще установи рамка за мониторинг на енергийна производителност, разходи, качество, времетраене и социални ефекти на модулни проекти.</w:t>
      </w:r>
    </w:p>
    <w:p w14:paraId="2ECC21D5" w14:textId="77777777" w:rsidR="00B572B1" w:rsidRPr="006F3533" w:rsidRDefault="00B572B1" w:rsidP="00077D42">
      <w:pPr>
        <w:jc w:val="both"/>
        <w:rPr>
          <w:rFonts w:cs="Times New Roman"/>
          <w:i/>
          <w:iCs/>
          <w:color w:val="0070C0"/>
          <w:szCs w:val="24"/>
          <w:lang w:val="bg-BG"/>
        </w:rPr>
      </w:pPr>
    </w:p>
    <w:p w14:paraId="66FE1B0F" w14:textId="77777777" w:rsidR="00F100EE" w:rsidRPr="006F3533" w:rsidRDefault="00F100EE" w:rsidP="00F100EE">
      <w:pPr>
        <w:pStyle w:val="Heading1"/>
        <w:rPr>
          <w:lang w:val="bg-BG"/>
        </w:rPr>
      </w:pPr>
      <w:bookmarkStart w:id="380" w:name="_Toc217888887"/>
      <w:r w:rsidRPr="006F3533">
        <w:rPr>
          <w:lang w:val="bg-BG"/>
        </w:rPr>
        <w:t>Обобщение на инвестиционните потребности, бюджетните източници и административния капацитет</w:t>
      </w:r>
      <w:bookmarkEnd w:id="380"/>
    </w:p>
    <w:p w14:paraId="3D60F9AC" w14:textId="4EE5857A" w:rsidR="00F100EE" w:rsidRPr="006F3533" w:rsidRDefault="00F100EE" w:rsidP="00F100EE">
      <w:pPr>
        <w:jc w:val="both"/>
        <w:rPr>
          <w:lang w:val="bg-BG"/>
        </w:rPr>
      </w:pPr>
      <w:r w:rsidRPr="006F3533">
        <w:rPr>
          <w:lang w:val="bg-BG"/>
        </w:rPr>
        <w:t>Настоящ</w:t>
      </w:r>
      <w:r w:rsidR="00E80499" w:rsidRPr="006F3533">
        <w:rPr>
          <w:lang w:val="bg-BG"/>
        </w:rPr>
        <w:t xml:space="preserve">ата секция </w:t>
      </w:r>
      <w:r w:rsidRPr="006F3533">
        <w:rPr>
          <w:lang w:val="bg-BG"/>
        </w:rPr>
        <w:t>представя обобщен преглед на инвестиционните потребности</w:t>
      </w:r>
      <w:r w:rsidRPr="006F3533">
        <w:rPr>
          <w:b/>
          <w:bCs/>
          <w:lang w:val="bg-BG"/>
        </w:rPr>
        <w:t xml:space="preserve">, </w:t>
      </w:r>
      <w:r w:rsidRPr="006F3533">
        <w:rPr>
          <w:lang w:val="bg-BG"/>
        </w:rPr>
        <w:t xml:space="preserve">необходими за изпълнението на Националния план за обновяване на сградите. В </w:t>
      </w:r>
      <w:r w:rsidR="00E80499" w:rsidRPr="006F3533">
        <w:rPr>
          <w:lang w:val="bg-BG"/>
        </w:rPr>
        <w:t>секцията</w:t>
      </w:r>
      <w:r w:rsidRPr="006F3533">
        <w:rPr>
          <w:lang w:val="bg-BG"/>
        </w:rPr>
        <w:t xml:space="preserve"> се оценява мащабът на необходимите инвестиции за обновяване на </w:t>
      </w:r>
      <w:r w:rsidR="00E80499" w:rsidRPr="006F3533">
        <w:rPr>
          <w:lang w:val="bg-BG"/>
        </w:rPr>
        <w:t xml:space="preserve">жилищния и </w:t>
      </w:r>
      <w:r w:rsidRPr="006F3533">
        <w:rPr>
          <w:lang w:val="bg-BG"/>
        </w:rPr>
        <w:t>нежилищния сграден фонд в съответствие с пътната карта и заложените цели, както и рамката за тяхното финансиране и институционално обезпечаване.</w:t>
      </w:r>
    </w:p>
    <w:p w14:paraId="4C57128D" w14:textId="77777777" w:rsidR="00F100EE" w:rsidRPr="006F3533" w:rsidRDefault="00F100EE" w:rsidP="00F100EE">
      <w:pPr>
        <w:jc w:val="both"/>
        <w:rPr>
          <w:lang w:val="bg-BG"/>
        </w:rPr>
      </w:pPr>
      <w:r w:rsidRPr="006F3533">
        <w:rPr>
          <w:lang w:val="bg-BG"/>
        </w:rPr>
        <w:lastRenderedPageBreak/>
        <w:t>Оценката на инвестиционните потребности се основава на количествените параметри на обновяването, представени в пътната карта, и служи като основа за последващия анализ на потенциалните източници на финансиране и на необходимия административен капацитет за ефективното прилагане на плана.</w:t>
      </w:r>
    </w:p>
    <w:p w14:paraId="436F879C" w14:textId="77777777" w:rsidR="00F100EE" w:rsidRPr="006F3533" w:rsidRDefault="00F100EE" w:rsidP="00F100EE">
      <w:pPr>
        <w:jc w:val="both"/>
        <w:rPr>
          <w:b/>
          <w:bCs/>
          <w:lang w:val="bg-BG"/>
        </w:rPr>
      </w:pPr>
      <w:r w:rsidRPr="006F3533">
        <w:rPr>
          <w:b/>
          <w:bCs/>
          <w:lang w:val="bg-BG"/>
        </w:rPr>
        <w:t>Подход за определяне на обновяваните площи</w:t>
      </w:r>
    </w:p>
    <w:p w14:paraId="28B24417" w14:textId="15BB2218" w:rsidR="00F100EE" w:rsidRPr="006F3533" w:rsidRDefault="00F100EE" w:rsidP="00F100EE">
      <w:pPr>
        <w:jc w:val="both"/>
        <w:rPr>
          <w:lang w:val="bg-BG"/>
        </w:rPr>
      </w:pPr>
      <w:r w:rsidRPr="006F3533">
        <w:rPr>
          <w:lang w:val="bg-BG"/>
        </w:rPr>
        <w:t xml:space="preserve">Изчисляването на необходимите инвестиции се основава на планираните за обновяване площи по периоди и по нива на обновяване, както са представени в </w:t>
      </w:r>
      <w:r w:rsidR="00E80499" w:rsidRPr="006F3533">
        <w:rPr>
          <w:lang w:val="bg-BG"/>
        </w:rPr>
        <w:t>т</w:t>
      </w:r>
      <w:r w:rsidRPr="006F3533">
        <w:rPr>
          <w:lang w:val="bg-BG"/>
        </w:rPr>
        <w:t>аблиц</w:t>
      </w:r>
      <w:r w:rsidR="00E80499" w:rsidRPr="006F3533">
        <w:rPr>
          <w:lang w:val="bg-BG"/>
        </w:rPr>
        <w:t>и</w:t>
      </w:r>
      <w:r w:rsidRPr="006F3533">
        <w:rPr>
          <w:lang w:val="bg-BG"/>
        </w:rPr>
        <w:t xml:space="preserve"> 15</w:t>
      </w:r>
      <w:r w:rsidR="00E80499" w:rsidRPr="006F3533">
        <w:rPr>
          <w:lang w:val="bg-BG"/>
        </w:rPr>
        <w:t xml:space="preserve"> (</w:t>
      </w:r>
      <w:r w:rsidRPr="006F3533">
        <w:rPr>
          <w:lang w:val="bg-BG"/>
        </w:rPr>
        <w:t>a</w:t>
      </w:r>
      <w:r w:rsidR="00E80499" w:rsidRPr="006F3533">
        <w:rPr>
          <w:lang w:val="bg-BG"/>
        </w:rPr>
        <w:t xml:space="preserve">, b и c) </w:t>
      </w:r>
      <w:r w:rsidRPr="006F3533">
        <w:rPr>
          <w:lang w:val="bg-BG"/>
        </w:rPr>
        <w:t xml:space="preserve">в </w:t>
      </w:r>
      <w:r w:rsidRPr="006F3533">
        <w:rPr>
          <w:i/>
          <w:iCs/>
          <w:lang w:val="bg-BG"/>
        </w:rPr>
        <w:t>раздел Пътна карта 2030, 2040, 2050</w:t>
      </w:r>
      <w:r w:rsidRPr="006F3533">
        <w:rPr>
          <w:lang w:val="bg-BG"/>
        </w:rPr>
        <w:t>. В нея са разграничени:</w:t>
      </w:r>
    </w:p>
    <w:p w14:paraId="59EAE6B8" w14:textId="77777777" w:rsidR="00F100EE" w:rsidRPr="006F3533" w:rsidRDefault="00F100EE" w:rsidP="00551FED">
      <w:pPr>
        <w:numPr>
          <w:ilvl w:val="0"/>
          <w:numId w:val="98"/>
        </w:numPr>
        <w:jc w:val="both"/>
        <w:rPr>
          <w:lang w:val="bg-BG"/>
        </w:rPr>
      </w:pPr>
      <w:r w:rsidRPr="006F3533">
        <w:rPr>
          <w:lang w:val="bg-BG"/>
        </w:rPr>
        <w:t>площите, които се предвижда да бъдат обновени поетапно (на стъпки);</w:t>
      </w:r>
    </w:p>
    <w:p w14:paraId="23A1FBCF" w14:textId="77777777" w:rsidR="00F100EE" w:rsidRPr="006F3533" w:rsidRDefault="00F100EE" w:rsidP="00551FED">
      <w:pPr>
        <w:numPr>
          <w:ilvl w:val="0"/>
          <w:numId w:val="98"/>
        </w:numPr>
        <w:jc w:val="both"/>
        <w:rPr>
          <w:lang w:val="bg-BG"/>
        </w:rPr>
      </w:pPr>
      <w:r w:rsidRPr="006F3533">
        <w:rPr>
          <w:lang w:val="bg-BG"/>
        </w:rPr>
        <w:t>площите, които се предвижда да бъдат подложени на цялостно обновяване.</w:t>
      </w:r>
    </w:p>
    <w:p w14:paraId="1845FB4F" w14:textId="1776CCDF" w:rsidR="00F100EE" w:rsidRPr="006F3533" w:rsidRDefault="00F100EE" w:rsidP="00F100EE">
      <w:pPr>
        <w:jc w:val="both"/>
        <w:rPr>
          <w:lang w:val="bg-BG"/>
        </w:rPr>
      </w:pPr>
      <w:r w:rsidRPr="006F3533">
        <w:rPr>
          <w:lang w:val="bg-BG"/>
        </w:rPr>
        <w:t xml:space="preserve">Обновяваните площи са определени в съответствие с политиките и регулаторните изисквания, описани в </w:t>
      </w:r>
      <w:r w:rsidR="00E80499" w:rsidRPr="006F3533">
        <w:rPr>
          <w:lang w:val="bg-BG"/>
        </w:rPr>
        <w:t>плана</w:t>
      </w:r>
      <w:r w:rsidRPr="006F3533">
        <w:rPr>
          <w:lang w:val="bg-BG"/>
        </w:rPr>
        <w:t>, включително изискванията за минимални стандарти за енергийни характеристики (МСЕХ). При планирането е приложен принципът първо да се обновяват сградите с най-лоши енергийни характеристики, който се прилага както при поетапното, така и при цялостното обновяване.</w:t>
      </w:r>
    </w:p>
    <w:p w14:paraId="4FC6C7A3" w14:textId="77777777" w:rsidR="00F100EE" w:rsidRPr="006F3533" w:rsidRDefault="00F100EE" w:rsidP="00F100EE">
      <w:pPr>
        <w:jc w:val="both"/>
        <w:rPr>
          <w:b/>
          <w:bCs/>
          <w:lang w:val="bg-BG"/>
        </w:rPr>
      </w:pPr>
      <w:r w:rsidRPr="006F3533">
        <w:rPr>
          <w:b/>
          <w:bCs/>
          <w:lang w:val="bg-BG"/>
        </w:rPr>
        <w:t>Определяне на разходите за обновяване</w:t>
      </w:r>
    </w:p>
    <w:p w14:paraId="17E58C10" w14:textId="77777777" w:rsidR="00F100EE" w:rsidRPr="006F3533" w:rsidRDefault="00F100EE" w:rsidP="00F100EE">
      <w:pPr>
        <w:jc w:val="both"/>
        <w:rPr>
          <w:lang w:val="bg-BG"/>
        </w:rPr>
      </w:pPr>
      <w:r w:rsidRPr="006F3533">
        <w:rPr>
          <w:lang w:val="bg-BG"/>
        </w:rPr>
        <w:t>За определяне на разходите за обновяване са използвани данни от националната база данни за енергийни характеристики на сградите, поддържана от АУЕР, от която са извлечени осреднени стойности на инвестиционните разходи за обновяване на различните типове нежилищни сгради при преход от един енергиен клас към друг, включително всички възможни комбинации между класовете.</w:t>
      </w:r>
    </w:p>
    <w:p w14:paraId="5C3AFF1A" w14:textId="77777777" w:rsidR="00F100EE" w:rsidRPr="006F3533" w:rsidRDefault="00F100EE" w:rsidP="00F100EE">
      <w:pPr>
        <w:jc w:val="both"/>
        <w:rPr>
          <w:lang w:val="bg-BG"/>
        </w:rPr>
      </w:pPr>
      <w:r w:rsidRPr="006F3533">
        <w:rPr>
          <w:lang w:val="bg-BG"/>
        </w:rPr>
        <w:t>На тази основа са разработени актуализирани оценки на разходите за:</w:t>
      </w:r>
    </w:p>
    <w:p w14:paraId="5E59789D" w14:textId="77777777" w:rsidR="00F100EE" w:rsidRPr="006F3533" w:rsidRDefault="00F100EE" w:rsidP="00551FED">
      <w:pPr>
        <w:numPr>
          <w:ilvl w:val="0"/>
          <w:numId w:val="99"/>
        </w:numPr>
        <w:jc w:val="both"/>
        <w:rPr>
          <w:lang w:val="bg-BG"/>
        </w:rPr>
      </w:pPr>
      <w:r w:rsidRPr="006F3533">
        <w:rPr>
          <w:lang w:val="bg-BG"/>
        </w:rPr>
        <w:t>обновяване от най-ниските енергийни класове до сгради с близко до нулево потребление на енергия (СБНПЕ);</w:t>
      </w:r>
    </w:p>
    <w:p w14:paraId="2974F5A7" w14:textId="1F547AE8" w:rsidR="00F100EE" w:rsidRPr="006F3533" w:rsidRDefault="00F100EE" w:rsidP="00551FED">
      <w:pPr>
        <w:numPr>
          <w:ilvl w:val="0"/>
          <w:numId w:val="99"/>
        </w:numPr>
        <w:jc w:val="both"/>
        <w:rPr>
          <w:lang w:val="bg-BG"/>
        </w:rPr>
      </w:pPr>
      <w:r w:rsidRPr="006F3533">
        <w:rPr>
          <w:lang w:val="bg-BG"/>
        </w:rPr>
        <w:t xml:space="preserve">обновяване до </w:t>
      </w:r>
      <w:proofErr w:type="spellStart"/>
      <w:r w:rsidR="00B818C5" w:rsidRPr="006F3533">
        <w:rPr>
          <w:lang w:val="bg-BG"/>
        </w:rPr>
        <w:t>нулевоемисионни</w:t>
      </w:r>
      <w:proofErr w:type="spellEnd"/>
      <w:r w:rsidR="00B818C5" w:rsidRPr="006F3533">
        <w:rPr>
          <w:lang w:val="bg-BG"/>
        </w:rPr>
        <w:t xml:space="preserve"> сгради </w:t>
      </w:r>
      <w:r w:rsidRPr="006F3533">
        <w:rPr>
          <w:lang w:val="bg-BG"/>
        </w:rPr>
        <w:t>(</w:t>
      </w:r>
      <w:r w:rsidR="00B818C5" w:rsidRPr="006F3533">
        <w:rPr>
          <w:lang w:val="bg-BG"/>
        </w:rPr>
        <w:t>НЕС</w:t>
      </w:r>
      <w:r w:rsidRPr="006F3533">
        <w:rPr>
          <w:lang w:val="bg-BG"/>
        </w:rPr>
        <w:t>).</w:t>
      </w:r>
    </w:p>
    <w:p w14:paraId="0700E09D" w14:textId="77777777" w:rsidR="00F100EE" w:rsidRPr="006F3533" w:rsidRDefault="00F100EE" w:rsidP="00F100EE">
      <w:pPr>
        <w:jc w:val="both"/>
        <w:rPr>
          <w:lang w:val="bg-BG"/>
        </w:rPr>
      </w:pPr>
      <w:r w:rsidRPr="006F3533">
        <w:rPr>
          <w:lang w:val="bg-BG"/>
        </w:rPr>
        <w:t>Актуализацията на осреднените стойности от базата данни е извършена чрез:</w:t>
      </w:r>
    </w:p>
    <w:p w14:paraId="47B58B73" w14:textId="77777777" w:rsidR="00F100EE" w:rsidRPr="006F3533" w:rsidRDefault="00F100EE" w:rsidP="00551FED">
      <w:pPr>
        <w:numPr>
          <w:ilvl w:val="0"/>
          <w:numId w:val="100"/>
        </w:numPr>
        <w:jc w:val="both"/>
        <w:rPr>
          <w:lang w:val="bg-BG"/>
        </w:rPr>
      </w:pPr>
      <w:r w:rsidRPr="006F3533">
        <w:rPr>
          <w:lang w:val="bg-BG"/>
        </w:rPr>
        <w:t>анализ на индивидуални примери за реално реализирани обновявания;</w:t>
      </w:r>
    </w:p>
    <w:p w14:paraId="1AB39F42" w14:textId="77777777" w:rsidR="00F100EE" w:rsidRPr="006F3533" w:rsidRDefault="00F100EE" w:rsidP="00551FED">
      <w:pPr>
        <w:numPr>
          <w:ilvl w:val="0"/>
          <w:numId w:val="100"/>
        </w:numPr>
        <w:jc w:val="both"/>
        <w:rPr>
          <w:lang w:val="bg-BG"/>
        </w:rPr>
      </w:pPr>
      <w:r w:rsidRPr="006F3533">
        <w:rPr>
          <w:lang w:val="bg-BG"/>
        </w:rPr>
        <w:t>корекция на цените с оглед на текущите пазарни условия;</w:t>
      </w:r>
    </w:p>
    <w:p w14:paraId="77F170B4" w14:textId="77777777" w:rsidR="00F100EE" w:rsidRPr="006F3533" w:rsidRDefault="00F100EE" w:rsidP="00551FED">
      <w:pPr>
        <w:numPr>
          <w:ilvl w:val="0"/>
          <w:numId w:val="100"/>
        </w:numPr>
        <w:jc w:val="both"/>
        <w:rPr>
          <w:lang w:val="bg-BG"/>
        </w:rPr>
      </w:pPr>
      <w:r w:rsidRPr="006F3533">
        <w:rPr>
          <w:lang w:val="bg-BG"/>
        </w:rPr>
        <w:t>включване на необходимите инвестиции за производство на енергия от възобновяеми енергийни източници, в съответствие с изискванията за постигане на целевите нива на енергийна ефективност.</w:t>
      </w:r>
    </w:p>
    <w:p w14:paraId="047D9F68" w14:textId="77777777" w:rsidR="00F100EE" w:rsidRPr="006F3533" w:rsidRDefault="00F100EE" w:rsidP="00F100EE">
      <w:pPr>
        <w:jc w:val="both"/>
        <w:rPr>
          <w:b/>
          <w:bCs/>
          <w:lang w:val="bg-BG"/>
        </w:rPr>
      </w:pPr>
      <w:r w:rsidRPr="006F3533">
        <w:rPr>
          <w:b/>
          <w:bCs/>
          <w:lang w:val="bg-BG"/>
        </w:rPr>
        <w:t>Отчитане на динамиката на цените</w:t>
      </w:r>
    </w:p>
    <w:p w14:paraId="62590F8D" w14:textId="77777777" w:rsidR="00F100EE" w:rsidRPr="006F3533" w:rsidRDefault="00F100EE" w:rsidP="00F100EE">
      <w:pPr>
        <w:jc w:val="both"/>
        <w:rPr>
          <w:lang w:val="bg-BG"/>
        </w:rPr>
      </w:pPr>
      <w:r w:rsidRPr="006F3533">
        <w:rPr>
          <w:lang w:val="bg-BG"/>
        </w:rPr>
        <w:lastRenderedPageBreak/>
        <w:t>При изчисляването на инвестиционните разходи е приет среден годишен темп на нарастване на цените в строителството от 3%. На тази база са определени средни специфични разходи за обновяване за всеки от разглежданите периоди в пътната карта, което позволява отчитане на инфлационните ефекти и по-реалистична оценка на бъдещите инвестиционни нужди.</w:t>
      </w:r>
    </w:p>
    <w:p w14:paraId="0DB68BF6" w14:textId="77777777" w:rsidR="00F100EE" w:rsidRPr="006F3533" w:rsidRDefault="00F100EE" w:rsidP="00F100EE">
      <w:pPr>
        <w:jc w:val="both"/>
        <w:rPr>
          <w:b/>
          <w:bCs/>
          <w:lang w:val="bg-BG"/>
        </w:rPr>
      </w:pPr>
      <w:r w:rsidRPr="006F3533">
        <w:rPr>
          <w:b/>
          <w:bCs/>
          <w:lang w:val="bg-BG"/>
        </w:rPr>
        <w:t>Изчисляване на общата необходима инвестиция</w:t>
      </w:r>
    </w:p>
    <w:p w14:paraId="2F2419E2" w14:textId="77777777" w:rsidR="00F100EE" w:rsidRPr="006F3533" w:rsidRDefault="00F100EE" w:rsidP="00F100EE">
      <w:pPr>
        <w:jc w:val="both"/>
        <w:rPr>
          <w:lang w:val="bg-BG"/>
        </w:rPr>
      </w:pPr>
      <w:r w:rsidRPr="006F3533">
        <w:rPr>
          <w:lang w:val="bg-BG"/>
        </w:rPr>
        <w:t>Общата необходима инвестиция за всеки период е изчислена чрез умножаване на:</w:t>
      </w:r>
    </w:p>
    <w:p w14:paraId="1701D1D0" w14:textId="77777777" w:rsidR="00F100EE" w:rsidRPr="006F3533" w:rsidRDefault="00F100EE" w:rsidP="00551FED">
      <w:pPr>
        <w:numPr>
          <w:ilvl w:val="0"/>
          <w:numId w:val="101"/>
        </w:numPr>
        <w:jc w:val="both"/>
        <w:rPr>
          <w:lang w:val="bg-BG"/>
        </w:rPr>
      </w:pPr>
      <w:r w:rsidRPr="006F3533">
        <w:rPr>
          <w:lang w:val="bg-BG"/>
        </w:rPr>
        <w:t>планираните за обновяване площи по тип обновяване (поетапно и цялостно);</w:t>
      </w:r>
    </w:p>
    <w:p w14:paraId="3BDAE2D1" w14:textId="77777777" w:rsidR="00F100EE" w:rsidRPr="006F3533" w:rsidRDefault="00F100EE" w:rsidP="00551FED">
      <w:pPr>
        <w:numPr>
          <w:ilvl w:val="0"/>
          <w:numId w:val="101"/>
        </w:numPr>
        <w:jc w:val="both"/>
        <w:rPr>
          <w:lang w:val="bg-BG"/>
        </w:rPr>
      </w:pPr>
      <w:r w:rsidRPr="006F3533">
        <w:rPr>
          <w:lang w:val="bg-BG"/>
        </w:rPr>
        <w:t>съответните средни специфични разходи за обновяване за периода.</w:t>
      </w:r>
    </w:p>
    <w:p w14:paraId="573C45FD" w14:textId="77777777" w:rsidR="00F100EE" w:rsidRPr="006F3533" w:rsidRDefault="00F100EE" w:rsidP="00F100EE">
      <w:pPr>
        <w:jc w:val="both"/>
        <w:rPr>
          <w:lang w:val="bg-BG"/>
        </w:rPr>
      </w:pPr>
      <w:r w:rsidRPr="006F3533">
        <w:rPr>
          <w:lang w:val="bg-BG"/>
        </w:rPr>
        <w:t>Към получените стойности е добавен допълнителен процент от 20% за покриване на разходи за съпътстващи ремонтни дейности. Тези разходи не са пряко свързани с постигането на енергоспестяващия ефект, но обикновено са неизбежни при реалното изпълнение на мерките за енергийна ефективност (функционални и експлоатационни подобрения), и поради това са отчетени като неразделна част от общата инвестиция.</w:t>
      </w:r>
    </w:p>
    <w:p w14:paraId="4335ABAE" w14:textId="788C410D" w:rsidR="00F100EE" w:rsidRPr="006F3533" w:rsidRDefault="00F100EE" w:rsidP="00F100EE">
      <w:pPr>
        <w:jc w:val="both"/>
        <w:rPr>
          <w:color w:val="7030A0"/>
          <w:lang w:val="bg-BG"/>
        </w:rPr>
        <w:sectPr w:rsidR="00F100EE" w:rsidRPr="006F3533" w:rsidSect="00D27BA3">
          <w:pgSz w:w="12240" w:h="15840"/>
          <w:pgMar w:top="1440" w:right="1440" w:bottom="1440" w:left="1440" w:header="708" w:footer="708" w:gutter="0"/>
          <w:cols w:space="708"/>
          <w:docGrid w:linePitch="360"/>
        </w:sectPr>
      </w:pPr>
      <w:r w:rsidRPr="006F3533">
        <w:rPr>
          <w:color w:val="7030A0"/>
          <w:lang w:val="bg-BG"/>
        </w:rPr>
        <w:t>Представената оценка на необходимите инвестиции в Таблица 24 отразява техническите и строителните разходи, свързани с обновяването на сградите, и служи като основа за последващия анализ на източниците на финансиране.</w:t>
      </w:r>
      <w:r w:rsidR="000D5176" w:rsidRPr="006F3533">
        <w:rPr>
          <w:color w:val="7030A0"/>
          <w:lang w:val="bg-BG"/>
        </w:rPr>
        <w:t xml:space="preserve"> В настоящия предварителен вариант на плана </w:t>
      </w:r>
      <w:r w:rsidR="000D5176" w:rsidRPr="006F3533">
        <w:rPr>
          <w:b/>
          <w:bCs/>
          <w:color w:val="7030A0"/>
          <w:lang w:val="bg-BG"/>
        </w:rPr>
        <w:t>не са дефинирани източниците на финансиране</w:t>
      </w:r>
      <w:r w:rsidR="000D5176" w:rsidRPr="006F3533">
        <w:rPr>
          <w:color w:val="7030A0"/>
          <w:lang w:val="bg-BG"/>
        </w:rPr>
        <w:t xml:space="preserve">, тъй като това решение следва да бъде взето след валидиране на целите в рамките на по-широка професионална и публична дискусия, </w:t>
      </w:r>
      <w:r w:rsidR="00CC659B" w:rsidRPr="006F3533">
        <w:rPr>
          <w:color w:val="7030A0"/>
          <w:lang w:val="bg-BG"/>
        </w:rPr>
        <w:t>в</w:t>
      </w:r>
      <w:r w:rsidR="000D5176" w:rsidRPr="006F3533">
        <w:rPr>
          <w:color w:val="7030A0"/>
          <w:lang w:val="bg-BG"/>
        </w:rPr>
        <w:t xml:space="preserve"> идеалния случай </w:t>
      </w:r>
      <w:r w:rsidR="00CC659B" w:rsidRPr="006F3533">
        <w:rPr>
          <w:color w:val="7030A0"/>
          <w:lang w:val="bg-BG"/>
        </w:rPr>
        <w:t xml:space="preserve">- </w:t>
      </w:r>
      <w:r w:rsidR="000D5176" w:rsidRPr="006F3533">
        <w:rPr>
          <w:color w:val="7030A0"/>
          <w:lang w:val="bg-BG"/>
        </w:rPr>
        <w:t>от отговорните институции в ситуация на редовно правителство</w:t>
      </w:r>
      <w:r w:rsidR="00CC659B" w:rsidRPr="006F3533">
        <w:rPr>
          <w:color w:val="7030A0"/>
          <w:lang w:val="bg-BG"/>
        </w:rPr>
        <w:t>, каквато към края на 2025 г. не е налична. Въпреки това, независимо от обстоятелствата,  дефиниране на източниците на финансиране и поемане на бюджетни ангажименти ще бъде представено в окончателната версия на плана.</w:t>
      </w:r>
    </w:p>
    <w:p w14:paraId="1F7F8768" w14:textId="77777777" w:rsidR="00F100EE" w:rsidRPr="006F3533" w:rsidRDefault="00F100EE" w:rsidP="00F100EE">
      <w:pPr>
        <w:jc w:val="both"/>
        <w:rPr>
          <w:color w:val="00B050"/>
          <w:lang w:val="bg-BG"/>
        </w:rPr>
      </w:pPr>
    </w:p>
    <w:p w14:paraId="7FB8456F" w14:textId="77777777" w:rsidR="00F100EE" w:rsidRPr="006F3533" w:rsidRDefault="00F100EE" w:rsidP="00F100EE">
      <w:pPr>
        <w:rPr>
          <w:i/>
          <w:iCs/>
          <w:color w:val="4472C4" w:themeColor="accent1"/>
          <w:lang w:val="bg-BG"/>
        </w:rPr>
      </w:pPr>
      <w:r w:rsidRPr="006F3533">
        <w:rPr>
          <w:i/>
          <w:iCs/>
          <w:color w:val="4472C4" w:themeColor="accent1"/>
          <w:lang w:val="bg-BG"/>
        </w:rPr>
        <w:t>Таблица 24. Оценка на инвестиционните нужди за обновяване на сградите за периода 2030-2050 г.</w:t>
      </w:r>
    </w:p>
    <w:tbl>
      <w:tblPr>
        <w:tblStyle w:val="TableGrid"/>
        <w:tblW w:w="0" w:type="auto"/>
        <w:tblLayout w:type="fixed"/>
        <w:tblLook w:val="04A0" w:firstRow="1" w:lastRow="0" w:firstColumn="1" w:lastColumn="0" w:noHBand="0" w:noVBand="1"/>
      </w:tblPr>
      <w:tblGrid>
        <w:gridCol w:w="1271"/>
        <w:gridCol w:w="2835"/>
        <w:gridCol w:w="851"/>
        <w:gridCol w:w="1332"/>
        <w:gridCol w:w="1332"/>
        <w:gridCol w:w="1332"/>
        <w:gridCol w:w="1332"/>
        <w:gridCol w:w="1332"/>
        <w:gridCol w:w="1333"/>
      </w:tblGrid>
      <w:tr w:rsidR="000D5176" w:rsidRPr="006F3533" w14:paraId="2DEC34E3" w14:textId="77777777" w:rsidTr="000D5176">
        <w:tc>
          <w:tcPr>
            <w:tcW w:w="1271" w:type="dxa"/>
            <w:shd w:val="clear" w:color="auto" w:fill="D9D9D9" w:themeFill="background1" w:themeFillShade="D9"/>
          </w:tcPr>
          <w:p w14:paraId="5B4CA909" w14:textId="77777777" w:rsidR="00F100EE" w:rsidRPr="006F3533" w:rsidRDefault="00F100EE" w:rsidP="00F100EE">
            <w:pPr>
              <w:spacing w:after="160" w:line="259" w:lineRule="auto"/>
              <w:rPr>
                <w:sz w:val="22"/>
                <w:szCs w:val="20"/>
                <w:lang w:val="bg-BG"/>
              </w:rPr>
            </w:pPr>
            <w:bookmarkStart w:id="381" w:name="_Hlk217553444"/>
            <w:r w:rsidRPr="006F3533">
              <w:rPr>
                <w:sz w:val="22"/>
                <w:szCs w:val="20"/>
                <w:lang w:val="bg-BG"/>
              </w:rPr>
              <w:t>Разбивка</w:t>
            </w:r>
          </w:p>
        </w:tc>
        <w:tc>
          <w:tcPr>
            <w:tcW w:w="2835" w:type="dxa"/>
            <w:shd w:val="clear" w:color="auto" w:fill="D9D9D9" w:themeFill="background1" w:themeFillShade="D9"/>
          </w:tcPr>
          <w:p w14:paraId="26FDA5E6" w14:textId="77777777" w:rsidR="00F100EE" w:rsidRPr="006F3533" w:rsidRDefault="00F100EE" w:rsidP="00F100EE">
            <w:pPr>
              <w:spacing w:after="160" w:line="259" w:lineRule="auto"/>
              <w:rPr>
                <w:sz w:val="22"/>
                <w:szCs w:val="20"/>
                <w:lang w:val="bg-BG"/>
              </w:rPr>
            </w:pPr>
            <w:r w:rsidRPr="006F3533">
              <w:rPr>
                <w:sz w:val="22"/>
                <w:szCs w:val="20"/>
                <w:lang w:val="bg-BG"/>
              </w:rPr>
              <w:t>Инвестиционни нужди за обновяване на съществуващия сграден фонд (</w:t>
            </w:r>
            <w:proofErr w:type="spellStart"/>
            <w:r w:rsidRPr="006F3533">
              <w:rPr>
                <w:sz w:val="22"/>
                <w:szCs w:val="20"/>
                <w:lang w:val="bg-BG"/>
              </w:rPr>
              <w:t>million</w:t>
            </w:r>
            <w:proofErr w:type="spellEnd"/>
            <w:r w:rsidRPr="006F3533">
              <w:rPr>
                <w:sz w:val="22"/>
                <w:szCs w:val="20"/>
                <w:lang w:val="bg-BG"/>
              </w:rPr>
              <w:t xml:space="preserve"> EUR)</w:t>
            </w:r>
          </w:p>
        </w:tc>
        <w:tc>
          <w:tcPr>
            <w:tcW w:w="851" w:type="dxa"/>
            <w:shd w:val="clear" w:color="auto" w:fill="D9D9D9" w:themeFill="background1" w:themeFillShade="D9"/>
          </w:tcPr>
          <w:p w14:paraId="6BD2240C" w14:textId="77777777" w:rsidR="00F100EE" w:rsidRPr="006F3533" w:rsidRDefault="00F100EE" w:rsidP="00F100EE">
            <w:pPr>
              <w:spacing w:after="160" w:line="259" w:lineRule="auto"/>
              <w:rPr>
                <w:sz w:val="22"/>
                <w:szCs w:val="20"/>
                <w:lang w:val="bg-BG"/>
              </w:rPr>
            </w:pPr>
            <w:r w:rsidRPr="006F3533">
              <w:rPr>
                <w:sz w:val="22"/>
                <w:szCs w:val="20"/>
                <w:lang w:val="bg-BG"/>
              </w:rPr>
              <w:t>M/</w:t>
            </w:r>
          </w:p>
          <w:p w14:paraId="77BDC2BD" w14:textId="77777777" w:rsidR="00F100EE" w:rsidRPr="006F3533" w:rsidRDefault="00F100EE" w:rsidP="00F100EE">
            <w:pPr>
              <w:spacing w:after="160" w:line="259" w:lineRule="auto"/>
              <w:rPr>
                <w:sz w:val="22"/>
                <w:szCs w:val="20"/>
                <w:lang w:val="bg-BG"/>
              </w:rPr>
            </w:pPr>
            <w:proofErr w:type="spellStart"/>
            <w:r w:rsidRPr="006F3533">
              <w:rPr>
                <w:sz w:val="22"/>
                <w:szCs w:val="20"/>
                <w:lang w:val="bg-BG"/>
              </w:rPr>
              <w:t>Miav</w:t>
            </w:r>
            <w:proofErr w:type="spellEnd"/>
          </w:p>
        </w:tc>
        <w:tc>
          <w:tcPr>
            <w:tcW w:w="1332" w:type="dxa"/>
            <w:shd w:val="clear" w:color="auto" w:fill="D9D9D9" w:themeFill="background1" w:themeFillShade="D9"/>
          </w:tcPr>
          <w:p w14:paraId="45E4B988" w14:textId="77777777" w:rsidR="00F100EE" w:rsidRPr="006F3533" w:rsidRDefault="00F100EE" w:rsidP="00F100EE">
            <w:pPr>
              <w:spacing w:after="160" w:line="259" w:lineRule="auto"/>
              <w:rPr>
                <w:sz w:val="22"/>
                <w:szCs w:val="20"/>
                <w:lang w:val="bg-BG"/>
              </w:rPr>
            </w:pPr>
            <w:r w:rsidRPr="006F3533">
              <w:rPr>
                <w:sz w:val="22"/>
                <w:szCs w:val="20"/>
                <w:lang w:val="bg-BG"/>
              </w:rPr>
              <w:t>2026-2030</w:t>
            </w:r>
          </w:p>
        </w:tc>
        <w:tc>
          <w:tcPr>
            <w:tcW w:w="1332" w:type="dxa"/>
            <w:shd w:val="clear" w:color="auto" w:fill="D9D9D9" w:themeFill="background1" w:themeFillShade="D9"/>
          </w:tcPr>
          <w:p w14:paraId="72AE6D65" w14:textId="77777777" w:rsidR="00F100EE" w:rsidRPr="006F3533" w:rsidRDefault="00F100EE" w:rsidP="00F100EE">
            <w:pPr>
              <w:spacing w:after="160" w:line="259" w:lineRule="auto"/>
              <w:rPr>
                <w:sz w:val="22"/>
                <w:szCs w:val="20"/>
                <w:lang w:val="bg-BG"/>
              </w:rPr>
            </w:pPr>
            <w:r w:rsidRPr="006F3533">
              <w:rPr>
                <w:sz w:val="22"/>
                <w:szCs w:val="20"/>
                <w:lang w:val="bg-BG"/>
              </w:rPr>
              <w:t>2031-2033</w:t>
            </w:r>
          </w:p>
        </w:tc>
        <w:tc>
          <w:tcPr>
            <w:tcW w:w="1332" w:type="dxa"/>
            <w:shd w:val="clear" w:color="auto" w:fill="D9D9D9" w:themeFill="background1" w:themeFillShade="D9"/>
          </w:tcPr>
          <w:p w14:paraId="28A7B77A" w14:textId="77777777" w:rsidR="00F100EE" w:rsidRPr="006F3533" w:rsidRDefault="00F100EE" w:rsidP="00F100EE">
            <w:pPr>
              <w:spacing w:after="160" w:line="259" w:lineRule="auto"/>
              <w:rPr>
                <w:sz w:val="22"/>
                <w:szCs w:val="20"/>
                <w:lang w:val="bg-BG"/>
              </w:rPr>
            </w:pPr>
            <w:r w:rsidRPr="006F3533">
              <w:rPr>
                <w:sz w:val="22"/>
                <w:szCs w:val="20"/>
                <w:lang w:val="bg-BG"/>
              </w:rPr>
              <w:t>2033-2035</w:t>
            </w:r>
          </w:p>
        </w:tc>
        <w:tc>
          <w:tcPr>
            <w:tcW w:w="1332" w:type="dxa"/>
            <w:shd w:val="clear" w:color="auto" w:fill="D9D9D9" w:themeFill="background1" w:themeFillShade="D9"/>
          </w:tcPr>
          <w:p w14:paraId="4536797E" w14:textId="77777777" w:rsidR="00F100EE" w:rsidRPr="006F3533" w:rsidRDefault="00F100EE" w:rsidP="00F100EE">
            <w:pPr>
              <w:spacing w:after="160" w:line="259" w:lineRule="auto"/>
              <w:rPr>
                <w:sz w:val="22"/>
                <w:szCs w:val="20"/>
                <w:lang w:val="bg-BG"/>
              </w:rPr>
            </w:pPr>
            <w:r w:rsidRPr="006F3533">
              <w:rPr>
                <w:sz w:val="22"/>
                <w:szCs w:val="20"/>
                <w:lang w:val="bg-BG"/>
              </w:rPr>
              <w:t>2036-2040</w:t>
            </w:r>
          </w:p>
        </w:tc>
        <w:tc>
          <w:tcPr>
            <w:tcW w:w="1332" w:type="dxa"/>
            <w:shd w:val="clear" w:color="auto" w:fill="D9D9D9" w:themeFill="background1" w:themeFillShade="D9"/>
          </w:tcPr>
          <w:p w14:paraId="55DFBD20" w14:textId="77777777" w:rsidR="00F100EE" w:rsidRPr="006F3533" w:rsidRDefault="00F100EE" w:rsidP="00F100EE">
            <w:pPr>
              <w:spacing w:after="160" w:line="259" w:lineRule="auto"/>
              <w:rPr>
                <w:sz w:val="22"/>
                <w:szCs w:val="20"/>
                <w:lang w:val="bg-BG"/>
              </w:rPr>
            </w:pPr>
            <w:r w:rsidRPr="006F3533">
              <w:rPr>
                <w:sz w:val="22"/>
                <w:szCs w:val="20"/>
                <w:lang w:val="bg-BG"/>
              </w:rPr>
              <w:t>2041-2045</w:t>
            </w:r>
          </w:p>
        </w:tc>
        <w:tc>
          <w:tcPr>
            <w:tcW w:w="1333" w:type="dxa"/>
            <w:shd w:val="clear" w:color="auto" w:fill="D9D9D9" w:themeFill="background1" w:themeFillShade="D9"/>
          </w:tcPr>
          <w:p w14:paraId="0367531D" w14:textId="77777777" w:rsidR="00F100EE" w:rsidRPr="006F3533" w:rsidRDefault="00F100EE" w:rsidP="00F100EE">
            <w:pPr>
              <w:spacing w:after="160" w:line="259" w:lineRule="auto"/>
              <w:rPr>
                <w:sz w:val="22"/>
                <w:szCs w:val="20"/>
                <w:lang w:val="bg-BG"/>
              </w:rPr>
            </w:pPr>
            <w:r w:rsidRPr="006F3533">
              <w:rPr>
                <w:sz w:val="22"/>
                <w:szCs w:val="20"/>
                <w:lang w:val="bg-BG"/>
              </w:rPr>
              <w:t>2046-2050</w:t>
            </w:r>
          </w:p>
        </w:tc>
      </w:tr>
      <w:tr w:rsidR="00DE4EB5" w:rsidRPr="006F3533" w14:paraId="006A0CEA" w14:textId="77777777" w:rsidTr="000D5176">
        <w:tc>
          <w:tcPr>
            <w:tcW w:w="1271" w:type="dxa"/>
            <w:vMerge w:val="restart"/>
            <w:shd w:val="clear" w:color="auto" w:fill="E7E6E6" w:themeFill="background2"/>
          </w:tcPr>
          <w:p w14:paraId="59B5A887" w14:textId="77777777" w:rsidR="00DE4EB5" w:rsidRPr="006F3533" w:rsidRDefault="00DE4EB5" w:rsidP="00DE4EB5">
            <w:pPr>
              <w:spacing w:after="160" w:line="259" w:lineRule="auto"/>
              <w:rPr>
                <w:sz w:val="22"/>
                <w:szCs w:val="20"/>
                <w:lang w:val="bg-BG"/>
              </w:rPr>
            </w:pPr>
          </w:p>
          <w:p w14:paraId="290F287F" w14:textId="77777777" w:rsidR="00DE4EB5" w:rsidRPr="006F3533" w:rsidRDefault="00DE4EB5" w:rsidP="00DE4EB5">
            <w:pPr>
              <w:spacing w:after="160" w:line="259" w:lineRule="auto"/>
              <w:rPr>
                <w:sz w:val="22"/>
                <w:szCs w:val="20"/>
                <w:lang w:val="bg-BG"/>
              </w:rPr>
            </w:pPr>
          </w:p>
          <w:p w14:paraId="459167BA" w14:textId="77777777" w:rsidR="00DE4EB5" w:rsidRPr="006F3533" w:rsidRDefault="00DE4EB5" w:rsidP="00DE4EB5">
            <w:pPr>
              <w:spacing w:after="160" w:line="259" w:lineRule="auto"/>
              <w:rPr>
                <w:sz w:val="22"/>
                <w:szCs w:val="20"/>
                <w:lang w:val="bg-BG"/>
              </w:rPr>
            </w:pPr>
          </w:p>
          <w:p w14:paraId="7645315E" w14:textId="77777777" w:rsidR="00DE4EB5" w:rsidRPr="006F3533" w:rsidRDefault="00DE4EB5" w:rsidP="00DE4EB5">
            <w:pPr>
              <w:spacing w:after="160" w:line="259" w:lineRule="auto"/>
              <w:rPr>
                <w:sz w:val="22"/>
                <w:szCs w:val="20"/>
                <w:lang w:val="bg-BG"/>
              </w:rPr>
            </w:pPr>
          </w:p>
          <w:p w14:paraId="5783EB71" w14:textId="77777777" w:rsidR="00DE4EB5" w:rsidRPr="006F3533" w:rsidRDefault="00DE4EB5" w:rsidP="00DE4EB5">
            <w:pPr>
              <w:spacing w:after="160" w:line="259" w:lineRule="auto"/>
              <w:rPr>
                <w:sz w:val="22"/>
                <w:szCs w:val="20"/>
                <w:lang w:val="bg-BG"/>
              </w:rPr>
            </w:pPr>
            <w:r w:rsidRPr="006F3533">
              <w:rPr>
                <w:sz w:val="22"/>
                <w:szCs w:val="20"/>
                <w:lang w:val="bg-BG"/>
              </w:rPr>
              <w:t>Инвестиционни нужди</w:t>
            </w:r>
          </w:p>
        </w:tc>
        <w:tc>
          <w:tcPr>
            <w:tcW w:w="2835" w:type="dxa"/>
          </w:tcPr>
          <w:p w14:paraId="7AEC3779" w14:textId="77777777" w:rsidR="00DE4EB5" w:rsidRPr="006F3533" w:rsidRDefault="00DE4EB5" w:rsidP="00DE4EB5">
            <w:pPr>
              <w:spacing w:after="160" w:line="259" w:lineRule="auto"/>
              <w:rPr>
                <w:sz w:val="22"/>
                <w:szCs w:val="20"/>
                <w:lang w:val="bg-BG"/>
              </w:rPr>
            </w:pPr>
            <w:r w:rsidRPr="006F3533">
              <w:rPr>
                <w:sz w:val="22"/>
                <w:szCs w:val="20"/>
                <w:lang w:val="bg-BG"/>
              </w:rPr>
              <w:t>Жилищни сгради</w:t>
            </w:r>
          </w:p>
          <w:p w14:paraId="53190C99" w14:textId="77777777" w:rsidR="00DE4EB5" w:rsidRPr="006F3533" w:rsidRDefault="00DE4EB5" w:rsidP="00DE4EB5">
            <w:pPr>
              <w:spacing w:after="160" w:line="259" w:lineRule="auto"/>
              <w:rPr>
                <w:sz w:val="22"/>
                <w:szCs w:val="20"/>
                <w:lang w:val="bg-BG"/>
              </w:rPr>
            </w:pPr>
          </w:p>
        </w:tc>
        <w:tc>
          <w:tcPr>
            <w:tcW w:w="851" w:type="dxa"/>
          </w:tcPr>
          <w:p w14:paraId="03053C4D" w14:textId="77777777" w:rsidR="00DE4EB5" w:rsidRPr="006F3533" w:rsidRDefault="00DE4EB5" w:rsidP="00DE4EB5">
            <w:pPr>
              <w:spacing w:after="160" w:line="259" w:lineRule="auto"/>
              <w:rPr>
                <w:sz w:val="22"/>
                <w:szCs w:val="20"/>
                <w:lang w:val="bg-BG"/>
              </w:rPr>
            </w:pPr>
            <w:r w:rsidRPr="006F3533">
              <w:rPr>
                <w:sz w:val="22"/>
                <w:szCs w:val="20"/>
                <w:lang w:val="bg-BG"/>
              </w:rPr>
              <w:t>M</w:t>
            </w:r>
          </w:p>
          <w:p w14:paraId="7AE70CF7" w14:textId="77777777" w:rsidR="00DE4EB5" w:rsidRPr="006F3533" w:rsidRDefault="00DE4EB5" w:rsidP="00DE4EB5">
            <w:pPr>
              <w:spacing w:after="160" w:line="259" w:lineRule="auto"/>
              <w:rPr>
                <w:sz w:val="22"/>
                <w:szCs w:val="20"/>
                <w:lang w:val="bg-BG"/>
              </w:rPr>
            </w:pPr>
          </w:p>
        </w:tc>
        <w:tc>
          <w:tcPr>
            <w:tcW w:w="1332" w:type="dxa"/>
          </w:tcPr>
          <w:p w14:paraId="0CE96C60" w14:textId="3EA7CAFF" w:rsidR="00DE4EB5" w:rsidRPr="00DE4EB5" w:rsidRDefault="00DE4EB5" w:rsidP="00DE4EB5">
            <w:pPr>
              <w:spacing w:after="160" w:line="259" w:lineRule="auto"/>
              <w:rPr>
                <w:sz w:val="22"/>
                <w:szCs w:val="20"/>
                <w:lang w:val="bg-BG"/>
              </w:rPr>
            </w:pPr>
            <w:r w:rsidRPr="00DE4EB5">
              <w:rPr>
                <w:sz w:val="22"/>
                <w:szCs w:val="20"/>
                <w:lang w:val="bg-BG"/>
              </w:rPr>
              <w:t>8 274,128</w:t>
            </w:r>
          </w:p>
        </w:tc>
        <w:tc>
          <w:tcPr>
            <w:tcW w:w="1332" w:type="dxa"/>
          </w:tcPr>
          <w:p w14:paraId="71EF6707" w14:textId="5A10B6CD" w:rsidR="00DE4EB5" w:rsidRPr="00DE4EB5" w:rsidRDefault="00DE4EB5" w:rsidP="00DE4EB5">
            <w:pPr>
              <w:spacing w:after="160" w:line="259" w:lineRule="auto"/>
              <w:rPr>
                <w:sz w:val="22"/>
                <w:szCs w:val="20"/>
                <w:lang w:val="bg-BG"/>
              </w:rPr>
            </w:pPr>
            <w:r w:rsidRPr="00DE4EB5">
              <w:rPr>
                <w:sz w:val="22"/>
                <w:szCs w:val="20"/>
                <w:lang w:val="bg-BG"/>
              </w:rPr>
              <w:t>2 117,754</w:t>
            </w:r>
          </w:p>
        </w:tc>
        <w:tc>
          <w:tcPr>
            <w:tcW w:w="1332" w:type="dxa"/>
          </w:tcPr>
          <w:p w14:paraId="085074AD" w14:textId="4943BCAA" w:rsidR="00DE4EB5" w:rsidRPr="00DE4EB5" w:rsidRDefault="00DE4EB5" w:rsidP="00DE4EB5">
            <w:pPr>
              <w:spacing w:after="160" w:line="259" w:lineRule="auto"/>
              <w:rPr>
                <w:sz w:val="22"/>
                <w:szCs w:val="20"/>
                <w:lang w:val="bg-BG"/>
              </w:rPr>
            </w:pPr>
            <w:r w:rsidRPr="00DE4EB5">
              <w:rPr>
                <w:sz w:val="22"/>
                <w:szCs w:val="20"/>
                <w:lang w:val="bg-BG"/>
              </w:rPr>
              <w:t>830,928</w:t>
            </w:r>
          </w:p>
        </w:tc>
        <w:tc>
          <w:tcPr>
            <w:tcW w:w="1332" w:type="dxa"/>
          </w:tcPr>
          <w:p w14:paraId="1198D184" w14:textId="77777777" w:rsidR="00DE4EB5" w:rsidRPr="006F3533" w:rsidRDefault="00DE4EB5" w:rsidP="00DE4EB5">
            <w:pPr>
              <w:spacing w:after="160" w:line="259" w:lineRule="auto"/>
              <w:rPr>
                <w:sz w:val="22"/>
                <w:szCs w:val="20"/>
                <w:lang w:val="bg-BG"/>
              </w:rPr>
            </w:pPr>
          </w:p>
        </w:tc>
        <w:tc>
          <w:tcPr>
            <w:tcW w:w="1332" w:type="dxa"/>
          </w:tcPr>
          <w:p w14:paraId="2EAA5F10" w14:textId="77777777" w:rsidR="00DE4EB5" w:rsidRPr="006F3533" w:rsidRDefault="00DE4EB5" w:rsidP="00DE4EB5">
            <w:pPr>
              <w:spacing w:after="160" w:line="259" w:lineRule="auto"/>
              <w:rPr>
                <w:sz w:val="22"/>
                <w:szCs w:val="20"/>
                <w:lang w:val="bg-BG"/>
              </w:rPr>
            </w:pPr>
          </w:p>
        </w:tc>
        <w:tc>
          <w:tcPr>
            <w:tcW w:w="1333" w:type="dxa"/>
          </w:tcPr>
          <w:p w14:paraId="590DC5CC" w14:textId="77777777" w:rsidR="00DE4EB5" w:rsidRPr="006F3533" w:rsidRDefault="00DE4EB5" w:rsidP="00DE4EB5">
            <w:pPr>
              <w:spacing w:after="160" w:line="259" w:lineRule="auto"/>
              <w:rPr>
                <w:sz w:val="22"/>
                <w:szCs w:val="20"/>
                <w:lang w:val="bg-BG"/>
              </w:rPr>
            </w:pPr>
          </w:p>
        </w:tc>
      </w:tr>
      <w:tr w:rsidR="00DE4EB5" w:rsidRPr="006F3533" w14:paraId="635EBF1E" w14:textId="77777777" w:rsidTr="000D5176">
        <w:tc>
          <w:tcPr>
            <w:tcW w:w="1271" w:type="dxa"/>
            <w:vMerge/>
            <w:shd w:val="clear" w:color="auto" w:fill="E7E6E6" w:themeFill="background2"/>
          </w:tcPr>
          <w:p w14:paraId="7F7E0C66" w14:textId="77777777" w:rsidR="00DE4EB5" w:rsidRPr="006F3533" w:rsidRDefault="00DE4EB5" w:rsidP="00DE4EB5">
            <w:pPr>
              <w:spacing w:after="160" w:line="259" w:lineRule="auto"/>
              <w:rPr>
                <w:sz w:val="22"/>
                <w:szCs w:val="20"/>
                <w:lang w:val="bg-BG"/>
              </w:rPr>
            </w:pPr>
          </w:p>
        </w:tc>
        <w:tc>
          <w:tcPr>
            <w:tcW w:w="2835" w:type="dxa"/>
          </w:tcPr>
          <w:p w14:paraId="21AEA962" w14:textId="77777777" w:rsidR="00DE4EB5" w:rsidRPr="006F3533" w:rsidRDefault="00DE4EB5" w:rsidP="00DE4EB5">
            <w:pPr>
              <w:spacing w:after="160" w:line="259" w:lineRule="auto"/>
              <w:rPr>
                <w:i/>
                <w:iCs/>
                <w:sz w:val="22"/>
                <w:szCs w:val="20"/>
                <w:lang w:val="bg-BG"/>
              </w:rPr>
            </w:pPr>
            <w:proofErr w:type="spellStart"/>
            <w:r w:rsidRPr="006F3533">
              <w:rPr>
                <w:i/>
                <w:iCs/>
                <w:sz w:val="22"/>
                <w:szCs w:val="20"/>
                <w:lang w:val="bg-BG"/>
              </w:rPr>
              <w:t>Out</w:t>
            </w:r>
            <w:proofErr w:type="spellEnd"/>
            <w:r w:rsidRPr="006F3533">
              <w:rPr>
                <w:i/>
                <w:iCs/>
                <w:sz w:val="22"/>
                <w:szCs w:val="20"/>
                <w:lang w:val="bg-BG"/>
              </w:rPr>
              <w:t xml:space="preserve"> </w:t>
            </w:r>
            <w:proofErr w:type="spellStart"/>
            <w:r w:rsidRPr="006F3533">
              <w:rPr>
                <w:i/>
                <w:iCs/>
                <w:sz w:val="22"/>
                <w:szCs w:val="20"/>
                <w:lang w:val="bg-BG"/>
              </w:rPr>
              <w:t>of</w:t>
            </w:r>
            <w:proofErr w:type="spellEnd"/>
            <w:r w:rsidRPr="006F3533">
              <w:rPr>
                <w:i/>
                <w:iCs/>
                <w:sz w:val="22"/>
                <w:szCs w:val="20"/>
                <w:lang w:val="bg-BG"/>
              </w:rPr>
              <w:t xml:space="preserve"> </w:t>
            </w:r>
            <w:proofErr w:type="spellStart"/>
            <w:r w:rsidRPr="006F3533">
              <w:rPr>
                <w:i/>
                <w:iCs/>
                <w:sz w:val="22"/>
                <w:szCs w:val="20"/>
                <w:lang w:val="bg-BG"/>
              </w:rPr>
              <w:t>which</w:t>
            </w:r>
            <w:proofErr w:type="spellEnd"/>
            <w:r w:rsidRPr="006F3533">
              <w:rPr>
                <w:i/>
                <w:iCs/>
                <w:sz w:val="22"/>
                <w:szCs w:val="20"/>
                <w:lang w:val="bg-BG"/>
              </w:rPr>
              <w:t xml:space="preserve"> </w:t>
            </w:r>
            <w:proofErr w:type="spellStart"/>
            <w:r w:rsidRPr="006F3533">
              <w:rPr>
                <w:i/>
                <w:iCs/>
                <w:sz w:val="22"/>
                <w:szCs w:val="20"/>
                <w:lang w:val="bg-BG"/>
              </w:rPr>
              <w:t>for</w:t>
            </w:r>
            <w:proofErr w:type="spellEnd"/>
            <w:r w:rsidRPr="006F3533">
              <w:rPr>
                <w:i/>
                <w:iCs/>
                <w:sz w:val="22"/>
                <w:szCs w:val="20"/>
                <w:lang w:val="bg-BG"/>
              </w:rPr>
              <w:t xml:space="preserve"> 43% </w:t>
            </w:r>
            <w:proofErr w:type="spellStart"/>
            <w:r w:rsidRPr="006F3533">
              <w:rPr>
                <w:i/>
                <w:iCs/>
                <w:sz w:val="22"/>
                <w:szCs w:val="20"/>
                <w:lang w:val="bg-BG"/>
              </w:rPr>
              <w:t>worst-performing</w:t>
            </w:r>
            <w:proofErr w:type="spellEnd"/>
            <w:r w:rsidRPr="006F3533">
              <w:rPr>
                <w:i/>
                <w:iCs/>
                <w:sz w:val="22"/>
                <w:szCs w:val="20"/>
                <w:lang w:val="bg-BG"/>
              </w:rPr>
              <w:t xml:space="preserve"> </w:t>
            </w:r>
            <w:proofErr w:type="spellStart"/>
            <w:r w:rsidRPr="006F3533">
              <w:rPr>
                <w:i/>
                <w:iCs/>
                <w:sz w:val="22"/>
                <w:szCs w:val="20"/>
                <w:lang w:val="bg-BG"/>
              </w:rPr>
              <w:t>buildings</w:t>
            </w:r>
            <w:proofErr w:type="spellEnd"/>
          </w:p>
        </w:tc>
        <w:tc>
          <w:tcPr>
            <w:tcW w:w="851" w:type="dxa"/>
          </w:tcPr>
          <w:p w14:paraId="44A4CDEC" w14:textId="77777777" w:rsidR="00DE4EB5" w:rsidRPr="006F3533" w:rsidRDefault="00DE4EB5" w:rsidP="00DE4EB5">
            <w:pPr>
              <w:spacing w:after="160" w:line="259" w:lineRule="auto"/>
              <w:rPr>
                <w:i/>
                <w:iCs/>
                <w:sz w:val="22"/>
                <w:szCs w:val="20"/>
                <w:lang w:val="bg-BG"/>
              </w:rPr>
            </w:pPr>
            <w:proofErr w:type="spellStart"/>
            <w:r w:rsidRPr="006F3533">
              <w:rPr>
                <w:i/>
                <w:iCs/>
                <w:sz w:val="22"/>
                <w:szCs w:val="20"/>
                <w:lang w:val="bg-BG"/>
              </w:rPr>
              <w:t>Miav</w:t>
            </w:r>
            <w:proofErr w:type="spellEnd"/>
          </w:p>
        </w:tc>
        <w:tc>
          <w:tcPr>
            <w:tcW w:w="1332" w:type="dxa"/>
          </w:tcPr>
          <w:p w14:paraId="017CAEDB" w14:textId="24DAEE6C" w:rsidR="00DE4EB5" w:rsidRPr="00DE4EB5" w:rsidRDefault="00DE4EB5" w:rsidP="00DE4EB5">
            <w:pPr>
              <w:spacing w:after="160" w:line="259" w:lineRule="auto"/>
              <w:rPr>
                <w:sz w:val="22"/>
                <w:szCs w:val="20"/>
                <w:lang w:val="bg-BG"/>
              </w:rPr>
            </w:pPr>
            <w:r w:rsidRPr="00DE4EB5">
              <w:rPr>
                <w:sz w:val="22"/>
                <w:szCs w:val="20"/>
                <w:lang w:val="bg-BG"/>
              </w:rPr>
              <w:t>3 633,589</w:t>
            </w:r>
          </w:p>
        </w:tc>
        <w:tc>
          <w:tcPr>
            <w:tcW w:w="1332" w:type="dxa"/>
          </w:tcPr>
          <w:p w14:paraId="274CAC0D" w14:textId="638D7B9D" w:rsidR="00DE4EB5" w:rsidRPr="00DE4EB5" w:rsidRDefault="00DE4EB5" w:rsidP="00DE4EB5">
            <w:pPr>
              <w:spacing w:after="160" w:line="259" w:lineRule="auto"/>
              <w:rPr>
                <w:sz w:val="22"/>
                <w:szCs w:val="20"/>
                <w:lang w:val="bg-BG"/>
              </w:rPr>
            </w:pPr>
            <w:r w:rsidRPr="00DE4EB5">
              <w:rPr>
                <w:sz w:val="22"/>
                <w:szCs w:val="20"/>
                <w:lang w:val="bg-BG"/>
              </w:rPr>
              <w:t>1 377,214</w:t>
            </w:r>
          </w:p>
        </w:tc>
        <w:tc>
          <w:tcPr>
            <w:tcW w:w="1332" w:type="dxa"/>
          </w:tcPr>
          <w:p w14:paraId="437133CF" w14:textId="41E2C687" w:rsidR="00DE4EB5" w:rsidRPr="00DE4EB5" w:rsidRDefault="00DE4EB5" w:rsidP="00DE4EB5">
            <w:pPr>
              <w:spacing w:after="160" w:line="259" w:lineRule="auto"/>
              <w:rPr>
                <w:sz w:val="22"/>
                <w:szCs w:val="20"/>
                <w:lang w:val="bg-BG"/>
              </w:rPr>
            </w:pPr>
            <w:r w:rsidRPr="00DE4EB5">
              <w:rPr>
                <w:sz w:val="22"/>
                <w:szCs w:val="20"/>
                <w:lang w:val="bg-BG"/>
              </w:rPr>
              <w:t>489,684</w:t>
            </w:r>
          </w:p>
        </w:tc>
        <w:tc>
          <w:tcPr>
            <w:tcW w:w="1332" w:type="dxa"/>
          </w:tcPr>
          <w:p w14:paraId="68DD5D4F" w14:textId="77777777" w:rsidR="00DE4EB5" w:rsidRPr="006F3533" w:rsidRDefault="00DE4EB5" w:rsidP="00DE4EB5">
            <w:pPr>
              <w:spacing w:after="160" w:line="259" w:lineRule="auto"/>
              <w:rPr>
                <w:sz w:val="22"/>
                <w:szCs w:val="20"/>
                <w:lang w:val="bg-BG"/>
              </w:rPr>
            </w:pPr>
          </w:p>
        </w:tc>
        <w:tc>
          <w:tcPr>
            <w:tcW w:w="1332" w:type="dxa"/>
          </w:tcPr>
          <w:p w14:paraId="0F517E69" w14:textId="77777777" w:rsidR="00DE4EB5" w:rsidRPr="006F3533" w:rsidRDefault="00DE4EB5" w:rsidP="00DE4EB5">
            <w:pPr>
              <w:spacing w:after="160" w:line="259" w:lineRule="auto"/>
              <w:rPr>
                <w:sz w:val="22"/>
                <w:szCs w:val="20"/>
                <w:lang w:val="bg-BG"/>
              </w:rPr>
            </w:pPr>
          </w:p>
        </w:tc>
        <w:tc>
          <w:tcPr>
            <w:tcW w:w="1333" w:type="dxa"/>
          </w:tcPr>
          <w:p w14:paraId="446B4C66" w14:textId="77777777" w:rsidR="00DE4EB5" w:rsidRPr="006F3533" w:rsidRDefault="00DE4EB5" w:rsidP="00DE4EB5">
            <w:pPr>
              <w:spacing w:after="160" w:line="259" w:lineRule="auto"/>
              <w:rPr>
                <w:sz w:val="22"/>
                <w:szCs w:val="20"/>
                <w:lang w:val="bg-BG"/>
              </w:rPr>
            </w:pPr>
          </w:p>
        </w:tc>
      </w:tr>
      <w:tr w:rsidR="000D5176" w:rsidRPr="006F3533" w14:paraId="534B7A53" w14:textId="77777777" w:rsidTr="000D5176">
        <w:tc>
          <w:tcPr>
            <w:tcW w:w="1271" w:type="dxa"/>
            <w:vMerge/>
            <w:shd w:val="clear" w:color="auto" w:fill="E7E6E6" w:themeFill="background2"/>
          </w:tcPr>
          <w:p w14:paraId="44D6C87A" w14:textId="77777777" w:rsidR="00F100EE" w:rsidRPr="006F3533" w:rsidRDefault="00F100EE" w:rsidP="00F100EE">
            <w:pPr>
              <w:spacing w:after="160" w:line="259" w:lineRule="auto"/>
              <w:rPr>
                <w:sz w:val="22"/>
                <w:szCs w:val="20"/>
                <w:lang w:val="bg-BG"/>
              </w:rPr>
            </w:pPr>
          </w:p>
        </w:tc>
        <w:tc>
          <w:tcPr>
            <w:tcW w:w="2835" w:type="dxa"/>
          </w:tcPr>
          <w:p w14:paraId="7ED5BD58" w14:textId="77777777" w:rsidR="00F100EE" w:rsidRPr="006F3533" w:rsidRDefault="00F100EE" w:rsidP="00F100EE">
            <w:pPr>
              <w:spacing w:after="160" w:line="259" w:lineRule="auto"/>
              <w:rPr>
                <w:sz w:val="22"/>
                <w:szCs w:val="20"/>
                <w:lang w:val="bg-BG"/>
              </w:rPr>
            </w:pPr>
            <w:r w:rsidRPr="006F3533">
              <w:rPr>
                <w:sz w:val="22"/>
                <w:szCs w:val="20"/>
                <w:lang w:val="bg-BG"/>
              </w:rPr>
              <w:t>Нежилищни сгради</w:t>
            </w:r>
          </w:p>
        </w:tc>
        <w:tc>
          <w:tcPr>
            <w:tcW w:w="851" w:type="dxa"/>
          </w:tcPr>
          <w:p w14:paraId="68CDCEAE" w14:textId="77777777" w:rsidR="00F100EE" w:rsidRPr="006F3533" w:rsidRDefault="00F100EE" w:rsidP="00F100EE">
            <w:pPr>
              <w:spacing w:after="160" w:line="259" w:lineRule="auto"/>
              <w:rPr>
                <w:sz w:val="22"/>
                <w:szCs w:val="20"/>
                <w:lang w:val="bg-BG"/>
              </w:rPr>
            </w:pPr>
            <w:r w:rsidRPr="006F3533">
              <w:rPr>
                <w:sz w:val="22"/>
                <w:szCs w:val="20"/>
                <w:lang w:val="bg-BG"/>
              </w:rPr>
              <w:t>M</w:t>
            </w:r>
          </w:p>
          <w:p w14:paraId="3A7ED0D6" w14:textId="77777777" w:rsidR="00F100EE" w:rsidRPr="006F3533" w:rsidRDefault="00F100EE" w:rsidP="00F100EE">
            <w:pPr>
              <w:spacing w:after="160" w:line="259" w:lineRule="auto"/>
              <w:rPr>
                <w:sz w:val="22"/>
                <w:szCs w:val="20"/>
                <w:lang w:val="bg-BG"/>
              </w:rPr>
            </w:pPr>
          </w:p>
        </w:tc>
        <w:tc>
          <w:tcPr>
            <w:tcW w:w="1332" w:type="dxa"/>
          </w:tcPr>
          <w:p w14:paraId="2E1E839A" w14:textId="77777777" w:rsidR="00F100EE" w:rsidRPr="006F3533" w:rsidRDefault="00F100EE" w:rsidP="00F100EE">
            <w:pPr>
              <w:spacing w:after="160" w:line="259" w:lineRule="auto"/>
              <w:rPr>
                <w:sz w:val="22"/>
                <w:szCs w:val="20"/>
                <w:lang w:val="bg-BG"/>
              </w:rPr>
            </w:pPr>
            <w:r w:rsidRPr="006F3533">
              <w:rPr>
                <w:sz w:val="22"/>
                <w:szCs w:val="20"/>
                <w:lang w:val="bg-BG"/>
              </w:rPr>
              <w:t>2 583,47</w:t>
            </w:r>
          </w:p>
        </w:tc>
        <w:tc>
          <w:tcPr>
            <w:tcW w:w="1332" w:type="dxa"/>
          </w:tcPr>
          <w:p w14:paraId="63AB66F6" w14:textId="77777777" w:rsidR="00F100EE" w:rsidRPr="006F3533" w:rsidRDefault="00F100EE" w:rsidP="00F100EE">
            <w:pPr>
              <w:spacing w:after="160" w:line="259" w:lineRule="auto"/>
              <w:rPr>
                <w:sz w:val="22"/>
                <w:szCs w:val="20"/>
                <w:lang w:val="bg-BG"/>
              </w:rPr>
            </w:pPr>
            <w:r w:rsidRPr="006F3533">
              <w:rPr>
                <w:sz w:val="22"/>
                <w:szCs w:val="20"/>
                <w:lang w:val="bg-BG"/>
              </w:rPr>
              <w:t>2 430,90</w:t>
            </w:r>
          </w:p>
        </w:tc>
        <w:tc>
          <w:tcPr>
            <w:tcW w:w="1332" w:type="dxa"/>
          </w:tcPr>
          <w:p w14:paraId="4199D82A" w14:textId="77777777" w:rsidR="00F100EE" w:rsidRPr="006F3533" w:rsidRDefault="00F100EE" w:rsidP="00F100EE">
            <w:pPr>
              <w:spacing w:after="160" w:line="259" w:lineRule="auto"/>
              <w:rPr>
                <w:sz w:val="22"/>
                <w:szCs w:val="20"/>
                <w:lang w:val="bg-BG"/>
              </w:rPr>
            </w:pPr>
            <w:r w:rsidRPr="006F3533">
              <w:rPr>
                <w:sz w:val="22"/>
                <w:szCs w:val="20"/>
                <w:lang w:val="bg-BG"/>
              </w:rPr>
              <w:t>3 399,38</w:t>
            </w:r>
          </w:p>
        </w:tc>
        <w:tc>
          <w:tcPr>
            <w:tcW w:w="1332" w:type="dxa"/>
          </w:tcPr>
          <w:p w14:paraId="46069335" w14:textId="77777777" w:rsidR="00F100EE" w:rsidRPr="006F3533" w:rsidRDefault="00F100EE" w:rsidP="00F100EE">
            <w:pPr>
              <w:spacing w:after="160" w:line="259" w:lineRule="auto"/>
              <w:rPr>
                <w:sz w:val="22"/>
                <w:szCs w:val="20"/>
                <w:lang w:val="bg-BG"/>
              </w:rPr>
            </w:pPr>
            <w:r w:rsidRPr="006F3533">
              <w:rPr>
                <w:sz w:val="22"/>
                <w:szCs w:val="20"/>
                <w:lang w:val="bg-BG"/>
              </w:rPr>
              <w:t>8 442,06</w:t>
            </w:r>
          </w:p>
        </w:tc>
        <w:tc>
          <w:tcPr>
            <w:tcW w:w="1332" w:type="dxa"/>
          </w:tcPr>
          <w:p w14:paraId="054A2AD4" w14:textId="77777777" w:rsidR="00F100EE" w:rsidRPr="006F3533" w:rsidRDefault="00F100EE" w:rsidP="00F100EE">
            <w:pPr>
              <w:spacing w:after="160" w:line="259" w:lineRule="auto"/>
              <w:rPr>
                <w:sz w:val="22"/>
                <w:szCs w:val="20"/>
                <w:lang w:val="bg-BG"/>
              </w:rPr>
            </w:pPr>
            <w:r w:rsidRPr="006F3533">
              <w:rPr>
                <w:sz w:val="22"/>
                <w:szCs w:val="20"/>
                <w:lang w:val="bg-BG"/>
              </w:rPr>
              <w:t>15 207,28</w:t>
            </w:r>
          </w:p>
        </w:tc>
        <w:tc>
          <w:tcPr>
            <w:tcW w:w="1333" w:type="dxa"/>
          </w:tcPr>
          <w:p w14:paraId="0959C0F0" w14:textId="77777777" w:rsidR="00F100EE" w:rsidRPr="006F3533" w:rsidRDefault="00F100EE" w:rsidP="00F100EE">
            <w:pPr>
              <w:spacing w:after="160" w:line="259" w:lineRule="auto"/>
              <w:rPr>
                <w:sz w:val="22"/>
                <w:szCs w:val="20"/>
                <w:lang w:val="bg-BG"/>
              </w:rPr>
            </w:pPr>
            <w:r w:rsidRPr="006F3533">
              <w:rPr>
                <w:sz w:val="22"/>
                <w:szCs w:val="20"/>
                <w:lang w:val="bg-BG"/>
              </w:rPr>
              <w:t>16 101,85</w:t>
            </w:r>
          </w:p>
        </w:tc>
      </w:tr>
      <w:tr w:rsidR="000D5176" w:rsidRPr="006F3533" w14:paraId="5BDABE25" w14:textId="77777777" w:rsidTr="000D5176">
        <w:tc>
          <w:tcPr>
            <w:tcW w:w="1271" w:type="dxa"/>
            <w:vMerge/>
            <w:shd w:val="clear" w:color="auto" w:fill="E7E6E6" w:themeFill="background2"/>
          </w:tcPr>
          <w:p w14:paraId="11A09267" w14:textId="77777777" w:rsidR="00F100EE" w:rsidRPr="006F3533" w:rsidRDefault="00F100EE" w:rsidP="00F100EE">
            <w:pPr>
              <w:spacing w:after="160" w:line="259" w:lineRule="auto"/>
              <w:rPr>
                <w:i/>
                <w:iCs/>
                <w:sz w:val="22"/>
                <w:szCs w:val="20"/>
                <w:lang w:val="bg-BG"/>
              </w:rPr>
            </w:pPr>
          </w:p>
        </w:tc>
        <w:tc>
          <w:tcPr>
            <w:tcW w:w="2835" w:type="dxa"/>
          </w:tcPr>
          <w:p w14:paraId="581D417F" w14:textId="77777777" w:rsidR="00F100EE" w:rsidRPr="006F3533" w:rsidRDefault="00F100EE" w:rsidP="00F100EE">
            <w:pPr>
              <w:spacing w:after="160" w:line="259" w:lineRule="auto"/>
              <w:rPr>
                <w:i/>
                <w:iCs/>
                <w:sz w:val="22"/>
                <w:szCs w:val="20"/>
                <w:lang w:val="bg-BG"/>
              </w:rPr>
            </w:pPr>
            <w:r w:rsidRPr="006F3533">
              <w:rPr>
                <w:i/>
                <w:iCs/>
                <w:sz w:val="22"/>
                <w:szCs w:val="20"/>
                <w:lang w:val="bg-BG"/>
              </w:rPr>
              <w:t>От които, нежилищни сгради публична собственост</w:t>
            </w:r>
          </w:p>
        </w:tc>
        <w:tc>
          <w:tcPr>
            <w:tcW w:w="851" w:type="dxa"/>
          </w:tcPr>
          <w:p w14:paraId="75669B4C" w14:textId="77777777" w:rsidR="00F100EE" w:rsidRPr="006F3533" w:rsidRDefault="00F100EE" w:rsidP="00F100EE">
            <w:pPr>
              <w:spacing w:after="160" w:line="259" w:lineRule="auto"/>
              <w:rPr>
                <w:i/>
                <w:iCs/>
                <w:sz w:val="22"/>
                <w:szCs w:val="20"/>
                <w:lang w:val="bg-BG"/>
              </w:rPr>
            </w:pPr>
            <w:proofErr w:type="spellStart"/>
            <w:r w:rsidRPr="006F3533">
              <w:rPr>
                <w:i/>
                <w:iCs/>
                <w:sz w:val="22"/>
                <w:szCs w:val="20"/>
                <w:lang w:val="bg-BG"/>
              </w:rPr>
              <w:t>Miav</w:t>
            </w:r>
            <w:proofErr w:type="spellEnd"/>
          </w:p>
        </w:tc>
        <w:tc>
          <w:tcPr>
            <w:tcW w:w="1332" w:type="dxa"/>
          </w:tcPr>
          <w:p w14:paraId="7C609D9B" w14:textId="77777777" w:rsidR="00F100EE" w:rsidRPr="006F3533" w:rsidRDefault="00F100EE" w:rsidP="00F100EE">
            <w:pPr>
              <w:spacing w:after="160" w:line="259" w:lineRule="auto"/>
              <w:rPr>
                <w:sz w:val="22"/>
                <w:szCs w:val="20"/>
                <w:lang w:val="bg-BG"/>
              </w:rPr>
            </w:pPr>
            <w:r w:rsidRPr="006F3533">
              <w:rPr>
                <w:sz w:val="22"/>
                <w:szCs w:val="20"/>
                <w:lang w:val="bg-BG"/>
              </w:rPr>
              <w:t>809,09</w:t>
            </w:r>
          </w:p>
        </w:tc>
        <w:tc>
          <w:tcPr>
            <w:tcW w:w="1332" w:type="dxa"/>
          </w:tcPr>
          <w:p w14:paraId="218B2BD6" w14:textId="77777777" w:rsidR="00F100EE" w:rsidRPr="006F3533" w:rsidRDefault="00F100EE" w:rsidP="00F100EE">
            <w:pPr>
              <w:spacing w:after="160" w:line="259" w:lineRule="auto"/>
              <w:rPr>
                <w:sz w:val="22"/>
                <w:szCs w:val="20"/>
                <w:lang w:val="bg-BG"/>
              </w:rPr>
            </w:pPr>
            <w:r w:rsidRPr="006F3533">
              <w:rPr>
                <w:sz w:val="22"/>
                <w:szCs w:val="20"/>
                <w:lang w:val="bg-BG"/>
              </w:rPr>
              <w:t>910,46</w:t>
            </w:r>
          </w:p>
        </w:tc>
        <w:tc>
          <w:tcPr>
            <w:tcW w:w="1332" w:type="dxa"/>
          </w:tcPr>
          <w:p w14:paraId="731D7333" w14:textId="77777777" w:rsidR="00F100EE" w:rsidRPr="006F3533" w:rsidRDefault="00F100EE" w:rsidP="00F100EE">
            <w:pPr>
              <w:spacing w:after="160" w:line="259" w:lineRule="auto"/>
              <w:rPr>
                <w:sz w:val="22"/>
                <w:szCs w:val="20"/>
                <w:lang w:val="bg-BG"/>
              </w:rPr>
            </w:pPr>
            <w:r w:rsidRPr="006F3533">
              <w:rPr>
                <w:sz w:val="22"/>
                <w:szCs w:val="20"/>
                <w:lang w:val="bg-BG"/>
              </w:rPr>
              <w:t>627,02</w:t>
            </w:r>
          </w:p>
        </w:tc>
        <w:tc>
          <w:tcPr>
            <w:tcW w:w="1332" w:type="dxa"/>
          </w:tcPr>
          <w:p w14:paraId="4BD97026" w14:textId="77777777" w:rsidR="00F100EE" w:rsidRPr="006F3533" w:rsidRDefault="00F100EE" w:rsidP="00F100EE">
            <w:pPr>
              <w:spacing w:after="160" w:line="259" w:lineRule="auto"/>
              <w:rPr>
                <w:sz w:val="22"/>
                <w:szCs w:val="20"/>
                <w:lang w:val="bg-BG"/>
              </w:rPr>
            </w:pPr>
            <w:r w:rsidRPr="006F3533">
              <w:rPr>
                <w:sz w:val="22"/>
                <w:szCs w:val="20"/>
                <w:lang w:val="bg-BG"/>
              </w:rPr>
              <w:t>1 739,74</w:t>
            </w:r>
          </w:p>
        </w:tc>
        <w:tc>
          <w:tcPr>
            <w:tcW w:w="1332" w:type="dxa"/>
          </w:tcPr>
          <w:p w14:paraId="6FB04F1F" w14:textId="77777777" w:rsidR="00F100EE" w:rsidRPr="006F3533" w:rsidRDefault="00F100EE" w:rsidP="00F100EE">
            <w:pPr>
              <w:spacing w:after="160" w:line="259" w:lineRule="auto"/>
              <w:rPr>
                <w:sz w:val="22"/>
                <w:szCs w:val="20"/>
                <w:lang w:val="bg-BG"/>
              </w:rPr>
            </w:pPr>
            <w:r w:rsidRPr="006F3533">
              <w:rPr>
                <w:sz w:val="22"/>
                <w:szCs w:val="20"/>
                <w:lang w:val="bg-BG"/>
              </w:rPr>
              <w:t>4 720,19</w:t>
            </w:r>
          </w:p>
        </w:tc>
        <w:tc>
          <w:tcPr>
            <w:tcW w:w="1333" w:type="dxa"/>
          </w:tcPr>
          <w:p w14:paraId="59D858FD" w14:textId="77777777" w:rsidR="00F100EE" w:rsidRPr="006F3533" w:rsidRDefault="00F100EE" w:rsidP="00F100EE">
            <w:pPr>
              <w:spacing w:after="160" w:line="259" w:lineRule="auto"/>
              <w:rPr>
                <w:sz w:val="22"/>
                <w:szCs w:val="20"/>
                <w:lang w:val="bg-BG"/>
              </w:rPr>
            </w:pPr>
            <w:r w:rsidRPr="006F3533">
              <w:rPr>
                <w:sz w:val="22"/>
                <w:szCs w:val="20"/>
                <w:lang w:val="bg-BG"/>
              </w:rPr>
              <w:t>5 472,00</w:t>
            </w:r>
          </w:p>
        </w:tc>
      </w:tr>
      <w:tr w:rsidR="000D5176" w:rsidRPr="006F3533" w14:paraId="150C59B6" w14:textId="77777777" w:rsidTr="000D5176">
        <w:tc>
          <w:tcPr>
            <w:tcW w:w="1271" w:type="dxa"/>
            <w:vMerge/>
            <w:shd w:val="clear" w:color="auto" w:fill="E7E6E6" w:themeFill="background2"/>
          </w:tcPr>
          <w:p w14:paraId="71BD8248" w14:textId="77777777" w:rsidR="00F100EE" w:rsidRPr="006F3533" w:rsidRDefault="00F100EE" w:rsidP="00F100EE">
            <w:pPr>
              <w:spacing w:after="160" w:line="259" w:lineRule="auto"/>
              <w:rPr>
                <w:i/>
                <w:iCs/>
                <w:sz w:val="22"/>
                <w:szCs w:val="20"/>
                <w:lang w:val="bg-BG"/>
              </w:rPr>
            </w:pPr>
          </w:p>
        </w:tc>
        <w:tc>
          <w:tcPr>
            <w:tcW w:w="2835" w:type="dxa"/>
          </w:tcPr>
          <w:p w14:paraId="0E3BF321" w14:textId="77777777" w:rsidR="00F100EE" w:rsidRPr="006F3533" w:rsidRDefault="00F100EE" w:rsidP="00F100EE">
            <w:pPr>
              <w:spacing w:after="160" w:line="259" w:lineRule="auto"/>
              <w:rPr>
                <w:i/>
                <w:iCs/>
                <w:sz w:val="22"/>
                <w:szCs w:val="20"/>
                <w:lang w:val="bg-BG"/>
              </w:rPr>
            </w:pPr>
            <w:r w:rsidRPr="006F3533">
              <w:rPr>
                <w:i/>
                <w:iCs/>
                <w:sz w:val="22"/>
                <w:szCs w:val="20"/>
                <w:lang w:val="bg-BG"/>
              </w:rPr>
              <w:t>От които, нежилищни сгради частна и смесена собственост</w:t>
            </w:r>
          </w:p>
        </w:tc>
        <w:tc>
          <w:tcPr>
            <w:tcW w:w="851" w:type="dxa"/>
          </w:tcPr>
          <w:p w14:paraId="2CEAECEA" w14:textId="77777777" w:rsidR="00F100EE" w:rsidRPr="006F3533" w:rsidRDefault="00F100EE" w:rsidP="00F100EE">
            <w:pPr>
              <w:spacing w:after="160" w:line="259" w:lineRule="auto"/>
              <w:rPr>
                <w:i/>
                <w:iCs/>
                <w:sz w:val="22"/>
                <w:szCs w:val="20"/>
                <w:lang w:val="bg-BG"/>
              </w:rPr>
            </w:pPr>
            <w:proofErr w:type="spellStart"/>
            <w:r w:rsidRPr="006F3533">
              <w:rPr>
                <w:i/>
                <w:iCs/>
                <w:sz w:val="22"/>
                <w:szCs w:val="20"/>
                <w:lang w:val="bg-BG"/>
              </w:rPr>
              <w:t>Miav</w:t>
            </w:r>
            <w:proofErr w:type="spellEnd"/>
          </w:p>
        </w:tc>
        <w:tc>
          <w:tcPr>
            <w:tcW w:w="1332" w:type="dxa"/>
          </w:tcPr>
          <w:p w14:paraId="4B8FA220" w14:textId="77777777" w:rsidR="00F100EE" w:rsidRPr="006F3533" w:rsidRDefault="00F100EE" w:rsidP="00F100EE">
            <w:pPr>
              <w:spacing w:after="160" w:line="259" w:lineRule="auto"/>
              <w:rPr>
                <w:sz w:val="22"/>
                <w:szCs w:val="20"/>
                <w:lang w:val="bg-BG"/>
              </w:rPr>
            </w:pPr>
            <w:r w:rsidRPr="006F3533">
              <w:rPr>
                <w:sz w:val="22"/>
                <w:szCs w:val="20"/>
                <w:lang w:val="bg-BG"/>
              </w:rPr>
              <w:t>1 774,38</w:t>
            </w:r>
          </w:p>
        </w:tc>
        <w:tc>
          <w:tcPr>
            <w:tcW w:w="1332" w:type="dxa"/>
          </w:tcPr>
          <w:p w14:paraId="604B8CA6" w14:textId="77777777" w:rsidR="00F100EE" w:rsidRPr="006F3533" w:rsidRDefault="00F100EE" w:rsidP="00F100EE">
            <w:pPr>
              <w:spacing w:after="160" w:line="259" w:lineRule="auto"/>
              <w:rPr>
                <w:sz w:val="22"/>
                <w:szCs w:val="20"/>
                <w:lang w:val="bg-BG"/>
              </w:rPr>
            </w:pPr>
            <w:r w:rsidRPr="006F3533">
              <w:rPr>
                <w:sz w:val="22"/>
                <w:szCs w:val="20"/>
                <w:lang w:val="bg-BG"/>
              </w:rPr>
              <w:t>1 520,44</w:t>
            </w:r>
          </w:p>
        </w:tc>
        <w:tc>
          <w:tcPr>
            <w:tcW w:w="1332" w:type="dxa"/>
          </w:tcPr>
          <w:p w14:paraId="4D5FB324" w14:textId="77777777" w:rsidR="00F100EE" w:rsidRPr="006F3533" w:rsidRDefault="00F100EE" w:rsidP="00F100EE">
            <w:pPr>
              <w:spacing w:after="160" w:line="259" w:lineRule="auto"/>
              <w:rPr>
                <w:sz w:val="22"/>
                <w:szCs w:val="20"/>
                <w:lang w:val="bg-BG"/>
              </w:rPr>
            </w:pPr>
            <w:r w:rsidRPr="006F3533">
              <w:rPr>
                <w:sz w:val="22"/>
                <w:szCs w:val="20"/>
                <w:lang w:val="bg-BG"/>
              </w:rPr>
              <w:t>2 772,36</w:t>
            </w:r>
          </w:p>
        </w:tc>
        <w:tc>
          <w:tcPr>
            <w:tcW w:w="1332" w:type="dxa"/>
          </w:tcPr>
          <w:p w14:paraId="6B684910" w14:textId="77777777" w:rsidR="00F100EE" w:rsidRPr="006F3533" w:rsidRDefault="00F100EE" w:rsidP="00F100EE">
            <w:pPr>
              <w:spacing w:after="160" w:line="259" w:lineRule="auto"/>
              <w:rPr>
                <w:sz w:val="22"/>
                <w:szCs w:val="20"/>
                <w:lang w:val="bg-BG"/>
              </w:rPr>
            </w:pPr>
            <w:r w:rsidRPr="006F3533">
              <w:rPr>
                <w:sz w:val="22"/>
                <w:szCs w:val="20"/>
                <w:lang w:val="bg-BG"/>
              </w:rPr>
              <w:t>6 702,32</w:t>
            </w:r>
          </w:p>
        </w:tc>
        <w:tc>
          <w:tcPr>
            <w:tcW w:w="1332" w:type="dxa"/>
          </w:tcPr>
          <w:p w14:paraId="1AC7D49D" w14:textId="77777777" w:rsidR="00F100EE" w:rsidRPr="006F3533" w:rsidRDefault="00F100EE" w:rsidP="00F100EE">
            <w:pPr>
              <w:spacing w:after="160" w:line="259" w:lineRule="auto"/>
              <w:rPr>
                <w:sz w:val="22"/>
                <w:szCs w:val="20"/>
                <w:lang w:val="bg-BG"/>
              </w:rPr>
            </w:pPr>
            <w:r w:rsidRPr="006F3533">
              <w:rPr>
                <w:sz w:val="22"/>
                <w:szCs w:val="20"/>
                <w:lang w:val="bg-BG"/>
              </w:rPr>
              <w:t>10 487,09</w:t>
            </w:r>
          </w:p>
        </w:tc>
        <w:tc>
          <w:tcPr>
            <w:tcW w:w="1333" w:type="dxa"/>
          </w:tcPr>
          <w:p w14:paraId="7F3450CA" w14:textId="77777777" w:rsidR="00F100EE" w:rsidRPr="006F3533" w:rsidRDefault="00F100EE" w:rsidP="00F100EE">
            <w:pPr>
              <w:spacing w:after="160" w:line="259" w:lineRule="auto"/>
              <w:rPr>
                <w:sz w:val="22"/>
                <w:szCs w:val="20"/>
                <w:lang w:val="bg-BG"/>
              </w:rPr>
            </w:pPr>
            <w:r w:rsidRPr="006F3533">
              <w:rPr>
                <w:sz w:val="22"/>
                <w:szCs w:val="20"/>
                <w:lang w:val="bg-BG"/>
              </w:rPr>
              <w:t>10 629,85</w:t>
            </w:r>
          </w:p>
        </w:tc>
      </w:tr>
      <w:bookmarkEnd w:id="381"/>
      <w:tr w:rsidR="000D5176" w:rsidRPr="006F3533" w14:paraId="6DD43FCD" w14:textId="77777777" w:rsidTr="000D5176">
        <w:tc>
          <w:tcPr>
            <w:tcW w:w="1271" w:type="dxa"/>
            <w:vMerge/>
            <w:shd w:val="clear" w:color="auto" w:fill="E7E6E6" w:themeFill="background2"/>
          </w:tcPr>
          <w:p w14:paraId="15DA4634" w14:textId="77777777" w:rsidR="00F100EE" w:rsidRPr="006F3533" w:rsidRDefault="00F100EE" w:rsidP="00F100EE">
            <w:pPr>
              <w:spacing w:after="160" w:line="259" w:lineRule="auto"/>
              <w:rPr>
                <w:sz w:val="22"/>
                <w:szCs w:val="20"/>
                <w:lang w:val="bg-BG"/>
              </w:rPr>
            </w:pPr>
          </w:p>
        </w:tc>
        <w:tc>
          <w:tcPr>
            <w:tcW w:w="2835" w:type="dxa"/>
          </w:tcPr>
          <w:p w14:paraId="71C3FD5F" w14:textId="77777777" w:rsidR="00F100EE" w:rsidRPr="006F3533" w:rsidRDefault="00F100EE" w:rsidP="00F100EE">
            <w:pPr>
              <w:spacing w:after="160" w:line="259" w:lineRule="auto"/>
              <w:rPr>
                <w:sz w:val="22"/>
                <w:szCs w:val="20"/>
                <w:lang w:val="bg-BG"/>
              </w:rPr>
            </w:pPr>
            <w:r w:rsidRPr="006F3533">
              <w:rPr>
                <w:sz w:val="22"/>
                <w:szCs w:val="20"/>
                <w:lang w:val="bg-BG"/>
              </w:rPr>
              <w:t>Общо инвестиционни нужди</w:t>
            </w:r>
          </w:p>
        </w:tc>
        <w:tc>
          <w:tcPr>
            <w:tcW w:w="851" w:type="dxa"/>
          </w:tcPr>
          <w:p w14:paraId="06DC2678" w14:textId="77777777" w:rsidR="00F100EE" w:rsidRPr="006F3533" w:rsidRDefault="00F100EE" w:rsidP="00F100EE">
            <w:pPr>
              <w:spacing w:after="160" w:line="259" w:lineRule="auto"/>
              <w:rPr>
                <w:i/>
                <w:iCs/>
                <w:sz w:val="22"/>
                <w:szCs w:val="20"/>
                <w:lang w:val="bg-BG"/>
              </w:rPr>
            </w:pPr>
            <w:r w:rsidRPr="006F3533">
              <w:rPr>
                <w:sz w:val="22"/>
                <w:szCs w:val="20"/>
                <w:lang w:val="bg-BG"/>
              </w:rPr>
              <w:t>M</w:t>
            </w:r>
          </w:p>
        </w:tc>
        <w:tc>
          <w:tcPr>
            <w:tcW w:w="1332" w:type="dxa"/>
          </w:tcPr>
          <w:p w14:paraId="46BC6DEF" w14:textId="48FB8B5E" w:rsidR="00F100EE" w:rsidRPr="006F3533" w:rsidRDefault="00E026DA" w:rsidP="00F100EE">
            <w:pPr>
              <w:spacing w:after="160" w:line="259" w:lineRule="auto"/>
              <w:rPr>
                <w:color w:val="7030A0"/>
                <w:sz w:val="22"/>
                <w:szCs w:val="20"/>
                <w:lang w:val="bg-BG"/>
              </w:rPr>
            </w:pPr>
            <w:r w:rsidRPr="006F3533">
              <w:rPr>
                <w:color w:val="7030A0"/>
                <w:sz w:val="22"/>
                <w:szCs w:val="20"/>
                <w:lang w:val="bg-BG"/>
              </w:rPr>
              <w:t>18 766,19</w:t>
            </w:r>
          </w:p>
        </w:tc>
        <w:tc>
          <w:tcPr>
            <w:tcW w:w="1332" w:type="dxa"/>
          </w:tcPr>
          <w:p w14:paraId="45D24756" w14:textId="626B9460" w:rsidR="00F100EE" w:rsidRPr="006F3533" w:rsidRDefault="00E026DA" w:rsidP="00F100EE">
            <w:pPr>
              <w:spacing w:after="160" w:line="259" w:lineRule="auto"/>
              <w:rPr>
                <w:color w:val="7030A0"/>
                <w:sz w:val="22"/>
                <w:szCs w:val="20"/>
                <w:lang w:val="bg-BG"/>
              </w:rPr>
            </w:pPr>
            <w:r w:rsidRPr="006F3533">
              <w:rPr>
                <w:color w:val="7030A0"/>
                <w:sz w:val="22"/>
                <w:szCs w:val="20"/>
                <w:lang w:val="bg-BG"/>
              </w:rPr>
              <w:t>6 572,87</w:t>
            </w:r>
          </w:p>
        </w:tc>
        <w:tc>
          <w:tcPr>
            <w:tcW w:w="1332" w:type="dxa"/>
          </w:tcPr>
          <w:p w14:paraId="2F077C18" w14:textId="1D7CB624" w:rsidR="00F100EE" w:rsidRPr="006F3533" w:rsidRDefault="00E026DA" w:rsidP="00F100EE">
            <w:pPr>
              <w:spacing w:after="160" w:line="259" w:lineRule="auto"/>
              <w:rPr>
                <w:color w:val="7030A0"/>
                <w:sz w:val="22"/>
                <w:szCs w:val="20"/>
                <w:lang w:val="bg-BG"/>
              </w:rPr>
            </w:pPr>
            <w:r w:rsidRPr="006F3533">
              <w:rPr>
                <w:color w:val="7030A0"/>
                <w:sz w:val="22"/>
                <w:szCs w:val="20"/>
                <w:lang w:val="bg-BG"/>
              </w:rPr>
              <w:t>5 024,53</w:t>
            </w:r>
          </w:p>
        </w:tc>
        <w:tc>
          <w:tcPr>
            <w:tcW w:w="1332" w:type="dxa"/>
          </w:tcPr>
          <w:p w14:paraId="4D3073FE" w14:textId="77777777" w:rsidR="00F100EE" w:rsidRPr="006F3533" w:rsidRDefault="00F100EE" w:rsidP="00F100EE">
            <w:pPr>
              <w:spacing w:after="160" w:line="259" w:lineRule="auto"/>
              <w:rPr>
                <w:sz w:val="22"/>
                <w:szCs w:val="20"/>
                <w:lang w:val="bg-BG"/>
              </w:rPr>
            </w:pPr>
          </w:p>
        </w:tc>
        <w:tc>
          <w:tcPr>
            <w:tcW w:w="1332" w:type="dxa"/>
          </w:tcPr>
          <w:p w14:paraId="56DEB7DB" w14:textId="77777777" w:rsidR="00F100EE" w:rsidRPr="006F3533" w:rsidRDefault="00F100EE" w:rsidP="00F100EE">
            <w:pPr>
              <w:spacing w:after="160" w:line="259" w:lineRule="auto"/>
              <w:rPr>
                <w:sz w:val="22"/>
                <w:szCs w:val="20"/>
                <w:lang w:val="bg-BG"/>
              </w:rPr>
            </w:pPr>
          </w:p>
        </w:tc>
        <w:tc>
          <w:tcPr>
            <w:tcW w:w="1333" w:type="dxa"/>
          </w:tcPr>
          <w:p w14:paraId="39402B92" w14:textId="77777777" w:rsidR="00F100EE" w:rsidRPr="006F3533" w:rsidRDefault="00F100EE" w:rsidP="00F100EE">
            <w:pPr>
              <w:spacing w:after="160" w:line="259" w:lineRule="auto"/>
              <w:rPr>
                <w:sz w:val="22"/>
                <w:szCs w:val="20"/>
                <w:lang w:val="bg-BG"/>
              </w:rPr>
            </w:pPr>
          </w:p>
        </w:tc>
      </w:tr>
      <w:tr w:rsidR="000D5176" w:rsidRPr="006F3533" w14:paraId="712FD221" w14:textId="77777777" w:rsidTr="000D5176">
        <w:tc>
          <w:tcPr>
            <w:tcW w:w="1271" w:type="dxa"/>
            <w:vMerge w:val="restart"/>
            <w:shd w:val="clear" w:color="auto" w:fill="E7E6E6" w:themeFill="background2"/>
          </w:tcPr>
          <w:p w14:paraId="02A08B6B" w14:textId="77777777" w:rsidR="00F100EE" w:rsidRPr="006F3533" w:rsidRDefault="00F100EE" w:rsidP="00F100EE">
            <w:pPr>
              <w:spacing w:after="160" w:line="259" w:lineRule="auto"/>
              <w:rPr>
                <w:i/>
                <w:iCs/>
                <w:sz w:val="22"/>
                <w:szCs w:val="20"/>
                <w:lang w:val="bg-BG"/>
              </w:rPr>
            </w:pPr>
          </w:p>
          <w:p w14:paraId="641149BB" w14:textId="77777777" w:rsidR="00F100EE" w:rsidRPr="006F3533" w:rsidRDefault="00F100EE" w:rsidP="00F100EE">
            <w:pPr>
              <w:spacing w:after="160" w:line="259" w:lineRule="auto"/>
              <w:rPr>
                <w:i/>
                <w:iCs/>
                <w:sz w:val="22"/>
                <w:szCs w:val="20"/>
                <w:lang w:val="bg-BG"/>
              </w:rPr>
            </w:pPr>
          </w:p>
          <w:p w14:paraId="06467E2E" w14:textId="77777777" w:rsidR="00F100EE" w:rsidRPr="006F3533" w:rsidRDefault="00F100EE" w:rsidP="00F100EE">
            <w:pPr>
              <w:spacing w:after="160" w:line="259" w:lineRule="auto"/>
              <w:rPr>
                <w:i/>
                <w:iCs/>
                <w:sz w:val="22"/>
                <w:szCs w:val="20"/>
                <w:lang w:val="bg-BG"/>
              </w:rPr>
            </w:pPr>
          </w:p>
          <w:p w14:paraId="59635CC3" w14:textId="77777777" w:rsidR="00F100EE" w:rsidRPr="006F3533" w:rsidRDefault="00F100EE" w:rsidP="00F100EE">
            <w:pPr>
              <w:spacing w:after="160" w:line="259" w:lineRule="auto"/>
              <w:rPr>
                <w:sz w:val="22"/>
                <w:szCs w:val="20"/>
                <w:lang w:val="bg-BG"/>
              </w:rPr>
            </w:pPr>
            <w:proofErr w:type="spellStart"/>
            <w:r w:rsidRPr="006F3533">
              <w:rPr>
                <w:sz w:val="22"/>
                <w:szCs w:val="20"/>
                <w:lang w:val="bg-BG"/>
              </w:rPr>
              <w:lastRenderedPageBreak/>
              <w:t>Source</w:t>
            </w:r>
            <w:proofErr w:type="spellEnd"/>
            <w:r w:rsidRPr="006F3533">
              <w:rPr>
                <w:sz w:val="22"/>
                <w:szCs w:val="20"/>
                <w:lang w:val="bg-BG"/>
              </w:rPr>
              <w:t xml:space="preserve"> </w:t>
            </w:r>
            <w:proofErr w:type="spellStart"/>
            <w:r w:rsidRPr="006F3533">
              <w:rPr>
                <w:sz w:val="22"/>
                <w:szCs w:val="20"/>
                <w:lang w:val="bg-BG"/>
              </w:rPr>
              <w:t>of</w:t>
            </w:r>
            <w:proofErr w:type="spellEnd"/>
            <w:r w:rsidRPr="006F3533">
              <w:rPr>
                <w:sz w:val="22"/>
                <w:szCs w:val="20"/>
                <w:lang w:val="bg-BG"/>
              </w:rPr>
              <w:t xml:space="preserve"> </w:t>
            </w:r>
            <w:proofErr w:type="spellStart"/>
            <w:r w:rsidRPr="006F3533">
              <w:rPr>
                <w:sz w:val="22"/>
                <w:szCs w:val="20"/>
                <w:lang w:val="bg-BG"/>
              </w:rPr>
              <w:t>financing</w:t>
            </w:r>
            <w:proofErr w:type="spellEnd"/>
          </w:p>
          <w:p w14:paraId="53EA8B91" w14:textId="77777777" w:rsidR="00F100EE" w:rsidRPr="006F3533" w:rsidRDefault="00F100EE" w:rsidP="00F100EE">
            <w:pPr>
              <w:spacing w:after="160" w:line="259" w:lineRule="auto"/>
              <w:rPr>
                <w:i/>
                <w:iCs/>
                <w:sz w:val="22"/>
                <w:szCs w:val="20"/>
                <w:lang w:val="bg-BG"/>
              </w:rPr>
            </w:pPr>
            <w:r w:rsidRPr="006F3533">
              <w:rPr>
                <w:sz w:val="22"/>
                <w:szCs w:val="20"/>
                <w:lang w:val="bg-BG"/>
              </w:rPr>
              <w:t>(</w:t>
            </w:r>
            <w:proofErr w:type="spellStart"/>
            <w:r w:rsidRPr="006F3533">
              <w:rPr>
                <w:sz w:val="22"/>
                <w:szCs w:val="20"/>
                <w:lang w:val="bg-BG"/>
              </w:rPr>
              <w:t>Public</w:t>
            </w:r>
            <w:proofErr w:type="spellEnd"/>
            <w:r w:rsidRPr="006F3533">
              <w:rPr>
                <w:sz w:val="22"/>
                <w:szCs w:val="20"/>
                <w:lang w:val="bg-BG"/>
              </w:rPr>
              <w:t>/</w:t>
            </w:r>
            <w:proofErr w:type="spellStart"/>
            <w:r w:rsidRPr="006F3533">
              <w:rPr>
                <w:sz w:val="22"/>
                <w:szCs w:val="20"/>
                <w:lang w:val="bg-BG"/>
              </w:rPr>
              <w:t>Private</w:t>
            </w:r>
            <w:proofErr w:type="spellEnd"/>
            <w:r w:rsidRPr="006F3533">
              <w:rPr>
                <w:sz w:val="22"/>
                <w:szCs w:val="20"/>
                <w:lang w:val="bg-BG"/>
              </w:rPr>
              <w:t xml:space="preserve">) </w:t>
            </w:r>
            <w:proofErr w:type="spellStart"/>
            <w:r w:rsidRPr="006F3533">
              <w:rPr>
                <w:sz w:val="22"/>
                <w:szCs w:val="20"/>
                <w:lang w:val="bg-BG"/>
              </w:rPr>
              <w:t>incl</w:t>
            </w:r>
            <w:proofErr w:type="spellEnd"/>
            <w:r w:rsidRPr="006F3533">
              <w:rPr>
                <w:sz w:val="22"/>
                <w:szCs w:val="20"/>
                <w:lang w:val="bg-BG"/>
              </w:rPr>
              <w:t xml:space="preserve">. </w:t>
            </w:r>
            <w:proofErr w:type="spellStart"/>
            <w:r w:rsidRPr="006F3533">
              <w:rPr>
                <w:sz w:val="22"/>
                <w:szCs w:val="20"/>
                <w:lang w:val="bg-BG"/>
              </w:rPr>
              <w:t>budgetary</w:t>
            </w:r>
            <w:proofErr w:type="spellEnd"/>
            <w:r w:rsidRPr="006F3533">
              <w:rPr>
                <w:sz w:val="22"/>
                <w:szCs w:val="20"/>
                <w:lang w:val="bg-BG"/>
              </w:rPr>
              <w:t xml:space="preserve"> </w:t>
            </w:r>
            <w:proofErr w:type="spellStart"/>
            <w:r w:rsidRPr="006F3533">
              <w:rPr>
                <w:sz w:val="22"/>
                <w:szCs w:val="20"/>
                <w:lang w:val="bg-BG"/>
              </w:rPr>
              <w:t>resources</w:t>
            </w:r>
            <w:proofErr w:type="spellEnd"/>
          </w:p>
        </w:tc>
        <w:tc>
          <w:tcPr>
            <w:tcW w:w="2835" w:type="dxa"/>
          </w:tcPr>
          <w:p w14:paraId="67F914A3" w14:textId="77777777" w:rsidR="00F100EE" w:rsidRPr="006F3533" w:rsidRDefault="00F100EE" w:rsidP="00F100EE">
            <w:pPr>
              <w:spacing w:after="160" w:line="259" w:lineRule="auto"/>
              <w:rPr>
                <w:sz w:val="22"/>
                <w:szCs w:val="20"/>
                <w:lang w:val="bg-BG"/>
              </w:rPr>
            </w:pPr>
            <w:proofErr w:type="spellStart"/>
            <w:r w:rsidRPr="006F3533">
              <w:rPr>
                <w:sz w:val="22"/>
                <w:szCs w:val="20"/>
                <w:lang w:val="bg-BG"/>
              </w:rPr>
              <w:lastRenderedPageBreak/>
              <w:t>Public</w:t>
            </w:r>
            <w:proofErr w:type="spellEnd"/>
            <w:r w:rsidRPr="006F3533">
              <w:rPr>
                <w:sz w:val="22"/>
                <w:szCs w:val="20"/>
                <w:lang w:val="bg-BG"/>
              </w:rPr>
              <w:t xml:space="preserve"> </w:t>
            </w:r>
            <w:proofErr w:type="spellStart"/>
            <w:r w:rsidRPr="006F3533">
              <w:rPr>
                <w:sz w:val="22"/>
                <w:szCs w:val="20"/>
                <w:lang w:val="bg-BG"/>
              </w:rPr>
              <w:t>investments</w:t>
            </w:r>
            <w:proofErr w:type="spellEnd"/>
          </w:p>
          <w:p w14:paraId="59999EAF" w14:textId="77777777" w:rsidR="00F100EE" w:rsidRPr="006F3533" w:rsidRDefault="00F100EE" w:rsidP="00F100EE">
            <w:pPr>
              <w:spacing w:after="160" w:line="259" w:lineRule="auto"/>
              <w:rPr>
                <w:i/>
                <w:iCs/>
                <w:sz w:val="22"/>
                <w:szCs w:val="20"/>
                <w:lang w:val="bg-BG"/>
              </w:rPr>
            </w:pPr>
            <w:proofErr w:type="spellStart"/>
            <w:r w:rsidRPr="006F3533">
              <w:rPr>
                <w:i/>
                <w:iCs/>
                <w:sz w:val="22"/>
                <w:szCs w:val="20"/>
                <w:lang w:val="bg-BG"/>
              </w:rPr>
              <w:t>Out</w:t>
            </w:r>
            <w:proofErr w:type="spellEnd"/>
            <w:r w:rsidRPr="006F3533">
              <w:rPr>
                <w:i/>
                <w:iCs/>
                <w:sz w:val="22"/>
                <w:szCs w:val="20"/>
                <w:lang w:val="bg-BG"/>
              </w:rPr>
              <w:t xml:space="preserve"> </w:t>
            </w:r>
            <w:proofErr w:type="spellStart"/>
            <w:r w:rsidRPr="006F3533">
              <w:rPr>
                <w:i/>
                <w:iCs/>
                <w:sz w:val="22"/>
                <w:szCs w:val="20"/>
                <w:lang w:val="bg-BG"/>
              </w:rPr>
              <w:t>of</w:t>
            </w:r>
            <w:proofErr w:type="spellEnd"/>
            <w:r w:rsidRPr="006F3533">
              <w:rPr>
                <w:i/>
                <w:iCs/>
                <w:sz w:val="22"/>
                <w:szCs w:val="20"/>
                <w:lang w:val="bg-BG"/>
              </w:rPr>
              <w:t xml:space="preserve"> </w:t>
            </w:r>
            <w:proofErr w:type="spellStart"/>
            <w:r w:rsidRPr="006F3533">
              <w:rPr>
                <w:i/>
                <w:iCs/>
                <w:sz w:val="22"/>
                <w:szCs w:val="20"/>
                <w:lang w:val="bg-BG"/>
              </w:rPr>
              <w:t>which</w:t>
            </w:r>
            <w:proofErr w:type="spellEnd"/>
          </w:p>
        </w:tc>
        <w:tc>
          <w:tcPr>
            <w:tcW w:w="851" w:type="dxa"/>
          </w:tcPr>
          <w:p w14:paraId="756987DF" w14:textId="77777777" w:rsidR="00F100EE" w:rsidRPr="006F3533" w:rsidRDefault="00F100EE" w:rsidP="00F100EE">
            <w:pPr>
              <w:spacing w:after="160" w:line="259" w:lineRule="auto"/>
              <w:rPr>
                <w:sz w:val="22"/>
                <w:szCs w:val="20"/>
                <w:lang w:val="bg-BG"/>
              </w:rPr>
            </w:pPr>
            <w:r w:rsidRPr="006F3533">
              <w:rPr>
                <w:sz w:val="22"/>
                <w:szCs w:val="20"/>
                <w:lang w:val="bg-BG"/>
              </w:rPr>
              <w:t>M</w:t>
            </w:r>
          </w:p>
          <w:p w14:paraId="6C8E7038" w14:textId="77777777" w:rsidR="00F100EE" w:rsidRPr="006F3533" w:rsidRDefault="00F100EE" w:rsidP="00F100EE">
            <w:pPr>
              <w:spacing w:after="160" w:line="259" w:lineRule="auto"/>
              <w:rPr>
                <w:i/>
                <w:iCs/>
                <w:sz w:val="22"/>
                <w:szCs w:val="20"/>
                <w:lang w:val="bg-BG"/>
              </w:rPr>
            </w:pPr>
          </w:p>
        </w:tc>
        <w:tc>
          <w:tcPr>
            <w:tcW w:w="1332" w:type="dxa"/>
          </w:tcPr>
          <w:p w14:paraId="2F73F813" w14:textId="77777777" w:rsidR="00F100EE" w:rsidRPr="006F3533" w:rsidRDefault="00F100EE" w:rsidP="00F100EE">
            <w:pPr>
              <w:spacing w:after="160" w:line="259" w:lineRule="auto"/>
              <w:rPr>
                <w:sz w:val="22"/>
                <w:szCs w:val="20"/>
                <w:lang w:val="bg-BG"/>
              </w:rPr>
            </w:pPr>
          </w:p>
        </w:tc>
        <w:tc>
          <w:tcPr>
            <w:tcW w:w="1332" w:type="dxa"/>
          </w:tcPr>
          <w:p w14:paraId="0F00C1C1" w14:textId="77777777" w:rsidR="00F100EE" w:rsidRPr="006F3533" w:rsidRDefault="00F100EE" w:rsidP="00F100EE">
            <w:pPr>
              <w:spacing w:after="160" w:line="259" w:lineRule="auto"/>
              <w:rPr>
                <w:sz w:val="22"/>
                <w:szCs w:val="20"/>
                <w:lang w:val="bg-BG"/>
              </w:rPr>
            </w:pPr>
          </w:p>
        </w:tc>
        <w:tc>
          <w:tcPr>
            <w:tcW w:w="1332" w:type="dxa"/>
          </w:tcPr>
          <w:p w14:paraId="2B15BC37" w14:textId="77777777" w:rsidR="00F100EE" w:rsidRPr="006F3533" w:rsidRDefault="00F100EE" w:rsidP="00F100EE">
            <w:pPr>
              <w:spacing w:after="160" w:line="259" w:lineRule="auto"/>
              <w:rPr>
                <w:sz w:val="22"/>
                <w:szCs w:val="20"/>
                <w:lang w:val="bg-BG"/>
              </w:rPr>
            </w:pPr>
          </w:p>
        </w:tc>
        <w:tc>
          <w:tcPr>
            <w:tcW w:w="1332" w:type="dxa"/>
          </w:tcPr>
          <w:p w14:paraId="7BE25F2C" w14:textId="77777777" w:rsidR="00F100EE" w:rsidRPr="006F3533" w:rsidRDefault="00F100EE" w:rsidP="00F100EE">
            <w:pPr>
              <w:spacing w:after="160" w:line="259" w:lineRule="auto"/>
              <w:rPr>
                <w:sz w:val="22"/>
                <w:szCs w:val="20"/>
                <w:lang w:val="bg-BG"/>
              </w:rPr>
            </w:pPr>
          </w:p>
        </w:tc>
        <w:tc>
          <w:tcPr>
            <w:tcW w:w="1332" w:type="dxa"/>
          </w:tcPr>
          <w:p w14:paraId="366A08FB" w14:textId="77777777" w:rsidR="00F100EE" w:rsidRPr="006F3533" w:rsidRDefault="00F100EE" w:rsidP="00F100EE">
            <w:pPr>
              <w:spacing w:after="160" w:line="259" w:lineRule="auto"/>
              <w:rPr>
                <w:sz w:val="22"/>
                <w:szCs w:val="20"/>
                <w:lang w:val="bg-BG"/>
              </w:rPr>
            </w:pPr>
          </w:p>
        </w:tc>
        <w:tc>
          <w:tcPr>
            <w:tcW w:w="1333" w:type="dxa"/>
          </w:tcPr>
          <w:p w14:paraId="1CE7518A" w14:textId="77777777" w:rsidR="00F100EE" w:rsidRPr="006F3533" w:rsidRDefault="00F100EE" w:rsidP="00F100EE">
            <w:pPr>
              <w:spacing w:after="160" w:line="259" w:lineRule="auto"/>
              <w:rPr>
                <w:sz w:val="22"/>
                <w:szCs w:val="20"/>
                <w:lang w:val="bg-BG"/>
              </w:rPr>
            </w:pPr>
          </w:p>
        </w:tc>
      </w:tr>
      <w:tr w:rsidR="000D5176" w:rsidRPr="006F3533" w14:paraId="25C759E9" w14:textId="77777777" w:rsidTr="000D5176">
        <w:tc>
          <w:tcPr>
            <w:tcW w:w="1271" w:type="dxa"/>
            <w:vMerge/>
            <w:shd w:val="clear" w:color="auto" w:fill="E7E6E6" w:themeFill="background2"/>
          </w:tcPr>
          <w:p w14:paraId="529D2244" w14:textId="77777777" w:rsidR="00F100EE" w:rsidRPr="006F3533" w:rsidRDefault="00F100EE" w:rsidP="00F100EE">
            <w:pPr>
              <w:spacing w:after="160" w:line="259" w:lineRule="auto"/>
              <w:rPr>
                <w:i/>
                <w:iCs/>
                <w:sz w:val="22"/>
                <w:szCs w:val="20"/>
                <w:lang w:val="bg-BG"/>
              </w:rPr>
            </w:pPr>
          </w:p>
        </w:tc>
        <w:tc>
          <w:tcPr>
            <w:tcW w:w="2835" w:type="dxa"/>
          </w:tcPr>
          <w:p w14:paraId="7138624B" w14:textId="77777777" w:rsidR="00F100EE" w:rsidRPr="006F3533" w:rsidRDefault="00F100EE" w:rsidP="00F100EE">
            <w:pPr>
              <w:spacing w:after="160" w:line="259" w:lineRule="auto"/>
              <w:rPr>
                <w:i/>
                <w:iCs/>
                <w:sz w:val="22"/>
                <w:szCs w:val="20"/>
                <w:lang w:val="bg-BG"/>
              </w:rPr>
            </w:pPr>
            <w:r w:rsidRPr="006F3533">
              <w:rPr>
                <w:i/>
                <w:iCs/>
                <w:sz w:val="22"/>
                <w:szCs w:val="20"/>
                <w:lang w:val="bg-BG"/>
              </w:rPr>
              <w:t xml:space="preserve">Regional and </w:t>
            </w:r>
            <w:proofErr w:type="spellStart"/>
            <w:r w:rsidRPr="006F3533">
              <w:rPr>
                <w:i/>
                <w:iCs/>
                <w:sz w:val="22"/>
                <w:szCs w:val="20"/>
                <w:lang w:val="bg-BG"/>
              </w:rPr>
              <w:t>Local</w:t>
            </w:r>
            <w:proofErr w:type="spellEnd"/>
            <w:r w:rsidRPr="006F3533">
              <w:rPr>
                <w:i/>
                <w:iCs/>
                <w:sz w:val="22"/>
                <w:szCs w:val="20"/>
                <w:lang w:val="bg-BG"/>
              </w:rPr>
              <w:t xml:space="preserve"> </w:t>
            </w:r>
            <w:proofErr w:type="spellStart"/>
            <w:r w:rsidRPr="006F3533">
              <w:rPr>
                <w:i/>
                <w:iCs/>
                <w:sz w:val="22"/>
                <w:szCs w:val="20"/>
                <w:lang w:val="bg-BG"/>
              </w:rPr>
              <w:t>funds</w:t>
            </w:r>
            <w:proofErr w:type="spellEnd"/>
          </w:p>
        </w:tc>
        <w:tc>
          <w:tcPr>
            <w:tcW w:w="851" w:type="dxa"/>
          </w:tcPr>
          <w:p w14:paraId="1B1FBE0D" w14:textId="77777777" w:rsidR="00F100EE" w:rsidRPr="006F3533" w:rsidRDefault="00F100EE" w:rsidP="00F100EE">
            <w:pPr>
              <w:spacing w:after="160" w:line="259" w:lineRule="auto"/>
              <w:rPr>
                <w:i/>
                <w:iCs/>
                <w:sz w:val="22"/>
                <w:szCs w:val="20"/>
                <w:lang w:val="bg-BG"/>
              </w:rPr>
            </w:pPr>
            <w:r w:rsidRPr="006F3533">
              <w:rPr>
                <w:i/>
                <w:iCs/>
                <w:sz w:val="22"/>
                <w:szCs w:val="20"/>
                <w:lang w:val="bg-BG"/>
              </w:rPr>
              <w:t>M</w:t>
            </w:r>
          </w:p>
        </w:tc>
        <w:tc>
          <w:tcPr>
            <w:tcW w:w="1332" w:type="dxa"/>
          </w:tcPr>
          <w:p w14:paraId="2BCAB44B" w14:textId="77777777" w:rsidR="00F100EE" w:rsidRPr="006F3533" w:rsidRDefault="00F100EE" w:rsidP="00F100EE">
            <w:pPr>
              <w:spacing w:after="160" w:line="259" w:lineRule="auto"/>
              <w:rPr>
                <w:sz w:val="22"/>
                <w:szCs w:val="20"/>
                <w:lang w:val="bg-BG"/>
              </w:rPr>
            </w:pPr>
          </w:p>
        </w:tc>
        <w:tc>
          <w:tcPr>
            <w:tcW w:w="1332" w:type="dxa"/>
          </w:tcPr>
          <w:p w14:paraId="1A73643C" w14:textId="77777777" w:rsidR="00F100EE" w:rsidRPr="006F3533" w:rsidRDefault="00F100EE" w:rsidP="00F100EE">
            <w:pPr>
              <w:spacing w:after="160" w:line="259" w:lineRule="auto"/>
              <w:rPr>
                <w:sz w:val="22"/>
                <w:szCs w:val="20"/>
                <w:lang w:val="bg-BG"/>
              </w:rPr>
            </w:pPr>
          </w:p>
        </w:tc>
        <w:tc>
          <w:tcPr>
            <w:tcW w:w="1332" w:type="dxa"/>
          </w:tcPr>
          <w:p w14:paraId="57D9141B" w14:textId="77777777" w:rsidR="00F100EE" w:rsidRPr="006F3533" w:rsidRDefault="00F100EE" w:rsidP="00F100EE">
            <w:pPr>
              <w:spacing w:after="160" w:line="259" w:lineRule="auto"/>
              <w:rPr>
                <w:sz w:val="22"/>
                <w:szCs w:val="20"/>
                <w:lang w:val="bg-BG"/>
              </w:rPr>
            </w:pPr>
          </w:p>
        </w:tc>
        <w:tc>
          <w:tcPr>
            <w:tcW w:w="1332" w:type="dxa"/>
          </w:tcPr>
          <w:p w14:paraId="3DE5467F" w14:textId="77777777" w:rsidR="00F100EE" w:rsidRPr="006F3533" w:rsidRDefault="00F100EE" w:rsidP="00F100EE">
            <w:pPr>
              <w:spacing w:after="160" w:line="259" w:lineRule="auto"/>
              <w:rPr>
                <w:sz w:val="22"/>
                <w:szCs w:val="20"/>
                <w:lang w:val="bg-BG"/>
              </w:rPr>
            </w:pPr>
          </w:p>
        </w:tc>
        <w:tc>
          <w:tcPr>
            <w:tcW w:w="1332" w:type="dxa"/>
          </w:tcPr>
          <w:p w14:paraId="1FCE4530" w14:textId="77777777" w:rsidR="00F100EE" w:rsidRPr="006F3533" w:rsidRDefault="00F100EE" w:rsidP="00F100EE">
            <w:pPr>
              <w:spacing w:after="160" w:line="259" w:lineRule="auto"/>
              <w:rPr>
                <w:sz w:val="22"/>
                <w:szCs w:val="20"/>
                <w:lang w:val="bg-BG"/>
              </w:rPr>
            </w:pPr>
          </w:p>
        </w:tc>
        <w:tc>
          <w:tcPr>
            <w:tcW w:w="1333" w:type="dxa"/>
          </w:tcPr>
          <w:p w14:paraId="47410E1D" w14:textId="77777777" w:rsidR="00F100EE" w:rsidRPr="006F3533" w:rsidRDefault="00F100EE" w:rsidP="00F100EE">
            <w:pPr>
              <w:spacing w:after="160" w:line="259" w:lineRule="auto"/>
              <w:rPr>
                <w:sz w:val="22"/>
                <w:szCs w:val="20"/>
                <w:lang w:val="bg-BG"/>
              </w:rPr>
            </w:pPr>
          </w:p>
        </w:tc>
      </w:tr>
      <w:tr w:rsidR="000D5176" w:rsidRPr="006F3533" w14:paraId="557F96C1" w14:textId="77777777" w:rsidTr="000D5176">
        <w:tc>
          <w:tcPr>
            <w:tcW w:w="1271" w:type="dxa"/>
            <w:vMerge/>
            <w:shd w:val="clear" w:color="auto" w:fill="E7E6E6" w:themeFill="background2"/>
          </w:tcPr>
          <w:p w14:paraId="6BD0FE48" w14:textId="77777777" w:rsidR="00F100EE" w:rsidRPr="006F3533" w:rsidRDefault="00F100EE" w:rsidP="00F100EE">
            <w:pPr>
              <w:spacing w:after="160" w:line="259" w:lineRule="auto"/>
              <w:rPr>
                <w:i/>
                <w:iCs/>
                <w:sz w:val="22"/>
                <w:szCs w:val="20"/>
                <w:lang w:val="bg-BG"/>
              </w:rPr>
            </w:pPr>
          </w:p>
        </w:tc>
        <w:tc>
          <w:tcPr>
            <w:tcW w:w="2835" w:type="dxa"/>
          </w:tcPr>
          <w:p w14:paraId="4BB80AAA" w14:textId="77777777" w:rsidR="00F100EE" w:rsidRPr="006F3533" w:rsidRDefault="00F100EE" w:rsidP="00F100EE">
            <w:pPr>
              <w:spacing w:after="160" w:line="259" w:lineRule="auto"/>
              <w:rPr>
                <w:i/>
                <w:iCs/>
                <w:sz w:val="22"/>
                <w:szCs w:val="20"/>
                <w:lang w:val="bg-BG"/>
              </w:rPr>
            </w:pPr>
            <w:r w:rsidRPr="006F3533">
              <w:rPr>
                <w:i/>
                <w:iCs/>
                <w:sz w:val="22"/>
                <w:szCs w:val="20"/>
                <w:lang w:val="bg-BG"/>
              </w:rPr>
              <w:t xml:space="preserve">National </w:t>
            </w:r>
            <w:proofErr w:type="spellStart"/>
            <w:r w:rsidRPr="006F3533">
              <w:rPr>
                <w:i/>
                <w:iCs/>
                <w:sz w:val="22"/>
                <w:szCs w:val="20"/>
                <w:lang w:val="bg-BG"/>
              </w:rPr>
              <w:t>funds</w:t>
            </w:r>
            <w:proofErr w:type="spellEnd"/>
          </w:p>
        </w:tc>
        <w:tc>
          <w:tcPr>
            <w:tcW w:w="851" w:type="dxa"/>
          </w:tcPr>
          <w:p w14:paraId="6E7DF4FF" w14:textId="77777777" w:rsidR="00F100EE" w:rsidRPr="006F3533" w:rsidRDefault="00F100EE" w:rsidP="00F100EE">
            <w:pPr>
              <w:spacing w:after="160" w:line="259" w:lineRule="auto"/>
              <w:rPr>
                <w:i/>
                <w:iCs/>
                <w:sz w:val="22"/>
                <w:szCs w:val="20"/>
                <w:lang w:val="bg-BG"/>
              </w:rPr>
            </w:pPr>
            <w:r w:rsidRPr="006F3533">
              <w:rPr>
                <w:i/>
                <w:iCs/>
                <w:sz w:val="22"/>
                <w:szCs w:val="20"/>
                <w:lang w:val="bg-BG"/>
              </w:rPr>
              <w:t>M</w:t>
            </w:r>
          </w:p>
        </w:tc>
        <w:tc>
          <w:tcPr>
            <w:tcW w:w="1332" w:type="dxa"/>
          </w:tcPr>
          <w:p w14:paraId="712CC149" w14:textId="77777777" w:rsidR="00F100EE" w:rsidRPr="006F3533" w:rsidRDefault="00F100EE" w:rsidP="00F100EE">
            <w:pPr>
              <w:spacing w:after="160" w:line="259" w:lineRule="auto"/>
              <w:rPr>
                <w:sz w:val="22"/>
                <w:szCs w:val="20"/>
                <w:lang w:val="bg-BG"/>
              </w:rPr>
            </w:pPr>
          </w:p>
        </w:tc>
        <w:tc>
          <w:tcPr>
            <w:tcW w:w="1332" w:type="dxa"/>
          </w:tcPr>
          <w:p w14:paraId="5D000807" w14:textId="77777777" w:rsidR="00F100EE" w:rsidRPr="006F3533" w:rsidRDefault="00F100EE" w:rsidP="00F100EE">
            <w:pPr>
              <w:spacing w:after="160" w:line="259" w:lineRule="auto"/>
              <w:rPr>
                <w:sz w:val="22"/>
                <w:szCs w:val="20"/>
                <w:lang w:val="bg-BG"/>
              </w:rPr>
            </w:pPr>
          </w:p>
        </w:tc>
        <w:tc>
          <w:tcPr>
            <w:tcW w:w="1332" w:type="dxa"/>
          </w:tcPr>
          <w:p w14:paraId="6540CDC8" w14:textId="77777777" w:rsidR="00F100EE" w:rsidRPr="006F3533" w:rsidRDefault="00F100EE" w:rsidP="00F100EE">
            <w:pPr>
              <w:spacing w:after="160" w:line="259" w:lineRule="auto"/>
              <w:rPr>
                <w:sz w:val="22"/>
                <w:szCs w:val="20"/>
                <w:lang w:val="bg-BG"/>
              </w:rPr>
            </w:pPr>
          </w:p>
        </w:tc>
        <w:tc>
          <w:tcPr>
            <w:tcW w:w="1332" w:type="dxa"/>
          </w:tcPr>
          <w:p w14:paraId="02235850" w14:textId="77777777" w:rsidR="00F100EE" w:rsidRPr="006F3533" w:rsidRDefault="00F100EE" w:rsidP="00F100EE">
            <w:pPr>
              <w:spacing w:after="160" w:line="259" w:lineRule="auto"/>
              <w:rPr>
                <w:sz w:val="22"/>
                <w:szCs w:val="20"/>
                <w:lang w:val="bg-BG"/>
              </w:rPr>
            </w:pPr>
          </w:p>
        </w:tc>
        <w:tc>
          <w:tcPr>
            <w:tcW w:w="1332" w:type="dxa"/>
          </w:tcPr>
          <w:p w14:paraId="20FFA2B2" w14:textId="77777777" w:rsidR="00F100EE" w:rsidRPr="006F3533" w:rsidRDefault="00F100EE" w:rsidP="00F100EE">
            <w:pPr>
              <w:spacing w:after="160" w:line="259" w:lineRule="auto"/>
              <w:rPr>
                <w:sz w:val="22"/>
                <w:szCs w:val="20"/>
                <w:lang w:val="bg-BG"/>
              </w:rPr>
            </w:pPr>
          </w:p>
        </w:tc>
        <w:tc>
          <w:tcPr>
            <w:tcW w:w="1333" w:type="dxa"/>
          </w:tcPr>
          <w:p w14:paraId="0A1151E6" w14:textId="77777777" w:rsidR="00F100EE" w:rsidRPr="006F3533" w:rsidRDefault="00F100EE" w:rsidP="00F100EE">
            <w:pPr>
              <w:spacing w:after="160" w:line="259" w:lineRule="auto"/>
              <w:rPr>
                <w:sz w:val="22"/>
                <w:szCs w:val="20"/>
                <w:lang w:val="bg-BG"/>
              </w:rPr>
            </w:pPr>
          </w:p>
        </w:tc>
      </w:tr>
      <w:tr w:rsidR="000D5176" w:rsidRPr="006F3533" w14:paraId="68B4152A" w14:textId="77777777" w:rsidTr="000D5176">
        <w:tc>
          <w:tcPr>
            <w:tcW w:w="1271" w:type="dxa"/>
            <w:vMerge/>
            <w:shd w:val="clear" w:color="auto" w:fill="E7E6E6" w:themeFill="background2"/>
          </w:tcPr>
          <w:p w14:paraId="1AC75EC7" w14:textId="77777777" w:rsidR="00F100EE" w:rsidRPr="006F3533" w:rsidRDefault="00F100EE" w:rsidP="00F100EE">
            <w:pPr>
              <w:spacing w:after="160" w:line="259" w:lineRule="auto"/>
              <w:rPr>
                <w:i/>
                <w:iCs/>
                <w:sz w:val="22"/>
                <w:szCs w:val="20"/>
                <w:lang w:val="bg-BG"/>
              </w:rPr>
            </w:pPr>
          </w:p>
        </w:tc>
        <w:tc>
          <w:tcPr>
            <w:tcW w:w="2835" w:type="dxa"/>
          </w:tcPr>
          <w:p w14:paraId="6D8BCB03" w14:textId="77777777" w:rsidR="00F100EE" w:rsidRPr="006F3533" w:rsidRDefault="00F100EE" w:rsidP="00F100EE">
            <w:pPr>
              <w:spacing w:after="160" w:line="259" w:lineRule="auto"/>
              <w:rPr>
                <w:i/>
                <w:iCs/>
                <w:sz w:val="22"/>
                <w:szCs w:val="20"/>
                <w:lang w:val="bg-BG"/>
              </w:rPr>
            </w:pPr>
            <w:r w:rsidRPr="006F3533">
              <w:rPr>
                <w:i/>
                <w:iCs/>
                <w:sz w:val="22"/>
                <w:szCs w:val="20"/>
                <w:lang w:val="bg-BG"/>
              </w:rPr>
              <w:t xml:space="preserve">EU </w:t>
            </w:r>
            <w:proofErr w:type="spellStart"/>
            <w:r w:rsidRPr="006F3533">
              <w:rPr>
                <w:i/>
                <w:iCs/>
                <w:sz w:val="22"/>
                <w:szCs w:val="20"/>
                <w:lang w:val="bg-BG"/>
              </w:rPr>
              <w:t>funds</w:t>
            </w:r>
            <w:proofErr w:type="spellEnd"/>
          </w:p>
        </w:tc>
        <w:tc>
          <w:tcPr>
            <w:tcW w:w="851" w:type="dxa"/>
          </w:tcPr>
          <w:p w14:paraId="26F82050" w14:textId="77777777" w:rsidR="00F100EE" w:rsidRPr="006F3533" w:rsidRDefault="00F100EE" w:rsidP="00F100EE">
            <w:pPr>
              <w:spacing w:after="160" w:line="259" w:lineRule="auto"/>
              <w:rPr>
                <w:i/>
                <w:iCs/>
                <w:sz w:val="22"/>
                <w:szCs w:val="20"/>
                <w:lang w:val="bg-BG"/>
              </w:rPr>
            </w:pPr>
            <w:r w:rsidRPr="006F3533">
              <w:rPr>
                <w:i/>
                <w:iCs/>
                <w:sz w:val="22"/>
                <w:szCs w:val="20"/>
                <w:lang w:val="bg-BG"/>
              </w:rPr>
              <w:t>M</w:t>
            </w:r>
          </w:p>
        </w:tc>
        <w:tc>
          <w:tcPr>
            <w:tcW w:w="1332" w:type="dxa"/>
          </w:tcPr>
          <w:p w14:paraId="17FC5809" w14:textId="77777777" w:rsidR="00F100EE" w:rsidRPr="006F3533" w:rsidRDefault="00F100EE" w:rsidP="00F100EE">
            <w:pPr>
              <w:spacing w:after="160" w:line="259" w:lineRule="auto"/>
              <w:rPr>
                <w:sz w:val="22"/>
                <w:szCs w:val="20"/>
                <w:lang w:val="bg-BG"/>
              </w:rPr>
            </w:pPr>
          </w:p>
        </w:tc>
        <w:tc>
          <w:tcPr>
            <w:tcW w:w="1332" w:type="dxa"/>
          </w:tcPr>
          <w:p w14:paraId="46CA02DF" w14:textId="77777777" w:rsidR="00F100EE" w:rsidRPr="006F3533" w:rsidRDefault="00F100EE" w:rsidP="00F100EE">
            <w:pPr>
              <w:spacing w:after="160" w:line="259" w:lineRule="auto"/>
              <w:rPr>
                <w:sz w:val="22"/>
                <w:szCs w:val="20"/>
                <w:lang w:val="bg-BG"/>
              </w:rPr>
            </w:pPr>
          </w:p>
        </w:tc>
        <w:tc>
          <w:tcPr>
            <w:tcW w:w="1332" w:type="dxa"/>
          </w:tcPr>
          <w:p w14:paraId="4EDD084B" w14:textId="77777777" w:rsidR="00F100EE" w:rsidRPr="006F3533" w:rsidRDefault="00F100EE" w:rsidP="00F100EE">
            <w:pPr>
              <w:spacing w:after="160" w:line="259" w:lineRule="auto"/>
              <w:rPr>
                <w:sz w:val="22"/>
                <w:szCs w:val="20"/>
                <w:lang w:val="bg-BG"/>
              </w:rPr>
            </w:pPr>
          </w:p>
        </w:tc>
        <w:tc>
          <w:tcPr>
            <w:tcW w:w="1332" w:type="dxa"/>
          </w:tcPr>
          <w:p w14:paraId="1093F293" w14:textId="77777777" w:rsidR="00F100EE" w:rsidRPr="006F3533" w:rsidRDefault="00F100EE" w:rsidP="00F100EE">
            <w:pPr>
              <w:spacing w:after="160" w:line="259" w:lineRule="auto"/>
              <w:rPr>
                <w:sz w:val="22"/>
                <w:szCs w:val="20"/>
                <w:lang w:val="bg-BG"/>
              </w:rPr>
            </w:pPr>
          </w:p>
        </w:tc>
        <w:tc>
          <w:tcPr>
            <w:tcW w:w="1332" w:type="dxa"/>
          </w:tcPr>
          <w:p w14:paraId="16CDB644" w14:textId="77777777" w:rsidR="00F100EE" w:rsidRPr="006F3533" w:rsidRDefault="00F100EE" w:rsidP="00F100EE">
            <w:pPr>
              <w:spacing w:after="160" w:line="259" w:lineRule="auto"/>
              <w:rPr>
                <w:sz w:val="22"/>
                <w:szCs w:val="20"/>
                <w:lang w:val="bg-BG"/>
              </w:rPr>
            </w:pPr>
          </w:p>
        </w:tc>
        <w:tc>
          <w:tcPr>
            <w:tcW w:w="1333" w:type="dxa"/>
          </w:tcPr>
          <w:p w14:paraId="6CD5FF67" w14:textId="77777777" w:rsidR="00F100EE" w:rsidRPr="006F3533" w:rsidRDefault="00F100EE" w:rsidP="00F100EE">
            <w:pPr>
              <w:spacing w:after="160" w:line="259" w:lineRule="auto"/>
              <w:rPr>
                <w:sz w:val="22"/>
                <w:szCs w:val="20"/>
                <w:lang w:val="bg-BG"/>
              </w:rPr>
            </w:pPr>
          </w:p>
        </w:tc>
      </w:tr>
      <w:tr w:rsidR="000D5176" w:rsidRPr="006F3533" w14:paraId="52E2511B" w14:textId="77777777" w:rsidTr="000D5176">
        <w:tc>
          <w:tcPr>
            <w:tcW w:w="1271" w:type="dxa"/>
            <w:vMerge/>
            <w:shd w:val="clear" w:color="auto" w:fill="E7E6E6" w:themeFill="background2"/>
          </w:tcPr>
          <w:p w14:paraId="5F9CEB1C" w14:textId="77777777" w:rsidR="00F100EE" w:rsidRPr="006F3533" w:rsidRDefault="00F100EE" w:rsidP="00F100EE">
            <w:pPr>
              <w:spacing w:after="160" w:line="259" w:lineRule="auto"/>
              <w:rPr>
                <w:i/>
                <w:iCs/>
                <w:sz w:val="22"/>
                <w:szCs w:val="20"/>
                <w:lang w:val="bg-BG"/>
              </w:rPr>
            </w:pPr>
          </w:p>
        </w:tc>
        <w:tc>
          <w:tcPr>
            <w:tcW w:w="2835" w:type="dxa"/>
          </w:tcPr>
          <w:p w14:paraId="21F47EDE" w14:textId="77777777" w:rsidR="00F100EE" w:rsidRPr="006F3533" w:rsidRDefault="00F100EE" w:rsidP="00F100EE">
            <w:pPr>
              <w:spacing w:after="160" w:line="259" w:lineRule="auto"/>
              <w:rPr>
                <w:i/>
                <w:iCs/>
                <w:sz w:val="22"/>
                <w:szCs w:val="20"/>
                <w:lang w:val="bg-BG"/>
              </w:rPr>
            </w:pPr>
            <w:proofErr w:type="spellStart"/>
            <w:r w:rsidRPr="006F3533">
              <w:rPr>
                <w:i/>
                <w:iCs/>
                <w:sz w:val="22"/>
                <w:szCs w:val="20"/>
                <w:lang w:val="bg-BG"/>
              </w:rPr>
              <w:t>Other</w:t>
            </w:r>
            <w:proofErr w:type="spellEnd"/>
            <w:r w:rsidRPr="006F3533">
              <w:rPr>
                <w:i/>
                <w:iCs/>
                <w:sz w:val="22"/>
                <w:szCs w:val="20"/>
                <w:lang w:val="bg-BG"/>
              </w:rPr>
              <w:t xml:space="preserve"> (</w:t>
            </w:r>
            <w:proofErr w:type="spellStart"/>
            <w:r w:rsidRPr="006F3533">
              <w:rPr>
                <w:i/>
                <w:iCs/>
                <w:sz w:val="22"/>
                <w:szCs w:val="20"/>
                <w:lang w:val="bg-BG"/>
              </w:rPr>
              <w:t>describe</w:t>
            </w:r>
            <w:proofErr w:type="spellEnd"/>
            <w:r w:rsidRPr="006F3533">
              <w:rPr>
                <w:i/>
                <w:iCs/>
                <w:sz w:val="22"/>
                <w:szCs w:val="20"/>
                <w:lang w:val="bg-BG"/>
              </w:rPr>
              <w:t>)</w:t>
            </w:r>
          </w:p>
        </w:tc>
        <w:tc>
          <w:tcPr>
            <w:tcW w:w="851" w:type="dxa"/>
          </w:tcPr>
          <w:p w14:paraId="3BB3E17E" w14:textId="77777777" w:rsidR="00F100EE" w:rsidRPr="006F3533" w:rsidRDefault="00F100EE" w:rsidP="00F100EE">
            <w:pPr>
              <w:spacing w:after="160" w:line="259" w:lineRule="auto"/>
              <w:rPr>
                <w:i/>
                <w:iCs/>
                <w:sz w:val="22"/>
                <w:szCs w:val="20"/>
                <w:lang w:val="bg-BG"/>
              </w:rPr>
            </w:pPr>
            <w:proofErr w:type="spellStart"/>
            <w:r w:rsidRPr="006F3533">
              <w:rPr>
                <w:i/>
                <w:iCs/>
                <w:sz w:val="22"/>
                <w:szCs w:val="20"/>
                <w:lang w:val="bg-BG"/>
              </w:rPr>
              <w:t>Miav</w:t>
            </w:r>
            <w:proofErr w:type="spellEnd"/>
          </w:p>
        </w:tc>
        <w:tc>
          <w:tcPr>
            <w:tcW w:w="1332" w:type="dxa"/>
          </w:tcPr>
          <w:p w14:paraId="7EDE6640" w14:textId="77777777" w:rsidR="00F100EE" w:rsidRPr="006F3533" w:rsidRDefault="00F100EE" w:rsidP="00F100EE">
            <w:pPr>
              <w:spacing w:after="160" w:line="259" w:lineRule="auto"/>
              <w:rPr>
                <w:sz w:val="22"/>
                <w:szCs w:val="20"/>
                <w:lang w:val="bg-BG"/>
              </w:rPr>
            </w:pPr>
          </w:p>
        </w:tc>
        <w:tc>
          <w:tcPr>
            <w:tcW w:w="1332" w:type="dxa"/>
          </w:tcPr>
          <w:p w14:paraId="3505B065" w14:textId="77777777" w:rsidR="00F100EE" w:rsidRPr="006F3533" w:rsidRDefault="00F100EE" w:rsidP="00F100EE">
            <w:pPr>
              <w:spacing w:after="160" w:line="259" w:lineRule="auto"/>
              <w:rPr>
                <w:sz w:val="22"/>
                <w:szCs w:val="20"/>
                <w:lang w:val="bg-BG"/>
              </w:rPr>
            </w:pPr>
          </w:p>
        </w:tc>
        <w:tc>
          <w:tcPr>
            <w:tcW w:w="1332" w:type="dxa"/>
          </w:tcPr>
          <w:p w14:paraId="364CD202" w14:textId="77777777" w:rsidR="00F100EE" w:rsidRPr="006F3533" w:rsidRDefault="00F100EE" w:rsidP="00F100EE">
            <w:pPr>
              <w:spacing w:after="160" w:line="259" w:lineRule="auto"/>
              <w:rPr>
                <w:sz w:val="22"/>
                <w:szCs w:val="20"/>
                <w:lang w:val="bg-BG"/>
              </w:rPr>
            </w:pPr>
          </w:p>
        </w:tc>
        <w:tc>
          <w:tcPr>
            <w:tcW w:w="1332" w:type="dxa"/>
          </w:tcPr>
          <w:p w14:paraId="3C215CDC" w14:textId="77777777" w:rsidR="00F100EE" w:rsidRPr="006F3533" w:rsidRDefault="00F100EE" w:rsidP="00F100EE">
            <w:pPr>
              <w:spacing w:after="160" w:line="259" w:lineRule="auto"/>
              <w:rPr>
                <w:sz w:val="22"/>
                <w:szCs w:val="20"/>
                <w:lang w:val="bg-BG"/>
              </w:rPr>
            </w:pPr>
          </w:p>
        </w:tc>
        <w:tc>
          <w:tcPr>
            <w:tcW w:w="1332" w:type="dxa"/>
          </w:tcPr>
          <w:p w14:paraId="66F43E5C" w14:textId="77777777" w:rsidR="00F100EE" w:rsidRPr="006F3533" w:rsidRDefault="00F100EE" w:rsidP="00F100EE">
            <w:pPr>
              <w:spacing w:after="160" w:line="259" w:lineRule="auto"/>
              <w:rPr>
                <w:sz w:val="22"/>
                <w:szCs w:val="20"/>
                <w:lang w:val="bg-BG"/>
              </w:rPr>
            </w:pPr>
          </w:p>
        </w:tc>
        <w:tc>
          <w:tcPr>
            <w:tcW w:w="1333" w:type="dxa"/>
          </w:tcPr>
          <w:p w14:paraId="4309327A" w14:textId="77777777" w:rsidR="00F100EE" w:rsidRPr="006F3533" w:rsidRDefault="00F100EE" w:rsidP="00F100EE">
            <w:pPr>
              <w:spacing w:after="160" w:line="259" w:lineRule="auto"/>
              <w:rPr>
                <w:sz w:val="22"/>
                <w:szCs w:val="20"/>
                <w:lang w:val="bg-BG"/>
              </w:rPr>
            </w:pPr>
          </w:p>
        </w:tc>
      </w:tr>
      <w:tr w:rsidR="000D5176" w:rsidRPr="006F3533" w14:paraId="4AFC311B" w14:textId="77777777" w:rsidTr="000D5176">
        <w:tc>
          <w:tcPr>
            <w:tcW w:w="1271" w:type="dxa"/>
            <w:vMerge/>
            <w:shd w:val="clear" w:color="auto" w:fill="E7E6E6" w:themeFill="background2"/>
          </w:tcPr>
          <w:p w14:paraId="4F4E4A08" w14:textId="77777777" w:rsidR="00F100EE" w:rsidRPr="006F3533" w:rsidRDefault="00F100EE" w:rsidP="00F100EE">
            <w:pPr>
              <w:spacing w:after="160" w:line="259" w:lineRule="auto"/>
              <w:rPr>
                <w:sz w:val="22"/>
                <w:szCs w:val="20"/>
                <w:lang w:val="bg-BG"/>
              </w:rPr>
            </w:pPr>
          </w:p>
        </w:tc>
        <w:tc>
          <w:tcPr>
            <w:tcW w:w="2835" w:type="dxa"/>
          </w:tcPr>
          <w:p w14:paraId="097AEADA" w14:textId="77777777" w:rsidR="00F100EE" w:rsidRPr="006F3533" w:rsidRDefault="00F100EE" w:rsidP="00F100EE">
            <w:pPr>
              <w:spacing w:after="160" w:line="259" w:lineRule="auto"/>
              <w:rPr>
                <w:sz w:val="22"/>
                <w:szCs w:val="20"/>
                <w:lang w:val="bg-BG"/>
              </w:rPr>
            </w:pPr>
            <w:proofErr w:type="spellStart"/>
            <w:r w:rsidRPr="006F3533">
              <w:rPr>
                <w:sz w:val="22"/>
                <w:szCs w:val="20"/>
                <w:lang w:val="bg-BG"/>
              </w:rPr>
              <w:t>Private</w:t>
            </w:r>
            <w:proofErr w:type="spellEnd"/>
            <w:r w:rsidRPr="006F3533">
              <w:rPr>
                <w:sz w:val="22"/>
                <w:szCs w:val="20"/>
                <w:lang w:val="bg-BG"/>
              </w:rPr>
              <w:t xml:space="preserve"> </w:t>
            </w:r>
            <w:proofErr w:type="spellStart"/>
            <w:r w:rsidRPr="006F3533">
              <w:rPr>
                <w:sz w:val="22"/>
                <w:szCs w:val="20"/>
                <w:lang w:val="bg-BG"/>
              </w:rPr>
              <w:t>investments</w:t>
            </w:r>
            <w:proofErr w:type="spellEnd"/>
          </w:p>
          <w:p w14:paraId="4B906DC8" w14:textId="77777777" w:rsidR="00F100EE" w:rsidRPr="006F3533" w:rsidRDefault="00F100EE" w:rsidP="00F100EE">
            <w:pPr>
              <w:spacing w:after="160" w:line="259" w:lineRule="auto"/>
              <w:rPr>
                <w:sz w:val="22"/>
                <w:szCs w:val="20"/>
                <w:lang w:val="bg-BG"/>
              </w:rPr>
            </w:pPr>
            <w:proofErr w:type="spellStart"/>
            <w:r w:rsidRPr="006F3533">
              <w:rPr>
                <w:i/>
                <w:iCs/>
                <w:sz w:val="22"/>
                <w:szCs w:val="20"/>
                <w:lang w:val="bg-BG"/>
              </w:rPr>
              <w:t>Out</w:t>
            </w:r>
            <w:proofErr w:type="spellEnd"/>
            <w:r w:rsidRPr="006F3533">
              <w:rPr>
                <w:i/>
                <w:iCs/>
                <w:sz w:val="22"/>
                <w:szCs w:val="20"/>
                <w:lang w:val="bg-BG"/>
              </w:rPr>
              <w:t xml:space="preserve"> </w:t>
            </w:r>
            <w:proofErr w:type="spellStart"/>
            <w:r w:rsidRPr="006F3533">
              <w:rPr>
                <w:i/>
                <w:iCs/>
                <w:sz w:val="22"/>
                <w:szCs w:val="20"/>
                <w:lang w:val="bg-BG"/>
              </w:rPr>
              <w:t>of</w:t>
            </w:r>
            <w:proofErr w:type="spellEnd"/>
            <w:r w:rsidRPr="006F3533">
              <w:rPr>
                <w:i/>
                <w:iCs/>
                <w:sz w:val="22"/>
                <w:szCs w:val="20"/>
                <w:lang w:val="bg-BG"/>
              </w:rPr>
              <w:t xml:space="preserve"> </w:t>
            </w:r>
            <w:proofErr w:type="spellStart"/>
            <w:r w:rsidRPr="006F3533">
              <w:rPr>
                <w:i/>
                <w:iCs/>
                <w:sz w:val="22"/>
                <w:szCs w:val="20"/>
                <w:lang w:val="bg-BG"/>
              </w:rPr>
              <w:t>which</w:t>
            </w:r>
            <w:proofErr w:type="spellEnd"/>
          </w:p>
        </w:tc>
        <w:tc>
          <w:tcPr>
            <w:tcW w:w="851" w:type="dxa"/>
          </w:tcPr>
          <w:p w14:paraId="7ED08185" w14:textId="77777777" w:rsidR="00F100EE" w:rsidRPr="006F3533" w:rsidRDefault="00F100EE" w:rsidP="00F100EE">
            <w:pPr>
              <w:spacing w:after="160" w:line="259" w:lineRule="auto"/>
              <w:rPr>
                <w:sz w:val="22"/>
                <w:szCs w:val="20"/>
                <w:lang w:val="bg-BG"/>
              </w:rPr>
            </w:pPr>
            <w:r w:rsidRPr="006F3533">
              <w:rPr>
                <w:sz w:val="22"/>
                <w:szCs w:val="20"/>
                <w:lang w:val="bg-BG"/>
              </w:rPr>
              <w:t>M</w:t>
            </w:r>
          </w:p>
        </w:tc>
        <w:tc>
          <w:tcPr>
            <w:tcW w:w="1332" w:type="dxa"/>
          </w:tcPr>
          <w:p w14:paraId="2005D2CA" w14:textId="77777777" w:rsidR="00F100EE" w:rsidRPr="006F3533" w:rsidRDefault="00F100EE" w:rsidP="00F100EE">
            <w:pPr>
              <w:spacing w:after="160" w:line="259" w:lineRule="auto"/>
              <w:rPr>
                <w:sz w:val="22"/>
                <w:szCs w:val="20"/>
                <w:lang w:val="bg-BG"/>
              </w:rPr>
            </w:pPr>
          </w:p>
        </w:tc>
        <w:tc>
          <w:tcPr>
            <w:tcW w:w="1332" w:type="dxa"/>
          </w:tcPr>
          <w:p w14:paraId="1A745272" w14:textId="77777777" w:rsidR="00F100EE" w:rsidRPr="006F3533" w:rsidRDefault="00F100EE" w:rsidP="00F100EE">
            <w:pPr>
              <w:spacing w:after="160" w:line="259" w:lineRule="auto"/>
              <w:rPr>
                <w:sz w:val="22"/>
                <w:szCs w:val="20"/>
                <w:lang w:val="bg-BG"/>
              </w:rPr>
            </w:pPr>
          </w:p>
        </w:tc>
        <w:tc>
          <w:tcPr>
            <w:tcW w:w="1332" w:type="dxa"/>
          </w:tcPr>
          <w:p w14:paraId="7B8BA8B1" w14:textId="77777777" w:rsidR="00F100EE" w:rsidRPr="006F3533" w:rsidRDefault="00F100EE" w:rsidP="00F100EE">
            <w:pPr>
              <w:spacing w:after="160" w:line="259" w:lineRule="auto"/>
              <w:rPr>
                <w:sz w:val="22"/>
                <w:szCs w:val="20"/>
                <w:lang w:val="bg-BG"/>
              </w:rPr>
            </w:pPr>
          </w:p>
        </w:tc>
        <w:tc>
          <w:tcPr>
            <w:tcW w:w="1332" w:type="dxa"/>
          </w:tcPr>
          <w:p w14:paraId="37D380DE" w14:textId="77777777" w:rsidR="00F100EE" w:rsidRPr="006F3533" w:rsidRDefault="00F100EE" w:rsidP="00F100EE">
            <w:pPr>
              <w:spacing w:after="160" w:line="259" w:lineRule="auto"/>
              <w:rPr>
                <w:sz w:val="22"/>
                <w:szCs w:val="20"/>
                <w:lang w:val="bg-BG"/>
              </w:rPr>
            </w:pPr>
          </w:p>
        </w:tc>
        <w:tc>
          <w:tcPr>
            <w:tcW w:w="1332" w:type="dxa"/>
          </w:tcPr>
          <w:p w14:paraId="48039426" w14:textId="77777777" w:rsidR="00F100EE" w:rsidRPr="006F3533" w:rsidRDefault="00F100EE" w:rsidP="00F100EE">
            <w:pPr>
              <w:spacing w:after="160" w:line="259" w:lineRule="auto"/>
              <w:rPr>
                <w:sz w:val="22"/>
                <w:szCs w:val="20"/>
                <w:lang w:val="bg-BG"/>
              </w:rPr>
            </w:pPr>
          </w:p>
        </w:tc>
        <w:tc>
          <w:tcPr>
            <w:tcW w:w="1333" w:type="dxa"/>
          </w:tcPr>
          <w:p w14:paraId="4C5744EE" w14:textId="77777777" w:rsidR="00F100EE" w:rsidRPr="006F3533" w:rsidRDefault="00F100EE" w:rsidP="00F100EE">
            <w:pPr>
              <w:spacing w:after="160" w:line="259" w:lineRule="auto"/>
              <w:rPr>
                <w:sz w:val="22"/>
                <w:szCs w:val="20"/>
                <w:lang w:val="bg-BG"/>
              </w:rPr>
            </w:pPr>
          </w:p>
        </w:tc>
      </w:tr>
      <w:tr w:rsidR="000D5176" w:rsidRPr="006F3533" w14:paraId="4CFE18D4" w14:textId="77777777" w:rsidTr="000D5176">
        <w:tc>
          <w:tcPr>
            <w:tcW w:w="1271" w:type="dxa"/>
            <w:vMerge/>
            <w:shd w:val="clear" w:color="auto" w:fill="E7E6E6" w:themeFill="background2"/>
          </w:tcPr>
          <w:p w14:paraId="47F4C00F" w14:textId="77777777" w:rsidR="00F100EE" w:rsidRPr="006F3533" w:rsidRDefault="00F100EE" w:rsidP="00F100EE">
            <w:pPr>
              <w:spacing w:after="160" w:line="259" w:lineRule="auto"/>
              <w:rPr>
                <w:sz w:val="22"/>
                <w:szCs w:val="20"/>
                <w:lang w:val="bg-BG"/>
              </w:rPr>
            </w:pPr>
          </w:p>
        </w:tc>
        <w:tc>
          <w:tcPr>
            <w:tcW w:w="2835" w:type="dxa"/>
          </w:tcPr>
          <w:p w14:paraId="1378E4D5" w14:textId="77777777" w:rsidR="00F100EE" w:rsidRPr="006F3533" w:rsidRDefault="00F100EE" w:rsidP="00F100EE">
            <w:pPr>
              <w:spacing w:after="160" w:line="259" w:lineRule="auto"/>
              <w:rPr>
                <w:i/>
                <w:iCs/>
                <w:sz w:val="22"/>
                <w:szCs w:val="20"/>
                <w:lang w:val="bg-BG"/>
              </w:rPr>
            </w:pPr>
            <w:proofErr w:type="spellStart"/>
            <w:r w:rsidRPr="006F3533">
              <w:rPr>
                <w:i/>
                <w:iCs/>
                <w:sz w:val="22"/>
                <w:szCs w:val="20"/>
                <w:lang w:val="bg-BG"/>
              </w:rPr>
              <w:t>Own-financing</w:t>
            </w:r>
            <w:proofErr w:type="spellEnd"/>
          </w:p>
        </w:tc>
        <w:tc>
          <w:tcPr>
            <w:tcW w:w="851" w:type="dxa"/>
          </w:tcPr>
          <w:p w14:paraId="1FEF69A4" w14:textId="77777777" w:rsidR="00F100EE" w:rsidRPr="006F3533" w:rsidRDefault="00F100EE" w:rsidP="00F100EE">
            <w:pPr>
              <w:spacing w:after="160" w:line="259" w:lineRule="auto"/>
              <w:rPr>
                <w:sz w:val="22"/>
                <w:szCs w:val="20"/>
                <w:lang w:val="bg-BG"/>
              </w:rPr>
            </w:pPr>
            <w:r w:rsidRPr="006F3533">
              <w:rPr>
                <w:i/>
                <w:iCs/>
                <w:sz w:val="22"/>
                <w:szCs w:val="20"/>
                <w:lang w:val="bg-BG"/>
              </w:rPr>
              <w:t>M</w:t>
            </w:r>
          </w:p>
        </w:tc>
        <w:tc>
          <w:tcPr>
            <w:tcW w:w="1332" w:type="dxa"/>
          </w:tcPr>
          <w:p w14:paraId="3EB47D23" w14:textId="77777777" w:rsidR="00F100EE" w:rsidRPr="006F3533" w:rsidRDefault="00F100EE" w:rsidP="00F100EE">
            <w:pPr>
              <w:spacing w:after="160" w:line="259" w:lineRule="auto"/>
              <w:rPr>
                <w:sz w:val="22"/>
                <w:szCs w:val="20"/>
                <w:lang w:val="bg-BG"/>
              </w:rPr>
            </w:pPr>
          </w:p>
        </w:tc>
        <w:tc>
          <w:tcPr>
            <w:tcW w:w="1332" w:type="dxa"/>
          </w:tcPr>
          <w:p w14:paraId="2D318946" w14:textId="77777777" w:rsidR="00F100EE" w:rsidRPr="006F3533" w:rsidRDefault="00F100EE" w:rsidP="00F100EE">
            <w:pPr>
              <w:spacing w:after="160" w:line="259" w:lineRule="auto"/>
              <w:rPr>
                <w:sz w:val="22"/>
                <w:szCs w:val="20"/>
                <w:lang w:val="bg-BG"/>
              </w:rPr>
            </w:pPr>
          </w:p>
        </w:tc>
        <w:tc>
          <w:tcPr>
            <w:tcW w:w="1332" w:type="dxa"/>
          </w:tcPr>
          <w:p w14:paraId="606C08F0" w14:textId="77777777" w:rsidR="00F100EE" w:rsidRPr="006F3533" w:rsidRDefault="00F100EE" w:rsidP="00F100EE">
            <w:pPr>
              <w:spacing w:after="160" w:line="259" w:lineRule="auto"/>
              <w:rPr>
                <w:sz w:val="22"/>
                <w:szCs w:val="20"/>
                <w:lang w:val="bg-BG"/>
              </w:rPr>
            </w:pPr>
          </w:p>
        </w:tc>
        <w:tc>
          <w:tcPr>
            <w:tcW w:w="1332" w:type="dxa"/>
          </w:tcPr>
          <w:p w14:paraId="2B9FB61B" w14:textId="77777777" w:rsidR="00F100EE" w:rsidRPr="006F3533" w:rsidRDefault="00F100EE" w:rsidP="00F100EE">
            <w:pPr>
              <w:spacing w:after="160" w:line="259" w:lineRule="auto"/>
              <w:rPr>
                <w:sz w:val="22"/>
                <w:szCs w:val="20"/>
                <w:lang w:val="bg-BG"/>
              </w:rPr>
            </w:pPr>
          </w:p>
        </w:tc>
        <w:tc>
          <w:tcPr>
            <w:tcW w:w="1332" w:type="dxa"/>
          </w:tcPr>
          <w:p w14:paraId="2919F843" w14:textId="77777777" w:rsidR="00F100EE" w:rsidRPr="006F3533" w:rsidRDefault="00F100EE" w:rsidP="00F100EE">
            <w:pPr>
              <w:spacing w:after="160" w:line="259" w:lineRule="auto"/>
              <w:rPr>
                <w:sz w:val="22"/>
                <w:szCs w:val="20"/>
                <w:lang w:val="bg-BG"/>
              </w:rPr>
            </w:pPr>
          </w:p>
        </w:tc>
        <w:tc>
          <w:tcPr>
            <w:tcW w:w="1333" w:type="dxa"/>
          </w:tcPr>
          <w:p w14:paraId="6455DCA2" w14:textId="77777777" w:rsidR="00F100EE" w:rsidRPr="006F3533" w:rsidRDefault="00F100EE" w:rsidP="00F100EE">
            <w:pPr>
              <w:spacing w:after="160" w:line="259" w:lineRule="auto"/>
              <w:rPr>
                <w:sz w:val="22"/>
                <w:szCs w:val="20"/>
                <w:lang w:val="bg-BG"/>
              </w:rPr>
            </w:pPr>
          </w:p>
        </w:tc>
      </w:tr>
      <w:tr w:rsidR="000D5176" w:rsidRPr="006F3533" w14:paraId="7578D56D" w14:textId="77777777" w:rsidTr="000D5176">
        <w:tc>
          <w:tcPr>
            <w:tcW w:w="1271" w:type="dxa"/>
            <w:vMerge/>
            <w:shd w:val="clear" w:color="auto" w:fill="E7E6E6" w:themeFill="background2"/>
          </w:tcPr>
          <w:p w14:paraId="4B0B5F05" w14:textId="77777777" w:rsidR="00F100EE" w:rsidRPr="006F3533" w:rsidRDefault="00F100EE" w:rsidP="00F100EE">
            <w:pPr>
              <w:spacing w:after="160" w:line="259" w:lineRule="auto"/>
              <w:rPr>
                <w:sz w:val="22"/>
                <w:szCs w:val="20"/>
                <w:lang w:val="bg-BG"/>
              </w:rPr>
            </w:pPr>
          </w:p>
        </w:tc>
        <w:tc>
          <w:tcPr>
            <w:tcW w:w="2835" w:type="dxa"/>
          </w:tcPr>
          <w:p w14:paraId="0E493323" w14:textId="77777777" w:rsidR="00F100EE" w:rsidRPr="006F3533" w:rsidRDefault="00F100EE" w:rsidP="00F100EE">
            <w:pPr>
              <w:spacing w:after="160" w:line="259" w:lineRule="auto"/>
              <w:rPr>
                <w:i/>
                <w:iCs/>
                <w:sz w:val="22"/>
                <w:szCs w:val="20"/>
                <w:lang w:val="bg-BG"/>
              </w:rPr>
            </w:pPr>
            <w:proofErr w:type="spellStart"/>
            <w:r w:rsidRPr="006F3533">
              <w:rPr>
                <w:i/>
                <w:iCs/>
                <w:sz w:val="22"/>
                <w:szCs w:val="20"/>
                <w:lang w:val="bg-BG"/>
              </w:rPr>
              <w:t>Mortgages</w:t>
            </w:r>
            <w:proofErr w:type="spellEnd"/>
          </w:p>
        </w:tc>
        <w:tc>
          <w:tcPr>
            <w:tcW w:w="851" w:type="dxa"/>
          </w:tcPr>
          <w:p w14:paraId="293B83E8" w14:textId="77777777" w:rsidR="00F100EE" w:rsidRPr="006F3533" w:rsidRDefault="00F100EE" w:rsidP="00F100EE">
            <w:pPr>
              <w:spacing w:after="160" w:line="259" w:lineRule="auto"/>
              <w:rPr>
                <w:sz w:val="22"/>
                <w:szCs w:val="20"/>
                <w:lang w:val="bg-BG"/>
              </w:rPr>
            </w:pPr>
            <w:r w:rsidRPr="006F3533">
              <w:rPr>
                <w:i/>
                <w:iCs/>
                <w:sz w:val="22"/>
                <w:szCs w:val="20"/>
                <w:lang w:val="bg-BG"/>
              </w:rPr>
              <w:t>M</w:t>
            </w:r>
          </w:p>
        </w:tc>
        <w:tc>
          <w:tcPr>
            <w:tcW w:w="1332" w:type="dxa"/>
          </w:tcPr>
          <w:p w14:paraId="6B402BFA" w14:textId="77777777" w:rsidR="00F100EE" w:rsidRPr="006F3533" w:rsidRDefault="00F100EE" w:rsidP="00F100EE">
            <w:pPr>
              <w:spacing w:after="160" w:line="259" w:lineRule="auto"/>
              <w:rPr>
                <w:sz w:val="22"/>
                <w:szCs w:val="20"/>
                <w:lang w:val="bg-BG"/>
              </w:rPr>
            </w:pPr>
          </w:p>
        </w:tc>
        <w:tc>
          <w:tcPr>
            <w:tcW w:w="1332" w:type="dxa"/>
          </w:tcPr>
          <w:p w14:paraId="17E407B7" w14:textId="77777777" w:rsidR="00F100EE" w:rsidRPr="006F3533" w:rsidRDefault="00F100EE" w:rsidP="00F100EE">
            <w:pPr>
              <w:spacing w:after="160" w:line="259" w:lineRule="auto"/>
              <w:rPr>
                <w:sz w:val="22"/>
                <w:szCs w:val="20"/>
                <w:lang w:val="bg-BG"/>
              </w:rPr>
            </w:pPr>
          </w:p>
        </w:tc>
        <w:tc>
          <w:tcPr>
            <w:tcW w:w="1332" w:type="dxa"/>
          </w:tcPr>
          <w:p w14:paraId="2208AE8E" w14:textId="77777777" w:rsidR="00F100EE" w:rsidRPr="006F3533" w:rsidRDefault="00F100EE" w:rsidP="00F100EE">
            <w:pPr>
              <w:spacing w:after="160" w:line="259" w:lineRule="auto"/>
              <w:rPr>
                <w:sz w:val="22"/>
                <w:szCs w:val="20"/>
                <w:lang w:val="bg-BG"/>
              </w:rPr>
            </w:pPr>
          </w:p>
        </w:tc>
        <w:tc>
          <w:tcPr>
            <w:tcW w:w="1332" w:type="dxa"/>
          </w:tcPr>
          <w:p w14:paraId="421D4478" w14:textId="77777777" w:rsidR="00F100EE" w:rsidRPr="006F3533" w:rsidRDefault="00F100EE" w:rsidP="00F100EE">
            <w:pPr>
              <w:spacing w:after="160" w:line="259" w:lineRule="auto"/>
              <w:rPr>
                <w:sz w:val="22"/>
                <w:szCs w:val="20"/>
                <w:lang w:val="bg-BG"/>
              </w:rPr>
            </w:pPr>
          </w:p>
        </w:tc>
        <w:tc>
          <w:tcPr>
            <w:tcW w:w="1332" w:type="dxa"/>
          </w:tcPr>
          <w:p w14:paraId="77D882FC" w14:textId="77777777" w:rsidR="00F100EE" w:rsidRPr="006F3533" w:rsidRDefault="00F100EE" w:rsidP="00F100EE">
            <w:pPr>
              <w:spacing w:after="160" w:line="259" w:lineRule="auto"/>
              <w:rPr>
                <w:sz w:val="22"/>
                <w:szCs w:val="20"/>
                <w:lang w:val="bg-BG"/>
              </w:rPr>
            </w:pPr>
          </w:p>
        </w:tc>
        <w:tc>
          <w:tcPr>
            <w:tcW w:w="1333" w:type="dxa"/>
          </w:tcPr>
          <w:p w14:paraId="4826041E" w14:textId="77777777" w:rsidR="00F100EE" w:rsidRPr="006F3533" w:rsidRDefault="00F100EE" w:rsidP="00F100EE">
            <w:pPr>
              <w:spacing w:after="160" w:line="259" w:lineRule="auto"/>
              <w:rPr>
                <w:sz w:val="22"/>
                <w:szCs w:val="20"/>
                <w:lang w:val="bg-BG"/>
              </w:rPr>
            </w:pPr>
          </w:p>
        </w:tc>
      </w:tr>
      <w:tr w:rsidR="000D5176" w:rsidRPr="006F3533" w14:paraId="54BFAB89" w14:textId="77777777" w:rsidTr="000D5176">
        <w:tc>
          <w:tcPr>
            <w:tcW w:w="1271" w:type="dxa"/>
            <w:vMerge/>
            <w:shd w:val="clear" w:color="auto" w:fill="E7E6E6" w:themeFill="background2"/>
          </w:tcPr>
          <w:p w14:paraId="37A0B155" w14:textId="77777777" w:rsidR="00F100EE" w:rsidRPr="006F3533" w:rsidRDefault="00F100EE" w:rsidP="00F100EE">
            <w:pPr>
              <w:spacing w:after="160" w:line="259" w:lineRule="auto"/>
              <w:rPr>
                <w:sz w:val="22"/>
                <w:szCs w:val="20"/>
                <w:lang w:val="bg-BG"/>
              </w:rPr>
            </w:pPr>
          </w:p>
        </w:tc>
        <w:tc>
          <w:tcPr>
            <w:tcW w:w="2835" w:type="dxa"/>
          </w:tcPr>
          <w:p w14:paraId="2ABFD1BD" w14:textId="77777777" w:rsidR="00F100EE" w:rsidRPr="006F3533" w:rsidRDefault="00F100EE" w:rsidP="00F100EE">
            <w:pPr>
              <w:spacing w:after="160" w:line="259" w:lineRule="auto"/>
              <w:rPr>
                <w:i/>
                <w:iCs/>
                <w:sz w:val="22"/>
                <w:szCs w:val="20"/>
                <w:lang w:val="bg-BG"/>
              </w:rPr>
            </w:pPr>
            <w:proofErr w:type="spellStart"/>
            <w:r w:rsidRPr="006F3533">
              <w:rPr>
                <w:i/>
                <w:iCs/>
                <w:sz w:val="22"/>
                <w:szCs w:val="20"/>
                <w:lang w:val="bg-BG"/>
              </w:rPr>
              <w:t>Non-secured</w:t>
            </w:r>
            <w:proofErr w:type="spellEnd"/>
            <w:r w:rsidRPr="006F3533">
              <w:rPr>
                <w:i/>
                <w:iCs/>
                <w:sz w:val="22"/>
                <w:szCs w:val="20"/>
                <w:lang w:val="bg-BG"/>
              </w:rPr>
              <w:t xml:space="preserve"> </w:t>
            </w:r>
            <w:proofErr w:type="spellStart"/>
            <w:r w:rsidRPr="006F3533">
              <w:rPr>
                <w:i/>
                <w:iCs/>
                <w:sz w:val="22"/>
                <w:szCs w:val="20"/>
                <w:lang w:val="bg-BG"/>
              </w:rPr>
              <w:t>loans</w:t>
            </w:r>
            <w:proofErr w:type="spellEnd"/>
          </w:p>
        </w:tc>
        <w:tc>
          <w:tcPr>
            <w:tcW w:w="851" w:type="dxa"/>
          </w:tcPr>
          <w:p w14:paraId="1BDDFA8E" w14:textId="77777777" w:rsidR="00F100EE" w:rsidRPr="006F3533" w:rsidRDefault="00F100EE" w:rsidP="00F100EE">
            <w:pPr>
              <w:spacing w:after="160" w:line="259" w:lineRule="auto"/>
              <w:rPr>
                <w:sz w:val="22"/>
                <w:szCs w:val="20"/>
                <w:lang w:val="bg-BG"/>
              </w:rPr>
            </w:pPr>
            <w:r w:rsidRPr="006F3533">
              <w:rPr>
                <w:i/>
                <w:iCs/>
                <w:sz w:val="22"/>
                <w:szCs w:val="20"/>
                <w:lang w:val="bg-BG"/>
              </w:rPr>
              <w:t>M</w:t>
            </w:r>
          </w:p>
        </w:tc>
        <w:tc>
          <w:tcPr>
            <w:tcW w:w="1332" w:type="dxa"/>
          </w:tcPr>
          <w:p w14:paraId="2DE1EA96" w14:textId="77777777" w:rsidR="00F100EE" w:rsidRPr="006F3533" w:rsidRDefault="00F100EE" w:rsidP="00F100EE">
            <w:pPr>
              <w:spacing w:after="160" w:line="259" w:lineRule="auto"/>
              <w:rPr>
                <w:sz w:val="22"/>
                <w:szCs w:val="20"/>
                <w:lang w:val="bg-BG"/>
              </w:rPr>
            </w:pPr>
          </w:p>
        </w:tc>
        <w:tc>
          <w:tcPr>
            <w:tcW w:w="1332" w:type="dxa"/>
          </w:tcPr>
          <w:p w14:paraId="4EF13D88" w14:textId="77777777" w:rsidR="00F100EE" w:rsidRPr="006F3533" w:rsidRDefault="00F100EE" w:rsidP="00F100EE">
            <w:pPr>
              <w:spacing w:after="160" w:line="259" w:lineRule="auto"/>
              <w:rPr>
                <w:sz w:val="22"/>
                <w:szCs w:val="20"/>
                <w:lang w:val="bg-BG"/>
              </w:rPr>
            </w:pPr>
          </w:p>
        </w:tc>
        <w:tc>
          <w:tcPr>
            <w:tcW w:w="1332" w:type="dxa"/>
          </w:tcPr>
          <w:p w14:paraId="17D2575C" w14:textId="77777777" w:rsidR="00F100EE" w:rsidRPr="006F3533" w:rsidRDefault="00F100EE" w:rsidP="00F100EE">
            <w:pPr>
              <w:spacing w:after="160" w:line="259" w:lineRule="auto"/>
              <w:rPr>
                <w:sz w:val="22"/>
                <w:szCs w:val="20"/>
                <w:lang w:val="bg-BG"/>
              </w:rPr>
            </w:pPr>
          </w:p>
        </w:tc>
        <w:tc>
          <w:tcPr>
            <w:tcW w:w="1332" w:type="dxa"/>
          </w:tcPr>
          <w:p w14:paraId="7B6E2CCD" w14:textId="77777777" w:rsidR="00F100EE" w:rsidRPr="006F3533" w:rsidRDefault="00F100EE" w:rsidP="00F100EE">
            <w:pPr>
              <w:spacing w:after="160" w:line="259" w:lineRule="auto"/>
              <w:rPr>
                <w:sz w:val="22"/>
                <w:szCs w:val="20"/>
                <w:lang w:val="bg-BG"/>
              </w:rPr>
            </w:pPr>
          </w:p>
        </w:tc>
        <w:tc>
          <w:tcPr>
            <w:tcW w:w="1332" w:type="dxa"/>
          </w:tcPr>
          <w:p w14:paraId="4CB9A025" w14:textId="77777777" w:rsidR="00F100EE" w:rsidRPr="006F3533" w:rsidRDefault="00F100EE" w:rsidP="00F100EE">
            <w:pPr>
              <w:spacing w:after="160" w:line="259" w:lineRule="auto"/>
              <w:rPr>
                <w:sz w:val="22"/>
                <w:szCs w:val="20"/>
                <w:lang w:val="bg-BG"/>
              </w:rPr>
            </w:pPr>
          </w:p>
        </w:tc>
        <w:tc>
          <w:tcPr>
            <w:tcW w:w="1333" w:type="dxa"/>
          </w:tcPr>
          <w:p w14:paraId="08418609" w14:textId="77777777" w:rsidR="00F100EE" w:rsidRPr="006F3533" w:rsidRDefault="00F100EE" w:rsidP="00F100EE">
            <w:pPr>
              <w:spacing w:after="160" w:line="259" w:lineRule="auto"/>
              <w:rPr>
                <w:sz w:val="22"/>
                <w:szCs w:val="20"/>
                <w:lang w:val="bg-BG"/>
              </w:rPr>
            </w:pPr>
          </w:p>
        </w:tc>
      </w:tr>
      <w:tr w:rsidR="000D5176" w:rsidRPr="006F3533" w14:paraId="723A9BED" w14:textId="77777777" w:rsidTr="000D5176">
        <w:tc>
          <w:tcPr>
            <w:tcW w:w="1271" w:type="dxa"/>
            <w:vMerge/>
            <w:shd w:val="clear" w:color="auto" w:fill="E7E6E6" w:themeFill="background2"/>
          </w:tcPr>
          <w:p w14:paraId="58247D50" w14:textId="77777777" w:rsidR="00F100EE" w:rsidRPr="006F3533" w:rsidRDefault="00F100EE" w:rsidP="00F100EE">
            <w:pPr>
              <w:spacing w:after="160" w:line="259" w:lineRule="auto"/>
              <w:rPr>
                <w:sz w:val="22"/>
                <w:szCs w:val="20"/>
                <w:lang w:val="bg-BG"/>
              </w:rPr>
            </w:pPr>
          </w:p>
        </w:tc>
        <w:tc>
          <w:tcPr>
            <w:tcW w:w="2835" w:type="dxa"/>
          </w:tcPr>
          <w:p w14:paraId="0AE8380A" w14:textId="77777777" w:rsidR="00F100EE" w:rsidRPr="006F3533" w:rsidRDefault="00F100EE" w:rsidP="00F100EE">
            <w:pPr>
              <w:spacing w:after="160" w:line="259" w:lineRule="auto"/>
              <w:rPr>
                <w:i/>
                <w:iCs/>
                <w:sz w:val="22"/>
                <w:szCs w:val="20"/>
                <w:lang w:val="bg-BG"/>
              </w:rPr>
            </w:pPr>
            <w:r w:rsidRPr="006F3533">
              <w:rPr>
                <w:i/>
                <w:iCs/>
                <w:sz w:val="22"/>
                <w:szCs w:val="20"/>
                <w:lang w:val="bg-BG"/>
              </w:rPr>
              <w:t xml:space="preserve">PPP/Energy </w:t>
            </w:r>
            <w:proofErr w:type="spellStart"/>
            <w:r w:rsidRPr="006F3533">
              <w:rPr>
                <w:i/>
                <w:iCs/>
                <w:sz w:val="22"/>
                <w:szCs w:val="20"/>
                <w:lang w:val="bg-BG"/>
              </w:rPr>
              <w:t>Performance</w:t>
            </w:r>
            <w:proofErr w:type="spellEnd"/>
            <w:r w:rsidRPr="006F3533">
              <w:rPr>
                <w:i/>
                <w:iCs/>
                <w:sz w:val="22"/>
                <w:szCs w:val="20"/>
                <w:lang w:val="bg-BG"/>
              </w:rPr>
              <w:t xml:space="preserve"> </w:t>
            </w:r>
            <w:proofErr w:type="spellStart"/>
            <w:r w:rsidRPr="006F3533">
              <w:rPr>
                <w:i/>
                <w:iCs/>
                <w:sz w:val="22"/>
                <w:szCs w:val="20"/>
                <w:lang w:val="bg-BG"/>
              </w:rPr>
              <w:t>contracting</w:t>
            </w:r>
            <w:proofErr w:type="spellEnd"/>
          </w:p>
        </w:tc>
        <w:tc>
          <w:tcPr>
            <w:tcW w:w="851" w:type="dxa"/>
          </w:tcPr>
          <w:p w14:paraId="09BA802C" w14:textId="77777777" w:rsidR="00F100EE" w:rsidRPr="006F3533" w:rsidRDefault="00F100EE" w:rsidP="00F100EE">
            <w:pPr>
              <w:spacing w:after="160" w:line="259" w:lineRule="auto"/>
              <w:rPr>
                <w:sz w:val="22"/>
                <w:szCs w:val="20"/>
                <w:lang w:val="bg-BG"/>
              </w:rPr>
            </w:pPr>
            <w:r w:rsidRPr="006F3533">
              <w:rPr>
                <w:i/>
                <w:iCs/>
                <w:sz w:val="22"/>
                <w:szCs w:val="20"/>
                <w:lang w:val="bg-BG"/>
              </w:rPr>
              <w:t>M</w:t>
            </w:r>
          </w:p>
        </w:tc>
        <w:tc>
          <w:tcPr>
            <w:tcW w:w="1332" w:type="dxa"/>
          </w:tcPr>
          <w:p w14:paraId="52D3D5B9" w14:textId="77777777" w:rsidR="00F100EE" w:rsidRPr="006F3533" w:rsidRDefault="00F100EE" w:rsidP="00F100EE">
            <w:pPr>
              <w:spacing w:after="160" w:line="259" w:lineRule="auto"/>
              <w:rPr>
                <w:sz w:val="22"/>
                <w:szCs w:val="20"/>
                <w:lang w:val="bg-BG"/>
              </w:rPr>
            </w:pPr>
          </w:p>
        </w:tc>
        <w:tc>
          <w:tcPr>
            <w:tcW w:w="1332" w:type="dxa"/>
          </w:tcPr>
          <w:p w14:paraId="23BB0DD3" w14:textId="77777777" w:rsidR="00F100EE" w:rsidRPr="006F3533" w:rsidRDefault="00F100EE" w:rsidP="00F100EE">
            <w:pPr>
              <w:spacing w:after="160" w:line="259" w:lineRule="auto"/>
              <w:rPr>
                <w:sz w:val="22"/>
                <w:szCs w:val="20"/>
                <w:lang w:val="bg-BG"/>
              </w:rPr>
            </w:pPr>
          </w:p>
        </w:tc>
        <w:tc>
          <w:tcPr>
            <w:tcW w:w="1332" w:type="dxa"/>
          </w:tcPr>
          <w:p w14:paraId="5A0E158B" w14:textId="77777777" w:rsidR="00F100EE" w:rsidRPr="006F3533" w:rsidRDefault="00F100EE" w:rsidP="00F100EE">
            <w:pPr>
              <w:spacing w:after="160" w:line="259" w:lineRule="auto"/>
              <w:rPr>
                <w:sz w:val="22"/>
                <w:szCs w:val="20"/>
                <w:lang w:val="bg-BG"/>
              </w:rPr>
            </w:pPr>
          </w:p>
        </w:tc>
        <w:tc>
          <w:tcPr>
            <w:tcW w:w="1332" w:type="dxa"/>
          </w:tcPr>
          <w:p w14:paraId="695D50AE" w14:textId="77777777" w:rsidR="00F100EE" w:rsidRPr="006F3533" w:rsidRDefault="00F100EE" w:rsidP="00F100EE">
            <w:pPr>
              <w:spacing w:after="160" w:line="259" w:lineRule="auto"/>
              <w:rPr>
                <w:sz w:val="22"/>
                <w:szCs w:val="20"/>
                <w:lang w:val="bg-BG"/>
              </w:rPr>
            </w:pPr>
          </w:p>
        </w:tc>
        <w:tc>
          <w:tcPr>
            <w:tcW w:w="1332" w:type="dxa"/>
          </w:tcPr>
          <w:p w14:paraId="3BED2596" w14:textId="77777777" w:rsidR="00F100EE" w:rsidRPr="006F3533" w:rsidRDefault="00F100EE" w:rsidP="00F100EE">
            <w:pPr>
              <w:spacing w:after="160" w:line="259" w:lineRule="auto"/>
              <w:rPr>
                <w:sz w:val="22"/>
                <w:szCs w:val="20"/>
                <w:lang w:val="bg-BG"/>
              </w:rPr>
            </w:pPr>
          </w:p>
        </w:tc>
        <w:tc>
          <w:tcPr>
            <w:tcW w:w="1333" w:type="dxa"/>
          </w:tcPr>
          <w:p w14:paraId="13C7C76F" w14:textId="77777777" w:rsidR="00F100EE" w:rsidRPr="006F3533" w:rsidRDefault="00F100EE" w:rsidP="00F100EE">
            <w:pPr>
              <w:spacing w:after="160" w:line="259" w:lineRule="auto"/>
              <w:rPr>
                <w:sz w:val="22"/>
                <w:szCs w:val="20"/>
                <w:lang w:val="bg-BG"/>
              </w:rPr>
            </w:pPr>
          </w:p>
        </w:tc>
      </w:tr>
      <w:tr w:rsidR="000D5176" w:rsidRPr="006F3533" w14:paraId="139ED10F" w14:textId="77777777" w:rsidTr="000D5176">
        <w:tc>
          <w:tcPr>
            <w:tcW w:w="1271" w:type="dxa"/>
            <w:vMerge/>
            <w:shd w:val="clear" w:color="auto" w:fill="E7E6E6" w:themeFill="background2"/>
          </w:tcPr>
          <w:p w14:paraId="4D7CD28D" w14:textId="77777777" w:rsidR="00F100EE" w:rsidRPr="006F3533" w:rsidRDefault="00F100EE" w:rsidP="00F100EE">
            <w:pPr>
              <w:spacing w:after="160" w:line="259" w:lineRule="auto"/>
              <w:rPr>
                <w:sz w:val="22"/>
                <w:szCs w:val="20"/>
                <w:lang w:val="bg-BG"/>
              </w:rPr>
            </w:pPr>
          </w:p>
        </w:tc>
        <w:tc>
          <w:tcPr>
            <w:tcW w:w="2835" w:type="dxa"/>
          </w:tcPr>
          <w:p w14:paraId="48A64403" w14:textId="77777777" w:rsidR="00F100EE" w:rsidRPr="006F3533" w:rsidRDefault="00F100EE" w:rsidP="00F100EE">
            <w:pPr>
              <w:spacing w:after="160" w:line="259" w:lineRule="auto"/>
              <w:rPr>
                <w:i/>
                <w:iCs/>
                <w:sz w:val="22"/>
                <w:szCs w:val="20"/>
                <w:lang w:val="bg-BG"/>
              </w:rPr>
            </w:pPr>
            <w:proofErr w:type="spellStart"/>
            <w:r w:rsidRPr="006F3533">
              <w:rPr>
                <w:i/>
                <w:iCs/>
                <w:sz w:val="22"/>
                <w:szCs w:val="20"/>
                <w:lang w:val="bg-BG"/>
              </w:rPr>
              <w:t>Other</w:t>
            </w:r>
            <w:proofErr w:type="spellEnd"/>
            <w:r w:rsidRPr="006F3533">
              <w:rPr>
                <w:i/>
                <w:iCs/>
                <w:sz w:val="22"/>
                <w:szCs w:val="20"/>
                <w:lang w:val="bg-BG"/>
              </w:rPr>
              <w:t xml:space="preserve"> (</w:t>
            </w:r>
            <w:proofErr w:type="spellStart"/>
            <w:r w:rsidRPr="006F3533">
              <w:rPr>
                <w:i/>
                <w:iCs/>
                <w:sz w:val="22"/>
                <w:szCs w:val="20"/>
                <w:lang w:val="bg-BG"/>
              </w:rPr>
              <w:t>describe</w:t>
            </w:r>
            <w:proofErr w:type="spellEnd"/>
            <w:r w:rsidRPr="006F3533">
              <w:rPr>
                <w:i/>
                <w:iCs/>
                <w:sz w:val="22"/>
                <w:szCs w:val="20"/>
                <w:lang w:val="bg-BG"/>
              </w:rPr>
              <w:t>)</w:t>
            </w:r>
          </w:p>
        </w:tc>
        <w:tc>
          <w:tcPr>
            <w:tcW w:w="851" w:type="dxa"/>
          </w:tcPr>
          <w:p w14:paraId="2D8C0A4C" w14:textId="77777777" w:rsidR="00F100EE" w:rsidRPr="006F3533" w:rsidRDefault="00F100EE" w:rsidP="00F100EE">
            <w:pPr>
              <w:spacing w:after="160" w:line="259" w:lineRule="auto"/>
              <w:rPr>
                <w:sz w:val="22"/>
                <w:szCs w:val="20"/>
                <w:lang w:val="bg-BG"/>
              </w:rPr>
            </w:pPr>
            <w:proofErr w:type="spellStart"/>
            <w:r w:rsidRPr="006F3533">
              <w:rPr>
                <w:i/>
                <w:iCs/>
                <w:sz w:val="22"/>
                <w:szCs w:val="20"/>
                <w:lang w:val="bg-BG"/>
              </w:rPr>
              <w:t>Miav</w:t>
            </w:r>
            <w:proofErr w:type="spellEnd"/>
          </w:p>
        </w:tc>
        <w:tc>
          <w:tcPr>
            <w:tcW w:w="1332" w:type="dxa"/>
          </w:tcPr>
          <w:p w14:paraId="7073CBF7" w14:textId="77777777" w:rsidR="00F100EE" w:rsidRPr="006F3533" w:rsidRDefault="00F100EE" w:rsidP="00F100EE">
            <w:pPr>
              <w:spacing w:after="160" w:line="259" w:lineRule="auto"/>
              <w:rPr>
                <w:sz w:val="22"/>
                <w:szCs w:val="20"/>
                <w:lang w:val="bg-BG"/>
              </w:rPr>
            </w:pPr>
          </w:p>
        </w:tc>
        <w:tc>
          <w:tcPr>
            <w:tcW w:w="1332" w:type="dxa"/>
          </w:tcPr>
          <w:p w14:paraId="2564B213" w14:textId="77777777" w:rsidR="00F100EE" w:rsidRPr="006F3533" w:rsidRDefault="00F100EE" w:rsidP="00F100EE">
            <w:pPr>
              <w:spacing w:after="160" w:line="259" w:lineRule="auto"/>
              <w:rPr>
                <w:sz w:val="22"/>
                <w:szCs w:val="20"/>
                <w:lang w:val="bg-BG"/>
              </w:rPr>
            </w:pPr>
          </w:p>
        </w:tc>
        <w:tc>
          <w:tcPr>
            <w:tcW w:w="1332" w:type="dxa"/>
          </w:tcPr>
          <w:p w14:paraId="231059BF" w14:textId="77777777" w:rsidR="00F100EE" w:rsidRPr="006F3533" w:rsidRDefault="00F100EE" w:rsidP="00F100EE">
            <w:pPr>
              <w:spacing w:after="160" w:line="259" w:lineRule="auto"/>
              <w:rPr>
                <w:sz w:val="22"/>
                <w:szCs w:val="20"/>
                <w:lang w:val="bg-BG"/>
              </w:rPr>
            </w:pPr>
          </w:p>
        </w:tc>
        <w:tc>
          <w:tcPr>
            <w:tcW w:w="1332" w:type="dxa"/>
          </w:tcPr>
          <w:p w14:paraId="454FBBDE" w14:textId="77777777" w:rsidR="00F100EE" w:rsidRPr="006F3533" w:rsidRDefault="00F100EE" w:rsidP="00F100EE">
            <w:pPr>
              <w:spacing w:after="160" w:line="259" w:lineRule="auto"/>
              <w:rPr>
                <w:sz w:val="22"/>
                <w:szCs w:val="20"/>
                <w:lang w:val="bg-BG"/>
              </w:rPr>
            </w:pPr>
          </w:p>
        </w:tc>
        <w:tc>
          <w:tcPr>
            <w:tcW w:w="1332" w:type="dxa"/>
          </w:tcPr>
          <w:p w14:paraId="1EE7186E" w14:textId="77777777" w:rsidR="00F100EE" w:rsidRPr="006F3533" w:rsidRDefault="00F100EE" w:rsidP="00F100EE">
            <w:pPr>
              <w:spacing w:after="160" w:line="259" w:lineRule="auto"/>
              <w:rPr>
                <w:sz w:val="22"/>
                <w:szCs w:val="20"/>
                <w:lang w:val="bg-BG"/>
              </w:rPr>
            </w:pPr>
          </w:p>
        </w:tc>
        <w:tc>
          <w:tcPr>
            <w:tcW w:w="1333" w:type="dxa"/>
          </w:tcPr>
          <w:p w14:paraId="22A0F334" w14:textId="77777777" w:rsidR="00F100EE" w:rsidRPr="006F3533" w:rsidRDefault="00F100EE" w:rsidP="00F100EE">
            <w:pPr>
              <w:spacing w:after="160" w:line="259" w:lineRule="auto"/>
              <w:rPr>
                <w:sz w:val="22"/>
                <w:szCs w:val="20"/>
                <w:lang w:val="bg-BG"/>
              </w:rPr>
            </w:pPr>
          </w:p>
        </w:tc>
      </w:tr>
      <w:tr w:rsidR="000D5176" w:rsidRPr="006F3533" w14:paraId="63379538" w14:textId="77777777" w:rsidTr="000D5176">
        <w:tc>
          <w:tcPr>
            <w:tcW w:w="1271" w:type="dxa"/>
            <w:vMerge/>
            <w:shd w:val="clear" w:color="auto" w:fill="E7E6E6" w:themeFill="background2"/>
          </w:tcPr>
          <w:p w14:paraId="4EC6E4A5" w14:textId="77777777" w:rsidR="00F100EE" w:rsidRPr="006F3533" w:rsidRDefault="00F100EE" w:rsidP="00F100EE">
            <w:pPr>
              <w:spacing w:after="160" w:line="259" w:lineRule="auto"/>
              <w:rPr>
                <w:sz w:val="22"/>
                <w:szCs w:val="20"/>
                <w:lang w:val="bg-BG"/>
              </w:rPr>
            </w:pPr>
          </w:p>
        </w:tc>
        <w:tc>
          <w:tcPr>
            <w:tcW w:w="2835" w:type="dxa"/>
          </w:tcPr>
          <w:p w14:paraId="3F3E709F" w14:textId="77777777" w:rsidR="00F100EE" w:rsidRPr="006F3533" w:rsidRDefault="00F100EE" w:rsidP="00F100EE">
            <w:pPr>
              <w:spacing w:after="160" w:line="259" w:lineRule="auto"/>
              <w:rPr>
                <w:i/>
                <w:iCs/>
                <w:sz w:val="22"/>
                <w:szCs w:val="20"/>
                <w:lang w:val="bg-BG"/>
              </w:rPr>
            </w:pPr>
            <w:r w:rsidRPr="006F3533">
              <w:rPr>
                <w:sz w:val="22"/>
                <w:szCs w:val="20"/>
                <w:lang w:val="bg-BG"/>
              </w:rPr>
              <w:t xml:space="preserve">Total </w:t>
            </w:r>
            <w:proofErr w:type="spellStart"/>
            <w:r w:rsidRPr="006F3533">
              <w:rPr>
                <w:sz w:val="22"/>
                <w:szCs w:val="20"/>
                <w:lang w:val="bg-BG"/>
              </w:rPr>
              <w:t>source</w:t>
            </w:r>
            <w:proofErr w:type="spellEnd"/>
            <w:r w:rsidRPr="006F3533">
              <w:rPr>
                <w:sz w:val="22"/>
                <w:szCs w:val="20"/>
                <w:lang w:val="bg-BG"/>
              </w:rPr>
              <w:t xml:space="preserve"> </w:t>
            </w:r>
            <w:proofErr w:type="spellStart"/>
            <w:r w:rsidRPr="006F3533">
              <w:rPr>
                <w:sz w:val="22"/>
                <w:szCs w:val="20"/>
                <w:lang w:val="bg-BG"/>
              </w:rPr>
              <w:t>of</w:t>
            </w:r>
            <w:proofErr w:type="spellEnd"/>
            <w:r w:rsidRPr="006F3533">
              <w:rPr>
                <w:sz w:val="22"/>
                <w:szCs w:val="20"/>
                <w:lang w:val="bg-BG"/>
              </w:rPr>
              <w:t xml:space="preserve"> </w:t>
            </w:r>
            <w:proofErr w:type="spellStart"/>
            <w:r w:rsidRPr="006F3533">
              <w:rPr>
                <w:sz w:val="22"/>
                <w:szCs w:val="20"/>
                <w:lang w:val="bg-BG"/>
              </w:rPr>
              <w:t>financing</w:t>
            </w:r>
            <w:proofErr w:type="spellEnd"/>
          </w:p>
        </w:tc>
        <w:tc>
          <w:tcPr>
            <w:tcW w:w="851" w:type="dxa"/>
          </w:tcPr>
          <w:p w14:paraId="59736611" w14:textId="77777777" w:rsidR="00F100EE" w:rsidRPr="006F3533" w:rsidRDefault="00F100EE" w:rsidP="00F100EE">
            <w:pPr>
              <w:spacing w:after="160" w:line="259" w:lineRule="auto"/>
              <w:rPr>
                <w:i/>
                <w:iCs/>
                <w:sz w:val="22"/>
                <w:szCs w:val="20"/>
                <w:lang w:val="bg-BG"/>
              </w:rPr>
            </w:pPr>
          </w:p>
        </w:tc>
        <w:tc>
          <w:tcPr>
            <w:tcW w:w="1332" w:type="dxa"/>
          </w:tcPr>
          <w:p w14:paraId="3B1F8001" w14:textId="77777777" w:rsidR="00F100EE" w:rsidRPr="006F3533" w:rsidRDefault="00F100EE" w:rsidP="00F100EE">
            <w:pPr>
              <w:spacing w:after="160" w:line="259" w:lineRule="auto"/>
              <w:rPr>
                <w:sz w:val="22"/>
                <w:szCs w:val="20"/>
                <w:lang w:val="bg-BG"/>
              </w:rPr>
            </w:pPr>
          </w:p>
        </w:tc>
        <w:tc>
          <w:tcPr>
            <w:tcW w:w="1332" w:type="dxa"/>
          </w:tcPr>
          <w:p w14:paraId="427E7A6F" w14:textId="77777777" w:rsidR="00F100EE" w:rsidRPr="006F3533" w:rsidRDefault="00F100EE" w:rsidP="00F100EE">
            <w:pPr>
              <w:spacing w:after="160" w:line="259" w:lineRule="auto"/>
              <w:rPr>
                <w:sz w:val="22"/>
                <w:szCs w:val="20"/>
                <w:lang w:val="bg-BG"/>
              </w:rPr>
            </w:pPr>
          </w:p>
        </w:tc>
        <w:tc>
          <w:tcPr>
            <w:tcW w:w="1332" w:type="dxa"/>
          </w:tcPr>
          <w:p w14:paraId="092BC686" w14:textId="77777777" w:rsidR="00F100EE" w:rsidRPr="006F3533" w:rsidRDefault="00F100EE" w:rsidP="00F100EE">
            <w:pPr>
              <w:spacing w:after="160" w:line="259" w:lineRule="auto"/>
              <w:rPr>
                <w:sz w:val="22"/>
                <w:szCs w:val="20"/>
                <w:lang w:val="bg-BG"/>
              </w:rPr>
            </w:pPr>
          </w:p>
        </w:tc>
        <w:tc>
          <w:tcPr>
            <w:tcW w:w="1332" w:type="dxa"/>
          </w:tcPr>
          <w:p w14:paraId="6F6BC01E" w14:textId="77777777" w:rsidR="00F100EE" w:rsidRPr="006F3533" w:rsidRDefault="00F100EE" w:rsidP="00F100EE">
            <w:pPr>
              <w:spacing w:after="160" w:line="259" w:lineRule="auto"/>
              <w:rPr>
                <w:sz w:val="22"/>
                <w:szCs w:val="20"/>
                <w:lang w:val="bg-BG"/>
              </w:rPr>
            </w:pPr>
          </w:p>
        </w:tc>
        <w:tc>
          <w:tcPr>
            <w:tcW w:w="1332" w:type="dxa"/>
          </w:tcPr>
          <w:p w14:paraId="13B63D01" w14:textId="77777777" w:rsidR="00F100EE" w:rsidRPr="006F3533" w:rsidRDefault="00F100EE" w:rsidP="00F100EE">
            <w:pPr>
              <w:spacing w:after="160" w:line="259" w:lineRule="auto"/>
              <w:rPr>
                <w:sz w:val="22"/>
                <w:szCs w:val="20"/>
                <w:lang w:val="bg-BG"/>
              </w:rPr>
            </w:pPr>
          </w:p>
        </w:tc>
        <w:tc>
          <w:tcPr>
            <w:tcW w:w="1333" w:type="dxa"/>
          </w:tcPr>
          <w:p w14:paraId="514F1DD0" w14:textId="77777777" w:rsidR="00F100EE" w:rsidRPr="006F3533" w:rsidRDefault="00F100EE" w:rsidP="00F100EE">
            <w:pPr>
              <w:spacing w:after="160" w:line="259" w:lineRule="auto"/>
              <w:rPr>
                <w:sz w:val="22"/>
                <w:szCs w:val="20"/>
                <w:lang w:val="bg-BG"/>
              </w:rPr>
            </w:pPr>
          </w:p>
        </w:tc>
      </w:tr>
    </w:tbl>
    <w:p w14:paraId="66646B52" w14:textId="77777777" w:rsidR="00F100EE" w:rsidRPr="006F3533" w:rsidRDefault="00F100EE" w:rsidP="00F100EE">
      <w:pPr>
        <w:rPr>
          <w:i/>
          <w:iCs/>
          <w:color w:val="00B050"/>
          <w:lang w:val="bg-BG"/>
        </w:rPr>
      </w:pPr>
    </w:p>
    <w:p w14:paraId="7D081B08" w14:textId="77777777" w:rsidR="00F100EE" w:rsidRPr="006F3533" w:rsidRDefault="00F100EE" w:rsidP="00F100EE">
      <w:pPr>
        <w:rPr>
          <w:lang w:val="bg-BG"/>
        </w:rPr>
        <w:sectPr w:rsidR="00F100EE" w:rsidRPr="006F3533" w:rsidSect="00F100EE">
          <w:pgSz w:w="15840" w:h="12240" w:orient="landscape"/>
          <w:pgMar w:top="1440" w:right="1440" w:bottom="1440" w:left="1440" w:header="708" w:footer="708" w:gutter="0"/>
          <w:cols w:space="708"/>
          <w:docGrid w:linePitch="360"/>
        </w:sectPr>
      </w:pPr>
    </w:p>
    <w:p w14:paraId="2F1A6876" w14:textId="666D878B" w:rsidR="00B572B1" w:rsidRPr="006F3533" w:rsidRDefault="00B572B1" w:rsidP="00077D42">
      <w:pPr>
        <w:pStyle w:val="Heading1"/>
        <w:jc w:val="both"/>
        <w:rPr>
          <w:lang w:val="bg-BG"/>
        </w:rPr>
      </w:pPr>
      <w:bookmarkStart w:id="382" w:name="_Toc217888888"/>
      <w:bookmarkStart w:id="383" w:name="_Hlk217887537"/>
      <w:r w:rsidRPr="006F3533">
        <w:rPr>
          <w:lang w:val="bg-BG"/>
        </w:rPr>
        <w:lastRenderedPageBreak/>
        <w:t>Развитие на средата за финансиране на проекти за сградно обновяване в България</w:t>
      </w:r>
      <w:bookmarkEnd w:id="382"/>
    </w:p>
    <w:bookmarkEnd w:id="383"/>
    <w:p w14:paraId="640DB6A8" w14:textId="664B38AD" w:rsidR="00DE5937" w:rsidRPr="006F3533" w:rsidRDefault="00DE5937" w:rsidP="00582C5B">
      <w:pPr>
        <w:jc w:val="both"/>
        <w:rPr>
          <w:lang w:val="bg-BG"/>
        </w:rPr>
      </w:pPr>
      <w:r w:rsidRPr="006F3533">
        <w:rPr>
          <w:lang w:val="bg-BG"/>
        </w:rPr>
        <w:t xml:space="preserve">За да бъдат преодолени идентифицираните дефицити в досегашното прилагане на политики и инструменти за сградно обновяване и да се отговори на значителните инвестиционни потребности в сектора, е необходима целенасочена трансформация на средата за финансиране. Мащабът на необходимите инвестиции за постигане на националните и европейските цели в областта на енергийната ефективност и </w:t>
      </w:r>
      <w:proofErr w:type="spellStart"/>
      <w:r w:rsidRPr="006F3533">
        <w:rPr>
          <w:lang w:val="bg-BG"/>
        </w:rPr>
        <w:t>декарбонизацията</w:t>
      </w:r>
      <w:proofErr w:type="spellEnd"/>
      <w:r w:rsidRPr="006F3533">
        <w:rPr>
          <w:lang w:val="bg-BG"/>
        </w:rPr>
        <w:t xml:space="preserve"> на сградите ясно показва, че те не могат да бъдат осигурени единствено чрез публични и безвъзмездни средства. В този контекст е необходимо преминаване от доминиращия до момента </w:t>
      </w:r>
      <w:proofErr w:type="spellStart"/>
      <w:r w:rsidRPr="006F3533">
        <w:rPr>
          <w:lang w:val="bg-BG"/>
        </w:rPr>
        <w:t>грантов</w:t>
      </w:r>
      <w:proofErr w:type="spellEnd"/>
      <w:r w:rsidRPr="006F3533">
        <w:rPr>
          <w:lang w:val="bg-BG"/>
        </w:rPr>
        <w:t xml:space="preserve"> подход към по</w:t>
      </w:r>
      <w:r w:rsidR="00F56B94" w:rsidRPr="006F3533">
        <w:rPr>
          <w:lang w:val="bg-BG"/>
        </w:rPr>
        <w:t xml:space="preserve"> </w:t>
      </w:r>
      <w:r w:rsidRPr="006F3533">
        <w:rPr>
          <w:lang w:val="bg-BG"/>
        </w:rPr>
        <w:t xml:space="preserve">-устойчива система от комбинирани финансови инструменти, които да съчетават публичен ресурс, </w:t>
      </w:r>
      <w:proofErr w:type="spellStart"/>
      <w:r w:rsidRPr="006F3533">
        <w:rPr>
          <w:lang w:val="bg-BG"/>
        </w:rPr>
        <w:t>възвръщаемо</w:t>
      </w:r>
      <w:proofErr w:type="spellEnd"/>
      <w:r w:rsidRPr="006F3533">
        <w:rPr>
          <w:lang w:val="bg-BG"/>
        </w:rPr>
        <w:t xml:space="preserve"> финансиране и целева социална подкрепа. Подобна промяна е ключово условие за мобилизиране на частен капитал, за повишаване на ефективността на публичните средства и за постигане на дългосрочен и </w:t>
      </w:r>
      <w:proofErr w:type="spellStart"/>
      <w:r w:rsidRPr="006F3533">
        <w:rPr>
          <w:lang w:val="bg-BG"/>
        </w:rPr>
        <w:t>мащабируем</w:t>
      </w:r>
      <w:proofErr w:type="spellEnd"/>
      <w:r w:rsidRPr="006F3533">
        <w:rPr>
          <w:lang w:val="bg-BG"/>
        </w:rPr>
        <w:t xml:space="preserve"> ефект от инвестициите в сградния фонд, като за тази цел се очаква пълноценна реализация на описаните по-долу инструменти. </w:t>
      </w:r>
    </w:p>
    <w:p w14:paraId="70C4C995" w14:textId="3971CC3B" w:rsidR="003F78BF" w:rsidRPr="006F3533" w:rsidRDefault="003F78BF" w:rsidP="003F78BF">
      <w:pPr>
        <w:jc w:val="both"/>
        <w:rPr>
          <w:lang w:val="bg-BG"/>
        </w:rPr>
      </w:pPr>
      <w:r w:rsidRPr="006F3533">
        <w:rPr>
          <w:lang w:val="bg-BG"/>
        </w:rPr>
        <w:t xml:space="preserve">В допълнение, наличните количествени оценки за инвестиционните потребности потвърждават необходимостта от подобна трансформация. Според актуализираните анализи за нежилищния сграден фонд, общите инвестиционни нужди за обновяване на съществуващите нежилищни сгради до 2050 г. възлизат на приблизително </w:t>
      </w:r>
      <w:r w:rsidRPr="006F3533">
        <w:rPr>
          <w:b/>
          <w:bCs/>
          <w:lang w:val="bg-BG"/>
        </w:rPr>
        <w:t>48 млрд. евро</w:t>
      </w:r>
      <w:r w:rsidRPr="006F3533">
        <w:rPr>
          <w:lang w:val="bg-BG"/>
        </w:rPr>
        <w:t xml:space="preserve">, като след 2035–2040 г. се очаква нарастване на годишния инвестиционен обем поради по-строгите изисквания за дълбочина на обновяването и постепенното въвеждане на изисквания за </w:t>
      </w:r>
      <w:proofErr w:type="spellStart"/>
      <w:r w:rsidRPr="006F3533">
        <w:rPr>
          <w:lang w:val="bg-BG"/>
        </w:rPr>
        <w:t>нулевоемисионни</w:t>
      </w:r>
      <w:proofErr w:type="spellEnd"/>
      <w:r w:rsidRPr="006F3533">
        <w:rPr>
          <w:lang w:val="bg-BG"/>
        </w:rPr>
        <w:t xml:space="preserve"> сгради.</w:t>
      </w:r>
      <w:r w:rsidR="00E026DA" w:rsidRPr="006F3533">
        <w:rPr>
          <w:lang w:val="bg-BG"/>
        </w:rPr>
        <w:t xml:space="preserve"> В жилищния сектор, само до 2035 г. инвестиционните потребности са оценени на </w:t>
      </w:r>
      <w:r w:rsidR="00E026DA" w:rsidRPr="006F3533">
        <w:rPr>
          <w:b/>
          <w:bCs/>
          <w:lang w:val="bg-BG"/>
        </w:rPr>
        <w:t>22 млрд. евро</w:t>
      </w:r>
      <w:r w:rsidR="00E026DA" w:rsidRPr="006F3533">
        <w:rPr>
          <w:lang w:val="bg-BG"/>
        </w:rPr>
        <w:t>.</w:t>
      </w:r>
      <w:r w:rsidRPr="006F3533">
        <w:rPr>
          <w:b/>
          <w:bCs/>
          <w:lang w:val="bg-BG"/>
        </w:rPr>
        <w:t xml:space="preserve"> Този мащаб на инвестициите многократно надхвърля реалистичния капацитет на държавния бюджет, европейските програми и традиционните </w:t>
      </w:r>
      <w:proofErr w:type="spellStart"/>
      <w:r w:rsidRPr="006F3533">
        <w:rPr>
          <w:b/>
          <w:bCs/>
          <w:lang w:val="bg-BG"/>
        </w:rPr>
        <w:t>грантови</w:t>
      </w:r>
      <w:proofErr w:type="spellEnd"/>
      <w:r w:rsidRPr="006F3533">
        <w:rPr>
          <w:b/>
          <w:bCs/>
          <w:lang w:val="bg-BG"/>
        </w:rPr>
        <w:t xml:space="preserve"> схеми.</w:t>
      </w:r>
      <w:r w:rsidRPr="006F3533">
        <w:rPr>
          <w:lang w:val="bg-BG"/>
        </w:rPr>
        <w:t xml:space="preserve"> </w:t>
      </w:r>
    </w:p>
    <w:p w14:paraId="426327D7" w14:textId="32CC39EF" w:rsidR="003F78BF" w:rsidRPr="006F3533" w:rsidRDefault="003F78BF" w:rsidP="00582C5B">
      <w:pPr>
        <w:jc w:val="both"/>
        <w:rPr>
          <w:b/>
          <w:bCs/>
          <w:lang w:val="bg-BG"/>
        </w:rPr>
      </w:pPr>
      <w:r w:rsidRPr="006F3533">
        <w:rPr>
          <w:lang w:val="bg-BG"/>
        </w:rPr>
        <w:t xml:space="preserve">Еволюцията на целите в резултат на преразгледаната Директива за енергийните характеристики на сградите, включително въвеждането на минимални стандарти за енергийни характеристики (МСЕХ) за най-лошо представящите се нежилищни сгради и ускорената траектория към </w:t>
      </w:r>
      <w:proofErr w:type="spellStart"/>
      <w:r w:rsidRPr="006F3533">
        <w:rPr>
          <w:lang w:val="bg-BG"/>
        </w:rPr>
        <w:t>нулевоемисионен</w:t>
      </w:r>
      <w:proofErr w:type="spellEnd"/>
      <w:r w:rsidRPr="006F3533">
        <w:rPr>
          <w:lang w:val="bg-BG"/>
        </w:rPr>
        <w:t xml:space="preserve"> сграден фонд, допълнително увеличава необходимия инвестиционен обем в кратко- и средносрочен план (2030–2033 г.). </w:t>
      </w:r>
      <w:r w:rsidR="00DC2D62" w:rsidRPr="006F3533">
        <w:rPr>
          <w:lang w:val="bg-BG"/>
        </w:rPr>
        <w:t>Така например, оценката на инвестиционните потребности (в най-амбициозния ѝ вариант) в анализа на ЕИБ</w:t>
      </w:r>
      <w:r w:rsidR="00DC2D62" w:rsidRPr="006F3533">
        <w:rPr>
          <w:rStyle w:val="FootnoteReference"/>
          <w:lang w:val="bg-BG"/>
        </w:rPr>
        <w:footnoteReference w:id="69"/>
      </w:r>
      <w:r w:rsidR="00DC2D62" w:rsidRPr="006F3533">
        <w:rPr>
          <w:lang w:val="bg-BG"/>
        </w:rPr>
        <w:t xml:space="preserve"> за създаването на НФД сочи, че за сградите в частния сектор до 2030 г. са необходими 341,5 млн. евро, а в публичния – 117 млн.; в настоящия план, в съответствие с актуалните изисквания на ДЕХС, съответните стойности са 1774 и 809 млн. евро. </w:t>
      </w:r>
      <w:r w:rsidRPr="006F3533">
        <w:rPr>
          <w:b/>
          <w:bCs/>
          <w:lang w:val="bg-BG"/>
        </w:rPr>
        <w:t xml:space="preserve">Това прави </w:t>
      </w:r>
      <w:r w:rsidRPr="006F3533">
        <w:rPr>
          <w:b/>
          <w:bCs/>
          <w:lang w:val="bg-BG"/>
        </w:rPr>
        <w:lastRenderedPageBreak/>
        <w:t>структурната промяна в средата за финансиране не просто желателна, а задължителна предпоставка за изпълнение на нормативните изисквания.</w:t>
      </w:r>
    </w:p>
    <w:p w14:paraId="71CF3405" w14:textId="77777777" w:rsidR="006F3533" w:rsidRPr="006F3533" w:rsidRDefault="006F3533" w:rsidP="006F3533">
      <w:pPr>
        <w:pStyle w:val="Heading2"/>
        <w:rPr>
          <w:lang w:val="bg-BG"/>
        </w:rPr>
      </w:pPr>
      <w:bookmarkStart w:id="384" w:name="_Toc217888889"/>
      <w:r w:rsidRPr="006F3533">
        <w:rPr>
          <w:lang w:val="bg-BG"/>
        </w:rPr>
        <w:t>Произход на средствата и рамка на финансирането за изпълнение на Плана за саниране на жилищни и нежилищни сгради до 2050 г.</w:t>
      </w:r>
      <w:bookmarkEnd w:id="384"/>
    </w:p>
    <w:p w14:paraId="350B897F" w14:textId="77777777" w:rsidR="006F3533" w:rsidRPr="006F3533" w:rsidRDefault="006F3533" w:rsidP="00480D32">
      <w:pPr>
        <w:jc w:val="both"/>
        <w:rPr>
          <w:b/>
          <w:bCs/>
          <w:lang w:val="bg-BG"/>
        </w:rPr>
      </w:pPr>
      <w:r w:rsidRPr="006F3533">
        <w:rPr>
          <w:b/>
          <w:bCs/>
          <w:lang w:val="bg-BG"/>
        </w:rPr>
        <w:t>1. Обвързване на целите на Плана с финансирането – стратегическа уговорка</w:t>
      </w:r>
    </w:p>
    <w:p w14:paraId="16A69359" w14:textId="77777777" w:rsidR="006F3533" w:rsidRPr="006F3533" w:rsidRDefault="006F3533" w:rsidP="00480D32">
      <w:pPr>
        <w:jc w:val="both"/>
        <w:rPr>
          <w:lang w:val="bg-BG"/>
        </w:rPr>
      </w:pPr>
      <w:r w:rsidRPr="006F3533">
        <w:rPr>
          <w:lang w:val="bg-BG"/>
        </w:rPr>
        <w:t xml:space="preserve">Постигането на целите на Плана за саниране на жилищни и нежилищни сгради до 2050 г. е пряко свързано с осигуряването на адекватно и устойчиво финансиране. Това обвързване обаче изисква </w:t>
      </w:r>
      <w:r w:rsidRPr="006F3533">
        <w:rPr>
          <w:b/>
          <w:bCs/>
          <w:lang w:val="bg-BG"/>
        </w:rPr>
        <w:t>последователни политически решения на национално ниво</w:t>
      </w:r>
      <w:r w:rsidRPr="006F3533">
        <w:rPr>
          <w:lang w:val="bg-BG"/>
        </w:rPr>
        <w:t>, доколкото изпълнението на Плана се разгръща в дългосрочен хоризонт, обхващащ няколко програмни периода на Европейския съюз, промени в регулаторната рамка и еволюция на пазарните условия.</w:t>
      </w:r>
    </w:p>
    <w:p w14:paraId="0F6F7861" w14:textId="77777777" w:rsidR="006F3533" w:rsidRPr="006F3533" w:rsidRDefault="006F3533" w:rsidP="00480D32">
      <w:pPr>
        <w:jc w:val="both"/>
        <w:rPr>
          <w:lang w:val="bg-BG"/>
        </w:rPr>
      </w:pPr>
      <w:r w:rsidRPr="006F3533">
        <w:rPr>
          <w:lang w:val="bg-BG"/>
        </w:rPr>
        <w:t xml:space="preserve">Целите за постигане на енергийни спестявания в междинните срокове до </w:t>
      </w:r>
      <w:r w:rsidRPr="006F3533">
        <w:rPr>
          <w:b/>
          <w:bCs/>
          <w:lang w:val="bg-BG"/>
        </w:rPr>
        <w:t>2030 г. и 2035 г.</w:t>
      </w:r>
      <w:r w:rsidRPr="006F3533">
        <w:rPr>
          <w:lang w:val="bg-BG"/>
        </w:rPr>
        <w:t xml:space="preserve"> произтичат от европейската нормативна рамка и имат </w:t>
      </w:r>
      <w:r w:rsidRPr="006F3533">
        <w:rPr>
          <w:b/>
          <w:bCs/>
          <w:lang w:val="bg-BG"/>
        </w:rPr>
        <w:t>задължителен характер</w:t>
      </w:r>
      <w:r w:rsidRPr="006F3533">
        <w:rPr>
          <w:lang w:val="bg-BG"/>
        </w:rPr>
        <w:t xml:space="preserve">. Те предполагат значително ускоряване на темпа на обновяване на сградния фонд и реализация на инвестиции в мащаб, който </w:t>
      </w:r>
      <w:r w:rsidRPr="006F3533">
        <w:rPr>
          <w:b/>
          <w:bCs/>
          <w:lang w:val="bg-BG"/>
        </w:rPr>
        <w:t>в пъти надхвърля наличните към настоящия момент публични финансови ресурси</w:t>
      </w:r>
      <w:r w:rsidRPr="006F3533">
        <w:rPr>
          <w:lang w:val="bg-BG"/>
        </w:rPr>
        <w:t>.</w:t>
      </w:r>
    </w:p>
    <w:p w14:paraId="4269D9CF" w14:textId="77777777" w:rsidR="006F3533" w:rsidRPr="006F3533" w:rsidRDefault="006F3533" w:rsidP="00480D32">
      <w:pPr>
        <w:jc w:val="both"/>
        <w:rPr>
          <w:lang w:val="bg-BG"/>
        </w:rPr>
      </w:pPr>
      <w:r w:rsidRPr="006F3533">
        <w:rPr>
          <w:lang w:val="bg-BG"/>
        </w:rPr>
        <w:t xml:space="preserve">В същото време основните (известни към момента) публични източници на финансиране имат </w:t>
      </w:r>
      <w:r w:rsidRPr="006F3533">
        <w:rPr>
          <w:b/>
          <w:bCs/>
          <w:lang w:val="bg-BG"/>
        </w:rPr>
        <w:t>ограничен времеви обхват</w:t>
      </w:r>
      <w:r w:rsidRPr="006F3533">
        <w:rPr>
          <w:lang w:val="bg-BG"/>
        </w:rPr>
        <w:t>:</w:t>
      </w:r>
    </w:p>
    <w:p w14:paraId="71D5B95B" w14:textId="77777777" w:rsidR="006F3533" w:rsidRPr="006F3533" w:rsidRDefault="006F3533" w:rsidP="00480D32">
      <w:pPr>
        <w:numPr>
          <w:ilvl w:val="0"/>
          <w:numId w:val="127"/>
        </w:numPr>
        <w:jc w:val="both"/>
        <w:rPr>
          <w:lang w:val="bg-BG"/>
        </w:rPr>
      </w:pPr>
      <w:r w:rsidRPr="006F3533">
        <w:rPr>
          <w:lang w:val="bg-BG"/>
        </w:rPr>
        <w:t>Механизмът за възстановяване и устойчивост приключва през 2026 г.;</w:t>
      </w:r>
    </w:p>
    <w:p w14:paraId="2F34CC20" w14:textId="77777777" w:rsidR="006F3533" w:rsidRPr="006F3533" w:rsidRDefault="006F3533" w:rsidP="00480D32">
      <w:pPr>
        <w:numPr>
          <w:ilvl w:val="0"/>
          <w:numId w:val="127"/>
        </w:numPr>
        <w:jc w:val="both"/>
        <w:rPr>
          <w:lang w:val="bg-BG"/>
        </w:rPr>
      </w:pPr>
      <w:r w:rsidRPr="006F3533">
        <w:rPr>
          <w:lang w:val="bg-BG"/>
        </w:rPr>
        <w:t>Планиран и осигурен финансов ресурс от държавния бюджет/държавен дълг е с времеви хоризонт до 2029 г. , но практически вече ангажиран;</w:t>
      </w:r>
    </w:p>
    <w:p w14:paraId="1787A90A" w14:textId="77777777" w:rsidR="006F3533" w:rsidRPr="006F3533" w:rsidRDefault="006F3533" w:rsidP="00480D32">
      <w:pPr>
        <w:numPr>
          <w:ilvl w:val="0"/>
          <w:numId w:val="127"/>
        </w:numPr>
        <w:jc w:val="both"/>
        <w:rPr>
          <w:lang w:val="bg-BG"/>
        </w:rPr>
      </w:pPr>
      <w:r w:rsidRPr="006F3533">
        <w:rPr>
          <w:lang w:val="bg-BG"/>
        </w:rPr>
        <w:t>Параметрите на Кохезионната политика са договорени за периода 2021–2027 г.;</w:t>
      </w:r>
    </w:p>
    <w:p w14:paraId="4A6CAE10" w14:textId="77777777" w:rsidR="006F3533" w:rsidRPr="006F3533" w:rsidRDefault="006F3533" w:rsidP="00480D32">
      <w:pPr>
        <w:numPr>
          <w:ilvl w:val="0"/>
          <w:numId w:val="127"/>
        </w:numPr>
        <w:jc w:val="both"/>
        <w:rPr>
          <w:lang w:val="bg-BG"/>
        </w:rPr>
      </w:pPr>
      <w:r w:rsidRPr="006F3533">
        <w:rPr>
          <w:lang w:val="bg-BG"/>
        </w:rPr>
        <w:t xml:space="preserve">Бъдещите финансови рамки на ЕС подлежат на последващи преговори и решения и към момента не са ясни. </w:t>
      </w:r>
    </w:p>
    <w:p w14:paraId="465E75F4" w14:textId="77777777" w:rsidR="006F3533" w:rsidRDefault="006F3533" w:rsidP="00480D32">
      <w:pPr>
        <w:jc w:val="both"/>
        <w:rPr>
          <w:lang w:val="bg-BG"/>
        </w:rPr>
      </w:pPr>
      <w:r w:rsidRPr="006F3533">
        <w:rPr>
          <w:lang w:val="bg-BG"/>
        </w:rPr>
        <w:t xml:space="preserve">Поради това настоящият първи вариант на План не фиксира финансови модели, а дефинира </w:t>
      </w:r>
      <w:r w:rsidRPr="006F3533">
        <w:rPr>
          <w:b/>
          <w:bCs/>
          <w:lang w:val="bg-BG"/>
        </w:rPr>
        <w:t>рамка за стратегически избор</w:t>
      </w:r>
      <w:r w:rsidRPr="006F3533">
        <w:rPr>
          <w:lang w:val="bg-BG"/>
        </w:rPr>
        <w:t>, в която публичните средства следва да се използват като инструмент за катализиране на инвестиции, а не като единствен източник за финансиране на процеса на саниране.</w:t>
      </w:r>
    </w:p>
    <w:p w14:paraId="155229BB" w14:textId="46BE2DFF" w:rsidR="00F25E9B" w:rsidRPr="00F25E9B" w:rsidRDefault="00F25E9B" w:rsidP="00480D32">
      <w:pPr>
        <w:jc w:val="both"/>
        <w:rPr>
          <w:b/>
          <w:bCs/>
          <w:noProof/>
        </w:rPr>
      </w:pPr>
      <w:r w:rsidRPr="00F25E9B">
        <w:rPr>
          <w:b/>
          <w:bCs/>
          <w:noProof/>
          <w:lang w:val="bg-BG"/>
        </w:rPr>
        <w:t>2.</w:t>
      </w:r>
      <w:r>
        <w:rPr>
          <w:b/>
          <w:bCs/>
          <w:noProof/>
        </w:rPr>
        <w:t xml:space="preserve"> </w:t>
      </w:r>
      <w:r w:rsidRPr="00F25E9B">
        <w:rPr>
          <w:b/>
          <w:bCs/>
          <w:noProof/>
        </w:rPr>
        <w:t>Необходимост от диференциран подход и „ветрило от програми“ за енергийно обновяване</w:t>
      </w:r>
    </w:p>
    <w:p w14:paraId="0C17A202" w14:textId="77777777" w:rsidR="00F25E9B" w:rsidRPr="00F25E9B" w:rsidRDefault="00F25E9B" w:rsidP="00480D32">
      <w:pPr>
        <w:jc w:val="both"/>
        <w:rPr>
          <w:noProof/>
        </w:rPr>
      </w:pPr>
      <w:r w:rsidRPr="00F25E9B">
        <w:rPr>
          <w:noProof/>
        </w:rPr>
        <w:t xml:space="preserve">Опитът от прилагането на досегашните програми за енергийно обновяване показва ограничена ефективност на подхода „една програма за всички“, основан на 100% безвъзмездно финансиране и унифицирани референтни стойности. Прилагането на еднакви изисквания към многофамилни сгради с различен размер, конструкция и </w:t>
      </w:r>
      <w:r w:rsidRPr="00F25E9B">
        <w:rPr>
          <w:noProof/>
        </w:rPr>
        <w:lastRenderedPageBreak/>
        <w:t>техническо състояние не позволява адекватно отчитане на реалните инвестиционни нужди и икономическата целесъобразност на обновяването.</w:t>
      </w:r>
    </w:p>
    <w:p w14:paraId="01AEED9D" w14:textId="77777777" w:rsidR="00F25E9B" w:rsidRPr="00F25E9B" w:rsidRDefault="00F25E9B" w:rsidP="00480D32">
      <w:pPr>
        <w:jc w:val="both"/>
        <w:rPr>
          <w:noProof/>
        </w:rPr>
      </w:pPr>
      <w:r w:rsidRPr="00F25E9B">
        <w:rPr>
          <w:noProof/>
        </w:rPr>
        <w:t>В условията на бъдещ модел на съфинансиране е необходимо създаване на гъвкава рамка, която да позволява комбиниране на публичната подкрепа с лично финансирани дейности, включително необходими съпътстващи ремонти. Това създава предпоставки за по-реалистично планиране на обновяването и по-активно участие на собствениците.</w:t>
      </w:r>
    </w:p>
    <w:p w14:paraId="2EDE4D12" w14:textId="77777777" w:rsidR="00F25E9B" w:rsidRPr="00F25E9B" w:rsidRDefault="00F25E9B" w:rsidP="00480D32">
      <w:pPr>
        <w:jc w:val="both"/>
        <w:rPr>
          <w:noProof/>
        </w:rPr>
      </w:pPr>
      <w:r w:rsidRPr="00F25E9B">
        <w:rPr>
          <w:noProof/>
        </w:rPr>
        <w:t>Паралелно с това следва да се развият програми за подпомагане на единични мерки за енергийна ефективност като част от поетапно дълбоко обновяване, основано на препоръките в енергийния паспорт. Подкрепата за мерки като подмяна на дограма в отделни жилища може да ускори процеса на обновяване и да улесни последващото пакетиране на сградите с общи мерки, без необходимост от повторен достъп до самостоятелните обекти.</w:t>
      </w:r>
    </w:p>
    <w:p w14:paraId="213F6563" w14:textId="77777777" w:rsidR="00F25E9B" w:rsidRPr="00F25E9B" w:rsidRDefault="00F25E9B" w:rsidP="00480D32">
      <w:pPr>
        <w:jc w:val="both"/>
        <w:rPr>
          <w:noProof/>
        </w:rPr>
      </w:pPr>
      <w:r w:rsidRPr="00F25E9B">
        <w:rPr>
          <w:noProof/>
        </w:rPr>
        <w:t>Наличието на висок дял необитавани жилища в редица многофамилни сгради поставя под съмнение икономическата целесъобразност на цялостното обновяване и обосновава необходимостта от достъп до подкрепа за единични мерки за реално обитаваните жилища. Аналогични ограничения се наблюдават и при еднофамилните жилищни сгради, при които цялостното обновяване често е свързано с високи разходи и дълъг срок на възвръщаемост.</w:t>
      </w:r>
    </w:p>
    <w:p w14:paraId="0FEF25CA" w14:textId="18215A23" w:rsidR="00F25E9B" w:rsidRPr="006F3533" w:rsidRDefault="00F25E9B" w:rsidP="00480D32">
      <w:pPr>
        <w:jc w:val="both"/>
        <w:rPr>
          <w:lang w:val="bg-BG"/>
        </w:rPr>
      </w:pPr>
      <w:r w:rsidRPr="00F25E9B">
        <w:rPr>
          <w:noProof/>
        </w:rPr>
        <w:t>С оглед на горното настоящият план препоръчва прилагането на „ветрило от програми“ за енергийно обновяване, диференцирани според типа сгради, дълбочината на обновяване и финансовия капацитет на собствениците, с цел по-добро таргетиране на публичната подкрепа и ускоряване на темповете на обновяване.</w:t>
      </w:r>
    </w:p>
    <w:p w14:paraId="30DFD8D3" w14:textId="7BFEE837" w:rsidR="006F3533" w:rsidRPr="006F3533" w:rsidRDefault="00F25E9B" w:rsidP="00480D32">
      <w:pPr>
        <w:jc w:val="both"/>
        <w:rPr>
          <w:b/>
          <w:bCs/>
          <w:lang w:val="bg-BG"/>
        </w:rPr>
      </w:pPr>
      <w:r>
        <w:rPr>
          <w:b/>
          <w:bCs/>
          <w:lang w:val="bg-BG"/>
        </w:rPr>
        <w:t>3</w:t>
      </w:r>
      <w:r w:rsidR="006F3533" w:rsidRPr="006F3533">
        <w:rPr>
          <w:b/>
          <w:bCs/>
          <w:lang w:val="bg-BG"/>
        </w:rPr>
        <w:t>. Принципен характер на представените източници на финансиране</w:t>
      </w:r>
    </w:p>
    <w:p w14:paraId="168DDF8F" w14:textId="77777777" w:rsidR="006F3533" w:rsidRPr="006F3533" w:rsidRDefault="006F3533" w:rsidP="00480D32">
      <w:pPr>
        <w:jc w:val="both"/>
        <w:rPr>
          <w:lang w:val="bg-BG"/>
        </w:rPr>
      </w:pPr>
      <w:r w:rsidRPr="006F3533">
        <w:rPr>
          <w:lang w:val="bg-BG"/>
        </w:rPr>
        <w:t xml:space="preserve">В този първи вариант на Плана са идентифицирани </w:t>
      </w:r>
      <w:r w:rsidRPr="006F3533">
        <w:rPr>
          <w:b/>
          <w:bCs/>
          <w:lang w:val="bg-BG"/>
        </w:rPr>
        <w:t>принципните източници на финансиране</w:t>
      </w:r>
      <w:r w:rsidRPr="006F3533">
        <w:rPr>
          <w:lang w:val="bg-BG"/>
        </w:rPr>
        <w:t xml:space="preserve">, произтичащи от действащата европейска и национална рамка. Те отразяват наличните към момента възможности, но </w:t>
      </w:r>
      <w:r w:rsidRPr="006F3533">
        <w:rPr>
          <w:b/>
          <w:bCs/>
          <w:lang w:val="bg-BG"/>
        </w:rPr>
        <w:t>не представляват изчерпателна или окончателна финансова архитектура</w:t>
      </w:r>
      <w:r w:rsidRPr="006F3533">
        <w:rPr>
          <w:lang w:val="bg-BG"/>
        </w:rPr>
        <w:t>.</w:t>
      </w:r>
    </w:p>
    <w:p w14:paraId="5BC640AC" w14:textId="77777777" w:rsidR="006F3533" w:rsidRPr="006F3533" w:rsidRDefault="006F3533" w:rsidP="00480D32">
      <w:pPr>
        <w:jc w:val="both"/>
        <w:rPr>
          <w:lang w:val="bg-BG"/>
        </w:rPr>
      </w:pPr>
      <w:r w:rsidRPr="006F3533">
        <w:rPr>
          <w:lang w:val="bg-BG"/>
        </w:rPr>
        <w:t>Представените по-долу източници:</w:t>
      </w:r>
    </w:p>
    <w:p w14:paraId="5FABEA83" w14:textId="77777777" w:rsidR="006F3533" w:rsidRPr="006F3533" w:rsidRDefault="006F3533" w:rsidP="00480D32">
      <w:pPr>
        <w:numPr>
          <w:ilvl w:val="0"/>
          <w:numId w:val="128"/>
        </w:numPr>
        <w:jc w:val="both"/>
        <w:rPr>
          <w:lang w:val="bg-BG"/>
        </w:rPr>
      </w:pPr>
      <w:r w:rsidRPr="006F3533">
        <w:rPr>
          <w:lang w:val="bg-BG"/>
        </w:rPr>
        <w:t>следва да бъдат допълнително детайлно разработени в последващите варианти на Плана;</w:t>
      </w:r>
    </w:p>
    <w:p w14:paraId="6150903C" w14:textId="77777777" w:rsidR="006F3533" w:rsidRPr="006F3533" w:rsidRDefault="006F3533" w:rsidP="00480D32">
      <w:pPr>
        <w:numPr>
          <w:ilvl w:val="0"/>
          <w:numId w:val="128"/>
        </w:numPr>
        <w:jc w:val="both"/>
        <w:rPr>
          <w:lang w:val="bg-BG"/>
        </w:rPr>
      </w:pPr>
      <w:r w:rsidRPr="006F3533">
        <w:rPr>
          <w:lang w:val="bg-BG"/>
        </w:rPr>
        <w:t>подлежат на адаптиране спрямо спецификите на жилищния и нежилищния сграден фонд;</w:t>
      </w:r>
    </w:p>
    <w:p w14:paraId="6ABA362B" w14:textId="77777777" w:rsidR="006F3533" w:rsidRPr="006F3533" w:rsidRDefault="006F3533" w:rsidP="00480D32">
      <w:pPr>
        <w:numPr>
          <w:ilvl w:val="0"/>
          <w:numId w:val="128"/>
        </w:numPr>
        <w:jc w:val="both"/>
        <w:rPr>
          <w:lang w:val="bg-BG"/>
        </w:rPr>
      </w:pPr>
      <w:r w:rsidRPr="006F3533">
        <w:rPr>
          <w:lang w:val="bg-BG"/>
        </w:rPr>
        <w:t>изискват ясно дефинирани политически решения относно разпределението на финансовата тежест между държавата/публичните ресурси, собствениците на сгради и жилища и финансовите институции.</w:t>
      </w:r>
    </w:p>
    <w:p w14:paraId="04BD10CD" w14:textId="3F097833" w:rsidR="006F3533" w:rsidRPr="006F3533" w:rsidRDefault="00F25E9B" w:rsidP="00480D32">
      <w:pPr>
        <w:jc w:val="both"/>
        <w:rPr>
          <w:b/>
          <w:bCs/>
          <w:lang w:val="bg-BG"/>
        </w:rPr>
      </w:pPr>
      <w:r>
        <w:rPr>
          <w:b/>
          <w:bCs/>
          <w:lang w:val="bg-BG"/>
        </w:rPr>
        <w:t>4</w:t>
      </w:r>
      <w:r w:rsidR="006F3533" w:rsidRPr="006F3533">
        <w:rPr>
          <w:b/>
          <w:bCs/>
          <w:lang w:val="bg-BG"/>
        </w:rPr>
        <w:t>. Европейски безвъзмездни източници на финансиране</w:t>
      </w:r>
    </w:p>
    <w:p w14:paraId="643A41A4" w14:textId="7E92F979" w:rsidR="006F3533" w:rsidRPr="006F3533" w:rsidRDefault="00F25E9B" w:rsidP="00480D32">
      <w:pPr>
        <w:jc w:val="both"/>
        <w:rPr>
          <w:b/>
          <w:bCs/>
          <w:lang w:val="bg-BG"/>
        </w:rPr>
      </w:pPr>
      <w:r>
        <w:rPr>
          <w:b/>
          <w:bCs/>
          <w:lang w:val="bg-BG"/>
        </w:rPr>
        <w:lastRenderedPageBreak/>
        <w:t>4</w:t>
      </w:r>
      <w:r w:rsidR="006F3533" w:rsidRPr="006F3533">
        <w:rPr>
          <w:b/>
          <w:bCs/>
          <w:lang w:val="bg-BG"/>
        </w:rPr>
        <w:t>.1. Механизъм за възстановяване и устойчивост (</w:t>
      </w:r>
      <w:r w:rsidR="006F3533">
        <w:rPr>
          <w:b/>
          <w:bCs/>
          <w:lang w:val="bg-BG"/>
        </w:rPr>
        <w:t>МВУ</w:t>
      </w:r>
      <w:r w:rsidR="006F3533" w:rsidRPr="006F3533">
        <w:rPr>
          <w:b/>
          <w:bCs/>
          <w:lang w:val="bg-BG"/>
        </w:rPr>
        <w:t>)</w:t>
      </w:r>
    </w:p>
    <w:p w14:paraId="29F5211F" w14:textId="28779A49" w:rsidR="006F3533" w:rsidRPr="006F3533" w:rsidRDefault="006F3533" w:rsidP="00480D32">
      <w:pPr>
        <w:jc w:val="both"/>
        <w:rPr>
          <w:lang w:val="bg-BG"/>
        </w:rPr>
      </w:pPr>
      <w:r w:rsidRPr="006F3533">
        <w:rPr>
          <w:lang w:val="bg-BG"/>
        </w:rPr>
        <w:t xml:space="preserve">Механизмът за възстановяване и устойчивост е ключов финансов инструмент в този период, доколкото значими средства бяха насочени за </w:t>
      </w:r>
      <w:r w:rsidRPr="006F3533">
        <w:rPr>
          <w:b/>
          <w:bCs/>
          <w:lang w:val="bg-BG"/>
        </w:rPr>
        <w:t xml:space="preserve">саниране на </w:t>
      </w:r>
      <w:proofErr w:type="spellStart"/>
      <w:r w:rsidRPr="006F3533">
        <w:rPr>
          <w:b/>
          <w:bCs/>
          <w:lang w:val="bg-BG"/>
        </w:rPr>
        <w:t>сраден</w:t>
      </w:r>
      <w:proofErr w:type="spellEnd"/>
      <w:r w:rsidRPr="006F3533">
        <w:rPr>
          <w:b/>
          <w:bCs/>
          <w:lang w:val="bg-BG"/>
        </w:rPr>
        <w:t xml:space="preserve"> фонд</w:t>
      </w:r>
      <w:r w:rsidRPr="006F3533">
        <w:rPr>
          <w:lang w:val="bg-BG"/>
        </w:rPr>
        <w:t>.</w:t>
      </w:r>
    </w:p>
    <w:p w14:paraId="3C04755C" w14:textId="77777777" w:rsidR="006F3533" w:rsidRPr="006F3533" w:rsidRDefault="006F3533" w:rsidP="00480D32">
      <w:pPr>
        <w:jc w:val="both"/>
        <w:rPr>
          <w:lang w:val="bg-BG"/>
        </w:rPr>
      </w:pPr>
      <w:r w:rsidRPr="006F3533">
        <w:rPr>
          <w:b/>
          <w:bCs/>
          <w:lang w:val="bg-BG"/>
        </w:rPr>
        <w:t>Инвестиции предназначени за:</w:t>
      </w:r>
    </w:p>
    <w:p w14:paraId="12170EC2" w14:textId="77777777" w:rsidR="006F3533" w:rsidRPr="006F3533" w:rsidRDefault="006F3533" w:rsidP="00480D32">
      <w:pPr>
        <w:numPr>
          <w:ilvl w:val="0"/>
          <w:numId w:val="129"/>
        </w:numPr>
        <w:jc w:val="both"/>
        <w:rPr>
          <w:lang w:val="bg-BG"/>
        </w:rPr>
      </w:pPr>
      <w:r w:rsidRPr="006F3533">
        <w:rPr>
          <w:lang w:val="bg-BG"/>
        </w:rPr>
        <w:t>жилищни сгради, включително многофамилни;</w:t>
      </w:r>
    </w:p>
    <w:p w14:paraId="199DF522" w14:textId="77777777" w:rsidR="006F3533" w:rsidRPr="006F3533" w:rsidRDefault="006F3533" w:rsidP="00480D32">
      <w:pPr>
        <w:numPr>
          <w:ilvl w:val="0"/>
          <w:numId w:val="129"/>
        </w:numPr>
        <w:jc w:val="both"/>
        <w:rPr>
          <w:lang w:val="bg-BG"/>
        </w:rPr>
      </w:pPr>
      <w:r w:rsidRPr="006F3533">
        <w:rPr>
          <w:lang w:val="bg-BG"/>
        </w:rPr>
        <w:t>нежилищни -  публични обществени, сгради на бизнеса.</w:t>
      </w:r>
    </w:p>
    <w:p w14:paraId="5BD1C5DC" w14:textId="77777777" w:rsidR="006F3533" w:rsidRPr="006F3533" w:rsidRDefault="006F3533" w:rsidP="00480D32">
      <w:pPr>
        <w:numPr>
          <w:ilvl w:val="0"/>
          <w:numId w:val="129"/>
        </w:numPr>
        <w:jc w:val="both"/>
        <w:rPr>
          <w:lang w:val="bg-BG"/>
        </w:rPr>
      </w:pPr>
      <w:r w:rsidRPr="006F3533">
        <w:rPr>
          <w:lang w:val="bg-BG"/>
        </w:rPr>
        <w:t>ВЕИ в еднофамилни сгради.</w:t>
      </w:r>
    </w:p>
    <w:p w14:paraId="19A05EB8" w14:textId="77777777" w:rsidR="006F3533" w:rsidRPr="006F3533" w:rsidRDefault="006F3533" w:rsidP="00480D32">
      <w:pPr>
        <w:jc w:val="both"/>
        <w:rPr>
          <w:lang w:val="bg-BG"/>
        </w:rPr>
      </w:pPr>
      <w:r w:rsidRPr="006F3533">
        <w:rPr>
          <w:b/>
          <w:bCs/>
          <w:lang w:val="bg-BG"/>
        </w:rPr>
        <w:t>Стратегическа роля:</w:t>
      </w:r>
    </w:p>
    <w:p w14:paraId="385E6B7F" w14:textId="77777777" w:rsidR="006F3533" w:rsidRPr="006F3533" w:rsidRDefault="006F3533" w:rsidP="00480D32">
      <w:pPr>
        <w:numPr>
          <w:ilvl w:val="0"/>
          <w:numId w:val="130"/>
        </w:numPr>
        <w:jc w:val="both"/>
        <w:rPr>
          <w:lang w:val="bg-BG"/>
        </w:rPr>
      </w:pPr>
      <w:r w:rsidRPr="006F3533">
        <w:rPr>
          <w:lang w:val="bg-BG"/>
        </w:rPr>
        <w:t xml:space="preserve">стартиране на устойчив пазарно-ориентиран модел на саниране в жилищния сектор в режим на </w:t>
      </w:r>
      <w:proofErr w:type="spellStart"/>
      <w:r w:rsidRPr="006F3533">
        <w:rPr>
          <w:lang w:val="bg-BG"/>
        </w:rPr>
        <w:t>съ</w:t>
      </w:r>
      <w:proofErr w:type="spellEnd"/>
      <w:r w:rsidRPr="006F3533">
        <w:rPr>
          <w:lang w:val="bg-BG"/>
        </w:rPr>
        <w:t>-финансиране;</w:t>
      </w:r>
    </w:p>
    <w:p w14:paraId="194EB8E3" w14:textId="77777777" w:rsidR="006F3533" w:rsidRPr="006F3533" w:rsidRDefault="006F3533" w:rsidP="00480D32">
      <w:pPr>
        <w:numPr>
          <w:ilvl w:val="0"/>
          <w:numId w:val="130"/>
        </w:numPr>
        <w:jc w:val="both"/>
        <w:rPr>
          <w:lang w:val="bg-BG"/>
        </w:rPr>
      </w:pPr>
      <w:r w:rsidRPr="006F3533">
        <w:rPr>
          <w:lang w:val="bg-BG"/>
        </w:rPr>
        <w:t>адресиране на сгради с най-ниски енергийни характеристики;</w:t>
      </w:r>
    </w:p>
    <w:p w14:paraId="7C179675" w14:textId="77777777" w:rsidR="006F3533" w:rsidRPr="006F3533" w:rsidRDefault="006F3533" w:rsidP="00480D32">
      <w:pPr>
        <w:numPr>
          <w:ilvl w:val="0"/>
          <w:numId w:val="130"/>
        </w:numPr>
        <w:jc w:val="both"/>
        <w:rPr>
          <w:lang w:val="bg-BG"/>
        </w:rPr>
      </w:pPr>
      <w:r w:rsidRPr="006F3533">
        <w:rPr>
          <w:lang w:val="bg-BG"/>
        </w:rPr>
        <w:t>изграждане на административен и технически капацитет.</w:t>
      </w:r>
    </w:p>
    <w:p w14:paraId="2FF3F6F9" w14:textId="3E15ED87" w:rsidR="006F3533" w:rsidRPr="006F3533" w:rsidRDefault="006F3533" w:rsidP="00480D32">
      <w:pPr>
        <w:jc w:val="both"/>
        <w:rPr>
          <w:lang w:val="bg-BG"/>
        </w:rPr>
      </w:pPr>
      <w:r w:rsidRPr="006F3533">
        <w:rPr>
          <w:lang w:val="bg-BG"/>
        </w:rPr>
        <w:t xml:space="preserve">С оглед на времевия му обхват, забавен старт, </w:t>
      </w:r>
      <w:r>
        <w:rPr>
          <w:lang w:val="bg-BG"/>
        </w:rPr>
        <w:t>повърхностно</w:t>
      </w:r>
      <w:r w:rsidRPr="006F3533">
        <w:rPr>
          <w:lang w:val="bg-BG"/>
        </w:rPr>
        <w:t xml:space="preserve"> проведени реформи  и недостатъчен административен капацитет </w:t>
      </w:r>
      <w:r>
        <w:rPr>
          <w:lang w:val="bg-BG"/>
        </w:rPr>
        <w:t>МВУ</w:t>
      </w:r>
      <w:r w:rsidRPr="006F3533">
        <w:rPr>
          <w:lang w:val="bg-BG"/>
        </w:rPr>
        <w:t xml:space="preserve"> не се използва като инструмент за създаване на основа за дългосрочния процес, а само като източник за финансиране до 2026 г.</w:t>
      </w:r>
    </w:p>
    <w:p w14:paraId="3D567AA9" w14:textId="407A7CB1" w:rsidR="006F3533" w:rsidRPr="006F3533" w:rsidRDefault="00F25E9B" w:rsidP="00480D32">
      <w:pPr>
        <w:jc w:val="both"/>
        <w:rPr>
          <w:b/>
          <w:bCs/>
          <w:lang w:val="bg-BG"/>
        </w:rPr>
      </w:pPr>
      <w:r>
        <w:rPr>
          <w:b/>
          <w:bCs/>
          <w:lang w:val="bg-BG"/>
        </w:rPr>
        <w:t>4</w:t>
      </w:r>
      <w:r w:rsidR="006F3533" w:rsidRPr="006F3533">
        <w:rPr>
          <w:b/>
          <w:bCs/>
          <w:lang w:val="bg-BG"/>
        </w:rPr>
        <w:t>.2. Кохезионни фондове на Европейския съюз</w:t>
      </w:r>
    </w:p>
    <w:p w14:paraId="39AC74D2" w14:textId="77777777" w:rsidR="006F3533" w:rsidRPr="006F3533" w:rsidRDefault="006F3533" w:rsidP="00480D32">
      <w:pPr>
        <w:jc w:val="both"/>
        <w:rPr>
          <w:lang w:val="bg-BG"/>
        </w:rPr>
      </w:pPr>
      <w:r w:rsidRPr="006F3533">
        <w:rPr>
          <w:lang w:val="bg-BG"/>
        </w:rPr>
        <w:t xml:space="preserve">Фондовете на Кохезионната политика представляват </w:t>
      </w:r>
      <w:r w:rsidRPr="006F3533">
        <w:rPr>
          <w:b/>
          <w:bCs/>
          <w:lang w:val="bg-BG"/>
        </w:rPr>
        <w:t>основен дългосрочен публичен ресурс</w:t>
      </w:r>
      <w:r w:rsidRPr="006F3533">
        <w:rPr>
          <w:lang w:val="bg-BG"/>
        </w:rPr>
        <w:t xml:space="preserve"> за финансиране на енергийна ефективност в сградния сектор.</w:t>
      </w:r>
    </w:p>
    <w:p w14:paraId="280A6472" w14:textId="77777777" w:rsidR="006F3533" w:rsidRPr="006F3533" w:rsidRDefault="006F3533" w:rsidP="00480D32">
      <w:pPr>
        <w:jc w:val="both"/>
        <w:rPr>
          <w:lang w:val="bg-BG"/>
        </w:rPr>
      </w:pPr>
      <w:r w:rsidRPr="006F3533">
        <w:rPr>
          <w:b/>
          <w:bCs/>
          <w:lang w:val="bg-BG"/>
        </w:rPr>
        <w:t>Подходящи за:</w:t>
      </w:r>
    </w:p>
    <w:p w14:paraId="31BC402F" w14:textId="77777777" w:rsidR="006F3533" w:rsidRPr="006F3533" w:rsidRDefault="006F3533" w:rsidP="00480D32">
      <w:pPr>
        <w:numPr>
          <w:ilvl w:val="0"/>
          <w:numId w:val="131"/>
        </w:numPr>
        <w:jc w:val="both"/>
        <w:rPr>
          <w:lang w:val="bg-BG"/>
        </w:rPr>
      </w:pPr>
      <w:r w:rsidRPr="006F3533">
        <w:rPr>
          <w:lang w:val="bg-BG"/>
        </w:rPr>
        <w:t>жилищни сгради;</w:t>
      </w:r>
    </w:p>
    <w:p w14:paraId="1DF70B97" w14:textId="77777777" w:rsidR="006F3533" w:rsidRPr="006F3533" w:rsidRDefault="006F3533" w:rsidP="00480D32">
      <w:pPr>
        <w:numPr>
          <w:ilvl w:val="0"/>
          <w:numId w:val="131"/>
        </w:numPr>
        <w:jc w:val="both"/>
        <w:rPr>
          <w:lang w:val="bg-BG"/>
        </w:rPr>
      </w:pPr>
      <w:r w:rsidRPr="006F3533">
        <w:rPr>
          <w:lang w:val="bg-BG"/>
        </w:rPr>
        <w:t>публични и частни нежилищни сгради;</w:t>
      </w:r>
    </w:p>
    <w:p w14:paraId="29846265" w14:textId="77777777" w:rsidR="006F3533" w:rsidRPr="006F3533" w:rsidRDefault="006F3533" w:rsidP="00480D32">
      <w:pPr>
        <w:numPr>
          <w:ilvl w:val="0"/>
          <w:numId w:val="131"/>
        </w:numPr>
        <w:jc w:val="both"/>
        <w:rPr>
          <w:lang w:val="bg-BG"/>
        </w:rPr>
      </w:pPr>
      <w:r w:rsidRPr="006F3533">
        <w:rPr>
          <w:lang w:val="bg-BG"/>
        </w:rPr>
        <w:t>интегрирани териториални и социални интервенции.</w:t>
      </w:r>
    </w:p>
    <w:p w14:paraId="56BF7B8E" w14:textId="77777777" w:rsidR="006F3533" w:rsidRPr="006F3533" w:rsidRDefault="006F3533" w:rsidP="00480D32">
      <w:pPr>
        <w:jc w:val="both"/>
        <w:rPr>
          <w:lang w:val="bg-BG"/>
        </w:rPr>
      </w:pPr>
      <w:r w:rsidRPr="006F3533">
        <w:rPr>
          <w:b/>
          <w:bCs/>
          <w:lang w:val="bg-BG"/>
        </w:rPr>
        <w:t>Стратегическа роля:</w:t>
      </w:r>
    </w:p>
    <w:p w14:paraId="0AF3DFA4" w14:textId="77777777" w:rsidR="006F3533" w:rsidRPr="006F3533" w:rsidRDefault="006F3533" w:rsidP="00480D32">
      <w:pPr>
        <w:numPr>
          <w:ilvl w:val="0"/>
          <w:numId w:val="132"/>
        </w:numPr>
        <w:jc w:val="both"/>
        <w:rPr>
          <w:lang w:val="bg-BG"/>
        </w:rPr>
      </w:pPr>
      <w:r w:rsidRPr="006F3533">
        <w:rPr>
          <w:lang w:val="bg-BG"/>
        </w:rPr>
        <w:t>системна подкрепа за дълбоко енергийно обновяване;</w:t>
      </w:r>
    </w:p>
    <w:p w14:paraId="48D73D04" w14:textId="77777777" w:rsidR="006F3533" w:rsidRPr="006F3533" w:rsidRDefault="006F3533" w:rsidP="00480D32">
      <w:pPr>
        <w:numPr>
          <w:ilvl w:val="0"/>
          <w:numId w:val="132"/>
        </w:numPr>
        <w:jc w:val="both"/>
        <w:rPr>
          <w:lang w:val="bg-BG"/>
        </w:rPr>
      </w:pPr>
      <w:r w:rsidRPr="006F3533">
        <w:rPr>
          <w:lang w:val="bg-BG"/>
        </w:rPr>
        <w:t>комбиниране на енергийни и социални цели;</w:t>
      </w:r>
    </w:p>
    <w:p w14:paraId="044CA344" w14:textId="77777777" w:rsidR="006F3533" w:rsidRPr="006F3533" w:rsidRDefault="006F3533" w:rsidP="00480D32">
      <w:pPr>
        <w:numPr>
          <w:ilvl w:val="0"/>
          <w:numId w:val="132"/>
        </w:numPr>
        <w:jc w:val="both"/>
        <w:rPr>
          <w:lang w:val="bg-BG"/>
        </w:rPr>
      </w:pPr>
      <w:r w:rsidRPr="006F3533">
        <w:rPr>
          <w:lang w:val="bg-BG"/>
        </w:rPr>
        <w:t>подкрепа за домакинства в риск от енергийна бедност.</w:t>
      </w:r>
    </w:p>
    <w:p w14:paraId="0B200EE5" w14:textId="77777777" w:rsidR="006F3533" w:rsidRPr="006F3533" w:rsidRDefault="006F3533" w:rsidP="00480D32">
      <w:pPr>
        <w:jc w:val="both"/>
        <w:rPr>
          <w:lang w:val="bg-BG"/>
        </w:rPr>
      </w:pPr>
      <w:r w:rsidRPr="006F3533">
        <w:rPr>
          <w:lang w:val="bg-BG"/>
        </w:rPr>
        <w:t xml:space="preserve">Досегашните политически решения определиха използването на наличния финансов ресурс като 95 и 100% </w:t>
      </w:r>
      <w:proofErr w:type="spellStart"/>
      <w:r w:rsidRPr="006F3533">
        <w:rPr>
          <w:lang w:val="bg-BG"/>
        </w:rPr>
        <w:t>грантово</w:t>
      </w:r>
      <w:proofErr w:type="spellEnd"/>
      <w:r w:rsidRPr="006F3533">
        <w:rPr>
          <w:lang w:val="bg-BG"/>
        </w:rPr>
        <w:t xml:space="preserve"> финансиране за жилищния сектор, а използването на финансови инструменти за нежилищните сгради все още не може да стартира.</w:t>
      </w:r>
    </w:p>
    <w:p w14:paraId="1510523F" w14:textId="61016223" w:rsidR="006F3533" w:rsidRPr="006F3533" w:rsidRDefault="00F25E9B" w:rsidP="00480D32">
      <w:pPr>
        <w:jc w:val="both"/>
        <w:rPr>
          <w:b/>
          <w:bCs/>
          <w:lang w:val="bg-BG"/>
        </w:rPr>
      </w:pPr>
      <w:r>
        <w:rPr>
          <w:b/>
          <w:bCs/>
          <w:lang w:val="bg-BG"/>
        </w:rPr>
        <w:lastRenderedPageBreak/>
        <w:t>4</w:t>
      </w:r>
      <w:r w:rsidR="006F3533" w:rsidRPr="006F3533">
        <w:rPr>
          <w:b/>
          <w:bCs/>
          <w:lang w:val="bg-BG"/>
        </w:rPr>
        <w:t xml:space="preserve">.3. </w:t>
      </w:r>
      <w:proofErr w:type="spellStart"/>
      <w:r w:rsidR="006F3533" w:rsidRPr="006F3533">
        <w:rPr>
          <w:b/>
          <w:bCs/>
          <w:lang w:val="bg-BG"/>
        </w:rPr>
        <w:t>Модернизационен</w:t>
      </w:r>
      <w:proofErr w:type="spellEnd"/>
      <w:r w:rsidR="006F3533" w:rsidRPr="006F3533">
        <w:rPr>
          <w:b/>
          <w:bCs/>
          <w:lang w:val="bg-BG"/>
        </w:rPr>
        <w:t xml:space="preserve"> фонд</w:t>
      </w:r>
    </w:p>
    <w:p w14:paraId="2E3008BD" w14:textId="77777777" w:rsidR="006F3533" w:rsidRPr="006F3533" w:rsidRDefault="006F3533" w:rsidP="00480D32">
      <w:pPr>
        <w:jc w:val="both"/>
        <w:rPr>
          <w:lang w:val="bg-BG"/>
        </w:rPr>
      </w:pPr>
      <w:proofErr w:type="spellStart"/>
      <w:r w:rsidRPr="006F3533">
        <w:rPr>
          <w:lang w:val="bg-BG"/>
        </w:rPr>
        <w:t>Модернизационният</w:t>
      </w:r>
      <w:proofErr w:type="spellEnd"/>
      <w:r w:rsidRPr="006F3533">
        <w:rPr>
          <w:lang w:val="bg-BG"/>
        </w:rPr>
        <w:t xml:space="preserve"> фонд, финансиран чрез приходите от Системата за търговия с емисии, предоставя възможност за подкрепа на инвестиции с висок ефект върху намаляването на енергийното потребление и емисиите.</w:t>
      </w:r>
    </w:p>
    <w:p w14:paraId="03CC09F0" w14:textId="77777777" w:rsidR="006F3533" w:rsidRPr="006F3533" w:rsidRDefault="006F3533" w:rsidP="00480D32">
      <w:pPr>
        <w:jc w:val="both"/>
        <w:rPr>
          <w:lang w:val="bg-BG"/>
        </w:rPr>
      </w:pPr>
      <w:r w:rsidRPr="006F3533">
        <w:rPr>
          <w:b/>
          <w:bCs/>
          <w:lang w:val="bg-BG"/>
        </w:rPr>
        <w:t>Подходящ за:</w:t>
      </w:r>
    </w:p>
    <w:p w14:paraId="45A5F668" w14:textId="77777777" w:rsidR="006F3533" w:rsidRPr="006F3533" w:rsidRDefault="006F3533" w:rsidP="00480D32">
      <w:pPr>
        <w:numPr>
          <w:ilvl w:val="0"/>
          <w:numId w:val="133"/>
        </w:numPr>
        <w:jc w:val="both"/>
        <w:rPr>
          <w:lang w:val="bg-BG"/>
        </w:rPr>
      </w:pPr>
      <w:r w:rsidRPr="006F3533">
        <w:rPr>
          <w:lang w:val="bg-BG"/>
        </w:rPr>
        <w:t>жилищни сгради, включително за уязвими групи;</w:t>
      </w:r>
    </w:p>
    <w:p w14:paraId="0AEAD2CB" w14:textId="77777777" w:rsidR="006F3533" w:rsidRPr="006F3533" w:rsidRDefault="006F3533" w:rsidP="00480D32">
      <w:pPr>
        <w:numPr>
          <w:ilvl w:val="0"/>
          <w:numId w:val="133"/>
        </w:numPr>
        <w:jc w:val="both"/>
        <w:rPr>
          <w:lang w:val="bg-BG"/>
        </w:rPr>
      </w:pPr>
      <w:r w:rsidRPr="006F3533">
        <w:rPr>
          <w:lang w:val="bg-BG"/>
        </w:rPr>
        <w:t>нежилищни сгради с висок потенциал за енергийни спестявания.</w:t>
      </w:r>
    </w:p>
    <w:p w14:paraId="6DA57582" w14:textId="77777777" w:rsidR="006F3533" w:rsidRPr="006F3533" w:rsidRDefault="006F3533" w:rsidP="00480D32">
      <w:pPr>
        <w:jc w:val="both"/>
        <w:rPr>
          <w:lang w:val="bg-BG"/>
        </w:rPr>
      </w:pPr>
      <w:r w:rsidRPr="006F3533">
        <w:rPr>
          <w:b/>
          <w:bCs/>
          <w:lang w:val="bg-BG"/>
        </w:rPr>
        <w:t>Стратегическа роля:</w:t>
      </w:r>
    </w:p>
    <w:p w14:paraId="7F99EC2A" w14:textId="77777777" w:rsidR="006F3533" w:rsidRPr="006F3533" w:rsidRDefault="006F3533" w:rsidP="00480D32">
      <w:pPr>
        <w:numPr>
          <w:ilvl w:val="0"/>
          <w:numId w:val="134"/>
        </w:numPr>
        <w:jc w:val="both"/>
        <w:rPr>
          <w:lang w:val="bg-BG"/>
        </w:rPr>
      </w:pPr>
      <w:r w:rsidRPr="006F3533">
        <w:rPr>
          <w:lang w:val="bg-BG"/>
        </w:rPr>
        <w:t>финансиране на дълбоко саниране;</w:t>
      </w:r>
    </w:p>
    <w:p w14:paraId="4F0615D9" w14:textId="77777777" w:rsidR="006F3533" w:rsidRPr="006F3533" w:rsidRDefault="006F3533" w:rsidP="00480D32">
      <w:pPr>
        <w:numPr>
          <w:ilvl w:val="0"/>
          <w:numId w:val="134"/>
        </w:numPr>
        <w:jc w:val="both"/>
        <w:rPr>
          <w:lang w:val="bg-BG"/>
        </w:rPr>
      </w:pPr>
      <w:r w:rsidRPr="006F3533">
        <w:rPr>
          <w:lang w:val="bg-BG"/>
        </w:rPr>
        <w:t>комбиниране на мерки за енергийна ефективност и възобновяеми източници;</w:t>
      </w:r>
    </w:p>
    <w:p w14:paraId="3780F2C9" w14:textId="77777777" w:rsidR="006F3533" w:rsidRPr="006F3533" w:rsidRDefault="006F3533" w:rsidP="00480D32">
      <w:pPr>
        <w:numPr>
          <w:ilvl w:val="0"/>
          <w:numId w:val="134"/>
        </w:numPr>
        <w:jc w:val="both"/>
        <w:rPr>
          <w:lang w:val="bg-BG"/>
        </w:rPr>
      </w:pPr>
      <w:r w:rsidRPr="006F3533">
        <w:rPr>
          <w:lang w:val="bg-BG"/>
        </w:rPr>
        <w:t xml:space="preserve">преход от изцяло </w:t>
      </w:r>
      <w:proofErr w:type="spellStart"/>
      <w:r w:rsidRPr="006F3533">
        <w:rPr>
          <w:lang w:val="bg-BG"/>
        </w:rPr>
        <w:t>грантови</w:t>
      </w:r>
      <w:proofErr w:type="spellEnd"/>
      <w:r w:rsidRPr="006F3533">
        <w:rPr>
          <w:lang w:val="bg-BG"/>
        </w:rPr>
        <w:t xml:space="preserve"> схеми към смесено финансиране.</w:t>
      </w:r>
    </w:p>
    <w:p w14:paraId="68EED166" w14:textId="3A787024" w:rsidR="006F3533" w:rsidRPr="006F3533" w:rsidRDefault="006F3533" w:rsidP="00480D32">
      <w:pPr>
        <w:jc w:val="both"/>
        <w:rPr>
          <w:lang w:val="bg-BG"/>
        </w:rPr>
      </w:pPr>
      <w:r>
        <w:rPr>
          <w:lang w:val="bg-BG"/>
        </w:rPr>
        <w:t>Към настоящия момент</w:t>
      </w:r>
      <w:r w:rsidRPr="006F3533">
        <w:rPr>
          <w:lang w:val="bg-BG"/>
        </w:rPr>
        <w:t xml:space="preserve"> възможностите на този фонд не са използвани в България.</w:t>
      </w:r>
    </w:p>
    <w:p w14:paraId="46EEB715" w14:textId="7224302C" w:rsidR="006F3533" w:rsidRPr="006F3533" w:rsidRDefault="00F25E9B" w:rsidP="00480D32">
      <w:pPr>
        <w:jc w:val="both"/>
        <w:rPr>
          <w:b/>
          <w:bCs/>
          <w:lang w:val="bg-BG"/>
        </w:rPr>
      </w:pPr>
      <w:r>
        <w:rPr>
          <w:b/>
          <w:bCs/>
          <w:lang w:val="bg-BG"/>
        </w:rPr>
        <w:t>4</w:t>
      </w:r>
      <w:r w:rsidR="006F3533" w:rsidRPr="006F3533">
        <w:rPr>
          <w:b/>
          <w:bCs/>
          <w:lang w:val="bg-BG"/>
        </w:rPr>
        <w:t>.4. Социален климатичен фонд</w:t>
      </w:r>
    </w:p>
    <w:p w14:paraId="4EF28AA7" w14:textId="77777777" w:rsidR="006F3533" w:rsidRPr="006F3533" w:rsidRDefault="006F3533" w:rsidP="00480D32">
      <w:pPr>
        <w:jc w:val="both"/>
        <w:rPr>
          <w:lang w:val="bg-BG"/>
        </w:rPr>
      </w:pPr>
      <w:r w:rsidRPr="006F3533">
        <w:rPr>
          <w:lang w:val="bg-BG"/>
        </w:rPr>
        <w:t>Социалният климатичен фонд е инструмент с ясно изразен социален фокус, насочен към смекчаване на въздействията от прехода към нисковъглеродна икономика.</w:t>
      </w:r>
    </w:p>
    <w:p w14:paraId="49BE0355" w14:textId="77777777" w:rsidR="006F3533" w:rsidRPr="006F3533" w:rsidRDefault="006F3533" w:rsidP="00480D32">
      <w:pPr>
        <w:jc w:val="both"/>
        <w:rPr>
          <w:lang w:val="bg-BG"/>
        </w:rPr>
      </w:pPr>
      <w:r w:rsidRPr="006F3533">
        <w:rPr>
          <w:b/>
          <w:bCs/>
          <w:lang w:val="bg-BG"/>
        </w:rPr>
        <w:t>Подходящ основно за:</w:t>
      </w:r>
    </w:p>
    <w:p w14:paraId="1992A57A" w14:textId="77777777" w:rsidR="006F3533" w:rsidRPr="006F3533" w:rsidRDefault="006F3533" w:rsidP="00480D32">
      <w:pPr>
        <w:numPr>
          <w:ilvl w:val="0"/>
          <w:numId w:val="135"/>
        </w:numPr>
        <w:jc w:val="both"/>
        <w:rPr>
          <w:lang w:val="bg-BG"/>
        </w:rPr>
      </w:pPr>
      <w:r w:rsidRPr="006F3533">
        <w:rPr>
          <w:lang w:val="bg-BG"/>
        </w:rPr>
        <w:t>жилищни сгради;</w:t>
      </w:r>
    </w:p>
    <w:p w14:paraId="29E30BBE" w14:textId="77777777" w:rsidR="006F3533" w:rsidRPr="006F3533" w:rsidRDefault="006F3533" w:rsidP="00480D32">
      <w:pPr>
        <w:numPr>
          <w:ilvl w:val="0"/>
          <w:numId w:val="135"/>
        </w:numPr>
        <w:jc w:val="both"/>
        <w:rPr>
          <w:lang w:val="bg-BG"/>
        </w:rPr>
      </w:pPr>
      <w:r w:rsidRPr="006F3533">
        <w:rPr>
          <w:lang w:val="bg-BG"/>
        </w:rPr>
        <w:t>домакинства в риск от енергийна бедност.</w:t>
      </w:r>
    </w:p>
    <w:p w14:paraId="06464A60" w14:textId="77777777" w:rsidR="006F3533" w:rsidRPr="006F3533" w:rsidRDefault="006F3533" w:rsidP="00480D32">
      <w:pPr>
        <w:jc w:val="both"/>
        <w:rPr>
          <w:lang w:val="bg-BG"/>
        </w:rPr>
      </w:pPr>
      <w:r w:rsidRPr="006F3533">
        <w:rPr>
          <w:b/>
          <w:bCs/>
          <w:lang w:val="bg-BG"/>
        </w:rPr>
        <w:t>Стратегическа роля:</w:t>
      </w:r>
    </w:p>
    <w:p w14:paraId="519FE9E4" w14:textId="77777777" w:rsidR="006F3533" w:rsidRPr="006F3533" w:rsidRDefault="006F3533" w:rsidP="00480D32">
      <w:pPr>
        <w:numPr>
          <w:ilvl w:val="0"/>
          <w:numId w:val="136"/>
        </w:numPr>
        <w:jc w:val="both"/>
        <w:rPr>
          <w:lang w:val="bg-BG"/>
        </w:rPr>
      </w:pPr>
      <w:r w:rsidRPr="006F3533">
        <w:rPr>
          <w:lang w:val="bg-BG"/>
        </w:rPr>
        <w:t>допълване на основните програми за саниране;</w:t>
      </w:r>
    </w:p>
    <w:p w14:paraId="7EDC9F53" w14:textId="77777777" w:rsidR="006F3533" w:rsidRPr="006F3533" w:rsidRDefault="006F3533" w:rsidP="00480D32">
      <w:pPr>
        <w:numPr>
          <w:ilvl w:val="0"/>
          <w:numId w:val="136"/>
        </w:numPr>
        <w:jc w:val="both"/>
        <w:rPr>
          <w:lang w:val="bg-BG"/>
        </w:rPr>
      </w:pPr>
      <w:proofErr w:type="spellStart"/>
      <w:r w:rsidRPr="006F3533">
        <w:rPr>
          <w:lang w:val="bg-BG"/>
        </w:rPr>
        <w:t>таргетирана</w:t>
      </w:r>
      <w:proofErr w:type="spellEnd"/>
      <w:r w:rsidRPr="006F3533">
        <w:rPr>
          <w:lang w:val="bg-BG"/>
        </w:rPr>
        <w:t xml:space="preserve"> подкрепа за най-уязвимите групи;</w:t>
      </w:r>
    </w:p>
    <w:p w14:paraId="70D928A3" w14:textId="77777777" w:rsidR="006F3533" w:rsidRPr="006F3533" w:rsidRDefault="006F3533" w:rsidP="00480D32">
      <w:pPr>
        <w:numPr>
          <w:ilvl w:val="0"/>
          <w:numId w:val="136"/>
        </w:numPr>
        <w:jc w:val="both"/>
        <w:rPr>
          <w:lang w:val="bg-BG"/>
        </w:rPr>
      </w:pPr>
      <w:r w:rsidRPr="006F3533">
        <w:rPr>
          <w:lang w:val="bg-BG"/>
        </w:rPr>
        <w:t>координация със социалната политика.</w:t>
      </w:r>
    </w:p>
    <w:p w14:paraId="49D7E808" w14:textId="60960A69" w:rsidR="006F3533" w:rsidRPr="006F3533" w:rsidRDefault="006F3533" w:rsidP="00480D32">
      <w:pPr>
        <w:jc w:val="both"/>
        <w:rPr>
          <w:lang w:val="bg-BG"/>
        </w:rPr>
      </w:pPr>
      <w:r w:rsidRPr="006F3533">
        <w:rPr>
          <w:lang w:val="bg-BG"/>
        </w:rPr>
        <w:t xml:space="preserve">Тези стратегически роли следва да бъдат защитени чрез изпълнение на реформи, подпомагащи прехода към модел на съфинансиране и предоставящи 100% </w:t>
      </w:r>
      <w:proofErr w:type="spellStart"/>
      <w:r w:rsidRPr="006F3533">
        <w:rPr>
          <w:lang w:val="bg-BG"/>
        </w:rPr>
        <w:t>грантово</w:t>
      </w:r>
      <w:proofErr w:type="spellEnd"/>
      <w:r w:rsidRPr="006F3533">
        <w:rPr>
          <w:lang w:val="bg-BG"/>
        </w:rPr>
        <w:t xml:space="preserve"> финансиране единствено и само за социално уязвими/енергийно бедни. </w:t>
      </w:r>
    </w:p>
    <w:p w14:paraId="7AED6740" w14:textId="7D0F6877" w:rsidR="006F3533" w:rsidRPr="006F3533" w:rsidRDefault="00F25E9B" w:rsidP="00480D32">
      <w:pPr>
        <w:jc w:val="both"/>
        <w:rPr>
          <w:b/>
          <w:bCs/>
          <w:lang w:val="bg-BG"/>
        </w:rPr>
      </w:pPr>
      <w:r>
        <w:rPr>
          <w:b/>
          <w:bCs/>
          <w:lang w:val="bg-BG"/>
        </w:rPr>
        <w:t>5</w:t>
      </w:r>
      <w:r w:rsidR="006F3533" w:rsidRPr="006F3533">
        <w:rPr>
          <w:b/>
          <w:bCs/>
          <w:lang w:val="bg-BG"/>
        </w:rPr>
        <w:t>. Европейски финансови инструменти и заем</w:t>
      </w:r>
      <w:r w:rsidR="006F3533">
        <w:rPr>
          <w:b/>
          <w:bCs/>
          <w:lang w:val="bg-BG"/>
        </w:rPr>
        <w:t>ни средства</w:t>
      </w:r>
    </w:p>
    <w:p w14:paraId="009EF51F" w14:textId="2E37A675" w:rsidR="006F3533" w:rsidRPr="006F3533" w:rsidRDefault="00F25E9B" w:rsidP="00480D32">
      <w:pPr>
        <w:jc w:val="both"/>
        <w:rPr>
          <w:b/>
          <w:bCs/>
          <w:lang w:val="bg-BG"/>
        </w:rPr>
      </w:pPr>
      <w:r>
        <w:rPr>
          <w:b/>
          <w:bCs/>
          <w:lang w:val="bg-BG"/>
        </w:rPr>
        <w:t>5</w:t>
      </w:r>
      <w:r w:rsidR="006F3533" w:rsidRPr="006F3533">
        <w:rPr>
          <w:b/>
          <w:bCs/>
          <w:lang w:val="bg-BG"/>
        </w:rPr>
        <w:t>.1. Европейска инвестиционна банка</w:t>
      </w:r>
    </w:p>
    <w:p w14:paraId="6D2E44E8" w14:textId="77777777" w:rsidR="006F3533" w:rsidRPr="006F3533" w:rsidRDefault="006F3533" w:rsidP="00480D32">
      <w:pPr>
        <w:jc w:val="both"/>
        <w:rPr>
          <w:lang w:val="bg-BG"/>
        </w:rPr>
      </w:pPr>
      <w:r w:rsidRPr="006F3533">
        <w:rPr>
          <w:lang w:val="bg-BG"/>
        </w:rPr>
        <w:t xml:space="preserve">Европейската инвестиционна банка има ключова роля за </w:t>
      </w:r>
      <w:r w:rsidRPr="006F3533">
        <w:rPr>
          <w:b/>
          <w:bCs/>
          <w:lang w:val="bg-BG"/>
        </w:rPr>
        <w:t>мобилизиране на значителен инвестиционен ресурс</w:t>
      </w:r>
      <w:r w:rsidRPr="006F3533">
        <w:rPr>
          <w:lang w:val="bg-BG"/>
        </w:rPr>
        <w:t>, особено в средносрочен и дългосрочен план.</w:t>
      </w:r>
    </w:p>
    <w:p w14:paraId="23165D4A" w14:textId="77777777" w:rsidR="006F3533" w:rsidRPr="006F3533" w:rsidRDefault="006F3533" w:rsidP="00480D32">
      <w:pPr>
        <w:jc w:val="both"/>
        <w:rPr>
          <w:lang w:val="bg-BG"/>
        </w:rPr>
      </w:pPr>
      <w:r w:rsidRPr="006F3533">
        <w:rPr>
          <w:b/>
          <w:bCs/>
          <w:lang w:val="bg-BG"/>
        </w:rPr>
        <w:lastRenderedPageBreak/>
        <w:t>Подходяща за:</w:t>
      </w:r>
    </w:p>
    <w:p w14:paraId="2C059934" w14:textId="77777777" w:rsidR="006F3533" w:rsidRPr="006F3533" w:rsidRDefault="006F3533" w:rsidP="00480D32">
      <w:pPr>
        <w:numPr>
          <w:ilvl w:val="0"/>
          <w:numId w:val="137"/>
        </w:numPr>
        <w:jc w:val="both"/>
        <w:rPr>
          <w:lang w:val="bg-BG"/>
        </w:rPr>
      </w:pPr>
      <w:r w:rsidRPr="006F3533">
        <w:rPr>
          <w:lang w:val="bg-BG"/>
        </w:rPr>
        <w:t>публични и частни нежилищни сгради;</w:t>
      </w:r>
    </w:p>
    <w:p w14:paraId="6DD33801" w14:textId="77777777" w:rsidR="006F3533" w:rsidRPr="006F3533" w:rsidRDefault="006F3533" w:rsidP="00480D32">
      <w:pPr>
        <w:numPr>
          <w:ilvl w:val="0"/>
          <w:numId w:val="137"/>
        </w:numPr>
        <w:jc w:val="both"/>
        <w:rPr>
          <w:lang w:val="bg-BG"/>
        </w:rPr>
      </w:pPr>
      <w:proofErr w:type="spellStart"/>
      <w:r w:rsidRPr="006F3533">
        <w:rPr>
          <w:lang w:val="bg-BG"/>
        </w:rPr>
        <w:t>портфейлни</w:t>
      </w:r>
      <w:proofErr w:type="spellEnd"/>
      <w:r w:rsidRPr="006F3533">
        <w:rPr>
          <w:lang w:val="bg-BG"/>
        </w:rPr>
        <w:t xml:space="preserve"> програми за жилищно саниране.</w:t>
      </w:r>
    </w:p>
    <w:p w14:paraId="5B186F94" w14:textId="77777777" w:rsidR="006F3533" w:rsidRPr="006F3533" w:rsidRDefault="006F3533" w:rsidP="00480D32">
      <w:pPr>
        <w:jc w:val="both"/>
        <w:rPr>
          <w:lang w:val="bg-BG"/>
        </w:rPr>
      </w:pPr>
      <w:r w:rsidRPr="006F3533">
        <w:rPr>
          <w:b/>
          <w:bCs/>
          <w:lang w:val="bg-BG"/>
        </w:rPr>
        <w:t>Стратегическа роля:</w:t>
      </w:r>
    </w:p>
    <w:p w14:paraId="537D6C49" w14:textId="77777777" w:rsidR="006F3533" w:rsidRPr="006F3533" w:rsidRDefault="006F3533" w:rsidP="00480D32">
      <w:pPr>
        <w:numPr>
          <w:ilvl w:val="0"/>
          <w:numId w:val="138"/>
        </w:numPr>
        <w:jc w:val="both"/>
        <w:rPr>
          <w:lang w:val="bg-BG"/>
        </w:rPr>
      </w:pPr>
      <w:r w:rsidRPr="006F3533">
        <w:rPr>
          <w:lang w:val="bg-BG"/>
        </w:rPr>
        <w:t>преминаване към модели с участие на заеми;</w:t>
      </w:r>
    </w:p>
    <w:p w14:paraId="0DB01F77" w14:textId="77777777" w:rsidR="006F3533" w:rsidRPr="006F3533" w:rsidRDefault="006F3533" w:rsidP="00480D32">
      <w:pPr>
        <w:numPr>
          <w:ilvl w:val="0"/>
          <w:numId w:val="138"/>
        </w:numPr>
        <w:jc w:val="both"/>
        <w:rPr>
          <w:lang w:val="bg-BG"/>
        </w:rPr>
      </w:pPr>
      <w:r w:rsidRPr="006F3533">
        <w:rPr>
          <w:lang w:val="bg-BG"/>
        </w:rPr>
        <w:t>мащабиране на инвестициите;</w:t>
      </w:r>
    </w:p>
    <w:p w14:paraId="38B3BDC5" w14:textId="77777777" w:rsidR="006F3533" w:rsidRPr="006F3533" w:rsidRDefault="006F3533" w:rsidP="00480D32">
      <w:pPr>
        <w:numPr>
          <w:ilvl w:val="0"/>
          <w:numId w:val="138"/>
        </w:numPr>
        <w:jc w:val="both"/>
        <w:rPr>
          <w:lang w:val="bg-BG"/>
        </w:rPr>
      </w:pPr>
      <w:r w:rsidRPr="006F3533">
        <w:rPr>
          <w:lang w:val="bg-BG"/>
        </w:rPr>
        <w:t>подкрепа на програмни и пазарно ориентирани подходи.</w:t>
      </w:r>
    </w:p>
    <w:p w14:paraId="6284087B" w14:textId="2E512FC6" w:rsidR="006F3533" w:rsidRPr="006F3533" w:rsidRDefault="00F25E9B" w:rsidP="00480D32">
      <w:pPr>
        <w:jc w:val="both"/>
        <w:rPr>
          <w:b/>
          <w:bCs/>
          <w:lang w:val="bg-BG"/>
        </w:rPr>
      </w:pPr>
      <w:r>
        <w:rPr>
          <w:b/>
          <w:bCs/>
          <w:lang w:val="bg-BG"/>
        </w:rPr>
        <w:t>5</w:t>
      </w:r>
      <w:r w:rsidR="006F3533" w:rsidRPr="006F3533">
        <w:rPr>
          <w:b/>
          <w:bCs/>
          <w:lang w:val="bg-BG"/>
        </w:rPr>
        <w:t xml:space="preserve">.2. </w:t>
      </w:r>
      <w:proofErr w:type="spellStart"/>
      <w:r w:rsidR="006F3533" w:rsidRPr="006F3533">
        <w:rPr>
          <w:b/>
          <w:bCs/>
          <w:lang w:val="bg-BG"/>
        </w:rPr>
        <w:t>InvestEU</w:t>
      </w:r>
      <w:proofErr w:type="spellEnd"/>
    </w:p>
    <w:p w14:paraId="7E462F52" w14:textId="77777777" w:rsidR="006F3533" w:rsidRPr="006F3533" w:rsidRDefault="006F3533" w:rsidP="00480D32">
      <w:pPr>
        <w:jc w:val="both"/>
        <w:rPr>
          <w:lang w:val="bg-BG"/>
        </w:rPr>
      </w:pPr>
      <w:r w:rsidRPr="006F3533">
        <w:rPr>
          <w:lang w:val="bg-BG"/>
        </w:rPr>
        <w:t xml:space="preserve">Програмата </w:t>
      </w:r>
      <w:proofErr w:type="spellStart"/>
      <w:r w:rsidRPr="006F3533">
        <w:rPr>
          <w:lang w:val="bg-BG"/>
        </w:rPr>
        <w:t>InvestEU</w:t>
      </w:r>
      <w:proofErr w:type="spellEnd"/>
      <w:r w:rsidRPr="006F3533">
        <w:rPr>
          <w:lang w:val="bg-BG"/>
        </w:rPr>
        <w:t xml:space="preserve"> предоставя гаранции, които улесняват достъпа до финансиране чрез финансови посредници.</w:t>
      </w:r>
    </w:p>
    <w:p w14:paraId="6592586B" w14:textId="77777777" w:rsidR="006F3533" w:rsidRPr="006F3533" w:rsidRDefault="006F3533" w:rsidP="00480D32">
      <w:pPr>
        <w:jc w:val="both"/>
        <w:rPr>
          <w:lang w:val="bg-BG"/>
        </w:rPr>
      </w:pPr>
      <w:r w:rsidRPr="006F3533">
        <w:rPr>
          <w:b/>
          <w:bCs/>
          <w:lang w:val="bg-BG"/>
        </w:rPr>
        <w:t>Подходяща за:</w:t>
      </w:r>
    </w:p>
    <w:p w14:paraId="3A56F5FC" w14:textId="77777777" w:rsidR="006F3533" w:rsidRPr="006F3533" w:rsidRDefault="006F3533" w:rsidP="00480D32">
      <w:pPr>
        <w:numPr>
          <w:ilvl w:val="0"/>
          <w:numId w:val="139"/>
        </w:numPr>
        <w:jc w:val="both"/>
        <w:rPr>
          <w:lang w:val="bg-BG"/>
        </w:rPr>
      </w:pPr>
      <w:r w:rsidRPr="006F3533">
        <w:rPr>
          <w:lang w:val="bg-BG"/>
        </w:rPr>
        <w:t>жилищни и нежилищни сгради;</w:t>
      </w:r>
    </w:p>
    <w:p w14:paraId="35279AB7" w14:textId="77777777" w:rsidR="006F3533" w:rsidRPr="006F3533" w:rsidRDefault="006F3533" w:rsidP="00480D32">
      <w:pPr>
        <w:numPr>
          <w:ilvl w:val="0"/>
          <w:numId w:val="139"/>
        </w:numPr>
        <w:jc w:val="both"/>
        <w:rPr>
          <w:lang w:val="bg-BG"/>
        </w:rPr>
      </w:pPr>
      <w:r w:rsidRPr="006F3533">
        <w:rPr>
          <w:lang w:val="bg-BG"/>
        </w:rPr>
        <w:t>проекти с участие на частен капитал.</w:t>
      </w:r>
    </w:p>
    <w:p w14:paraId="4B6733F9" w14:textId="77777777" w:rsidR="006F3533" w:rsidRPr="006F3533" w:rsidRDefault="006F3533" w:rsidP="00480D32">
      <w:pPr>
        <w:jc w:val="both"/>
        <w:rPr>
          <w:lang w:val="bg-BG"/>
        </w:rPr>
      </w:pPr>
      <w:r w:rsidRPr="006F3533">
        <w:rPr>
          <w:b/>
          <w:bCs/>
          <w:lang w:val="bg-BG"/>
        </w:rPr>
        <w:t>Стратегическа роля:</w:t>
      </w:r>
    </w:p>
    <w:p w14:paraId="5141BAF6" w14:textId="77777777" w:rsidR="006F3533" w:rsidRPr="006F3533" w:rsidRDefault="006F3533" w:rsidP="00480D32">
      <w:pPr>
        <w:numPr>
          <w:ilvl w:val="0"/>
          <w:numId w:val="140"/>
        </w:numPr>
        <w:jc w:val="both"/>
        <w:rPr>
          <w:lang w:val="bg-BG"/>
        </w:rPr>
      </w:pPr>
      <w:r w:rsidRPr="006F3533">
        <w:rPr>
          <w:lang w:val="bg-BG"/>
        </w:rPr>
        <w:t>намаляване на инвестиционния риск;</w:t>
      </w:r>
    </w:p>
    <w:p w14:paraId="61AE5199" w14:textId="77777777" w:rsidR="006F3533" w:rsidRPr="006F3533" w:rsidRDefault="006F3533" w:rsidP="00480D32">
      <w:pPr>
        <w:numPr>
          <w:ilvl w:val="0"/>
          <w:numId w:val="140"/>
        </w:numPr>
        <w:jc w:val="both"/>
        <w:rPr>
          <w:lang w:val="bg-BG"/>
        </w:rPr>
      </w:pPr>
      <w:r w:rsidRPr="006F3533">
        <w:rPr>
          <w:lang w:val="bg-BG"/>
        </w:rPr>
        <w:t>стимулиране на участието на банки и фондове;</w:t>
      </w:r>
    </w:p>
    <w:p w14:paraId="777D3970" w14:textId="77777777" w:rsidR="006F3533" w:rsidRPr="006F3533" w:rsidRDefault="006F3533" w:rsidP="00480D32">
      <w:pPr>
        <w:numPr>
          <w:ilvl w:val="0"/>
          <w:numId w:val="140"/>
        </w:numPr>
        <w:jc w:val="both"/>
        <w:rPr>
          <w:lang w:val="bg-BG"/>
        </w:rPr>
      </w:pPr>
      <w:r w:rsidRPr="006F3533">
        <w:rPr>
          <w:lang w:val="bg-BG"/>
        </w:rPr>
        <w:t>привличане на частни инвестиции.</w:t>
      </w:r>
    </w:p>
    <w:p w14:paraId="2BD8286C" w14:textId="27E56E13" w:rsidR="006F3533" w:rsidRPr="006F3533" w:rsidRDefault="00F25E9B" w:rsidP="00480D32">
      <w:pPr>
        <w:jc w:val="both"/>
        <w:rPr>
          <w:b/>
          <w:bCs/>
          <w:lang w:val="bg-BG"/>
        </w:rPr>
      </w:pPr>
      <w:r>
        <w:rPr>
          <w:b/>
          <w:bCs/>
          <w:lang w:val="bg-BG"/>
        </w:rPr>
        <w:t>6</w:t>
      </w:r>
      <w:r w:rsidR="006F3533" w:rsidRPr="006F3533">
        <w:rPr>
          <w:b/>
          <w:bCs/>
          <w:lang w:val="bg-BG"/>
        </w:rPr>
        <w:t>. Техническа помощ</w:t>
      </w:r>
    </w:p>
    <w:p w14:paraId="1E937F2B" w14:textId="77777777" w:rsidR="006F3533" w:rsidRPr="006F3533" w:rsidRDefault="006F3533" w:rsidP="00480D32">
      <w:pPr>
        <w:jc w:val="both"/>
        <w:rPr>
          <w:lang w:val="bg-BG"/>
        </w:rPr>
      </w:pPr>
      <w:r w:rsidRPr="006F3533">
        <w:rPr>
          <w:lang w:val="bg-BG"/>
        </w:rPr>
        <w:t>Техническата помощ, включително чрез инициативи като ELENA, е ключов елемент за успешното изпълнение на Плана.</w:t>
      </w:r>
    </w:p>
    <w:p w14:paraId="1B82567C" w14:textId="77777777" w:rsidR="006F3533" w:rsidRPr="006F3533" w:rsidRDefault="006F3533" w:rsidP="00480D32">
      <w:pPr>
        <w:jc w:val="both"/>
        <w:rPr>
          <w:lang w:val="bg-BG"/>
        </w:rPr>
      </w:pPr>
      <w:r w:rsidRPr="006F3533">
        <w:rPr>
          <w:b/>
          <w:bCs/>
          <w:lang w:val="bg-BG"/>
        </w:rPr>
        <w:t>Подходяща за:</w:t>
      </w:r>
    </w:p>
    <w:p w14:paraId="723C9FEC" w14:textId="77777777" w:rsidR="006F3533" w:rsidRPr="006F3533" w:rsidRDefault="006F3533" w:rsidP="00480D32">
      <w:pPr>
        <w:numPr>
          <w:ilvl w:val="0"/>
          <w:numId w:val="141"/>
        </w:numPr>
        <w:jc w:val="both"/>
        <w:rPr>
          <w:lang w:val="bg-BG"/>
        </w:rPr>
      </w:pPr>
      <w:r w:rsidRPr="006F3533">
        <w:rPr>
          <w:lang w:val="bg-BG"/>
        </w:rPr>
        <w:t>всички типове сгради;</w:t>
      </w:r>
    </w:p>
    <w:p w14:paraId="1AD00883" w14:textId="77777777" w:rsidR="006F3533" w:rsidRPr="006F3533" w:rsidRDefault="006F3533" w:rsidP="00480D32">
      <w:pPr>
        <w:numPr>
          <w:ilvl w:val="0"/>
          <w:numId w:val="141"/>
        </w:numPr>
        <w:jc w:val="both"/>
        <w:rPr>
          <w:lang w:val="bg-BG"/>
        </w:rPr>
      </w:pPr>
      <w:r w:rsidRPr="006F3533">
        <w:rPr>
          <w:lang w:val="bg-BG"/>
        </w:rPr>
        <w:t xml:space="preserve">програмни и </w:t>
      </w:r>
      <w:proofErr w:type="spellStart"/>
      <w:r w:rsidRPr="006F3533">
        <w:rPr>
          <w:lang w:val="bg-BG"/>
        </w:rPr>
        <w:t>портфейлни</w:t>
      </w:r>
      <w:proofErr w:type="spellEnd"/>
      <w:r w:rsidRPr="006F3533">
        <w:rPr>
          <w:lang w:val="bg-BG"/>
        </w:rPr>
        <w:t xml:space="preserve"> подходи.</w:t>
      </w:r>
    </w:p>
    <w:p w14:paraId="39E35318" w14:textId="77777777" w:rsidR="006F3533" w:rsidRPr="006F3533" w:rsidRDefault="006F3533" w:rsidP="00480D32">
      <w:pPr>
        <w:jc w:val="both"/>
        <w:rPr>
          <w:lang w:val="bg-BG"/>
        </w:rPr>
      </w:pPr>
      <w:r w:rsidRPr="006F3533">
        <w:rPr>
          <w:b/>
          <w:bCs/>
          <w:lang w:val="bg-BG"/>
        </w:rPr>
        <w:t>Стратегическа роля:</w:t>
      </w:r>
    </w:p>
    <w:p w14:paraId="60F7A0D3" w14:textId="77777777" w:rsidR="006F3533" w:rsidRPr="006F3533" w:rsidRDefault="006F3533" w:rsidP="00480D32">
      <w:pPr>
        <w:numPr>
          <w:ilvl w:val="0"/>
          <w:numId w:val="142"/>
        </w:numPr>
        <w:jc w:val="both"/>
        <w:rPr>
          <w:lang w:val="bg-BG"/>
        </w:rPr>
      </w:pPr>
      <w:r w:rsidRPr="006F3533">
        <w:rPr>
          <w:lang w:val="bg-BG"/>
        </w:rPr>
        <w:t>подготовка и пакетиране на проекти;</w:t>
      </w:r>
    </w:p>
    <w:p w14:paraId="16E1A814" w14:textId="053F185B" w:rsidR="006F3533" w:rsidRPr="006F3533" w:rsidRDefault="006F3533" w:rsidP="00480D32">
      <w:pPr>
        <w:numPr>
          <w:ilvl w:val="0"/>
          <w:numId w:val="142"/>
        </w:numPr>
        <w:jc w:val="both"/>
        <w:rPr>
          <w:lang w:val="bg-BG"/>
        </w:rPr>
      </w:pPr>
      <w:r w:rsidRPr="006F3533">
        <w:rPr>
          <w:lang w:val="bg-BG"/>
        </w:rPr>
        <w:t xml:space="preserve">осигуряване на качество и </w:t>
      </w:r>
      <w:r>
        <w:rPr>
          <w:lang w:val="bg-BG"/>
        </w:rPr>
        <w:t>практическа приложимост</w:t>
      </w:r>
      <w:r w:rsidRPr="006F3533">
        <w:rPr>
          <w:lang w:val="bg-BG"/>
        </w:rPr>
        <w:t>;</w:t>
      </w:r>
    </w:p>
    <w:p w14:paraId="69F9D08B" w14:textId="382F73C1" w:rsidR="006F3533" w:rsidRPr="006F3533" w:rsidRDefault="006F3533" w:rsidP="00480D32">
      <w:pPr>
        <w:numPr>
          <w:ilvl w:val="0"/>
          <w:numId w:val="142"/>
        </w:numPr>
        <w:jc w:val="both"/>
        <w:rPr>
          <w:lang w:val="bg-BG"/>
        </w:rPr>
      </w:pPr>
      <w:r w:rsidRPr="006F3533">
        <w:rPr>
          <w:lang w:val="bg-BG"/>
        </w:rPr>
        <w:t xml:space="preserve">изграждане на устойчив </w:t>
      </w:r>
      <w:r>
        <w:rPr>
          <w:lang w:val="bg-BG"/>
        </w:rPr>
        <w:t>портфейл</w:t>
      </w:r>
      <w:r w:rsidRPr="006F3533">
        <w:rPr>
          <w:lang w:val="bg-BG"/>
        </w:rPr>
        <w:t xml:space="preserve"> от инвестиции.</w:t>
      </w:r>
    </w:p>
    <w:p w14:paraId="4D92D03C" w14:textId="0BC4D126" w:rsidR="006F3533" w:rsidRPr="006F3533" w:rsidRDefault="00F25E9B" w:rsidP="00480D32">
      <w:pPr>
        <w:jc w:val="both"/>
        <w:rPr>
          <w:b/>
          <w:bCs/>
          <w:lang w:val="bg-BG"/>
        </w:rPr>
      </w:pPr>
      <w:r>
        <w:rPr>
          <w:b/>
          <w:bCs/>
          <w:lang w:val="bg-BG"/>
        </w:rPr>
        <w:t>7</w:t>
      </w:r>
      <w:r w:rsidR="006F3533" w:rsidRPr="006F3533">
        <w:rPr>
          <w:b/>
          <w:bCs/>
          <w:lang w:val="bg-BG"/>
        </w:rPr>
        <w:t>. Национално и частно съфинансиране</w:t>
      </w:r>
    </w:p>
    <w:p w14:paraId="144B7C52" w14:textId="77777777" w:rsidR="006F3533" w:rsidRPr="006F3533" w:rsidRDefault="006F3533" w:rsidP="00480D32">
      <w:pPr>
        <w:jc w:val="both"/>
        <w:rPr>
          <w:lang w:val="bg-BG"/>
        </w:rPr>
      </w:pPr>
      <w:r w:rsidRPr="006F3533">
        <w:rPr>
          <w:lang w:val="bg-BG"/>
        </w:rPr>
        <w:lastRenderedPageBreak/>
        <w:t xml:space="preserve">Предвид мащаба на необходимите инвестиции до 2030 г., 2035 г. и 2050 г., </w:t>
      </w:r>
      <w:r w:rsidRPr="006F3533">
        <w:rPr>
          <w:b/>
          <w:bCs/>
          <w:lang w:val="bg-BG"/>
        </w:rPr>
        <w:t>активното участие на частни средства е неизбежно</w:t>
      </w:r>
      <w:r w:rsidRPr="006F3533">
        <w:rPr>
          <w:lang w:val="bg-BG"/>
        </w:rPr>
        <w:t>. Това включва:</w:t>
      </w:r>
    </w:p>
    <w:p w14:paraId="2EED0632" w14:textId="77777777" w:rsidR="006F3533" w:rsidRPr="006F3533" w:rsidRDefault="006F3533" w:rsidP="00480D32">
      <w:pPr>
        <w:numPr>
          <w:ilvl w:val="0"/>
          <w:numId w:val="143"/>
        </w:numPr>
        <w:jc w:val="both"/>
        <w:rPr>
          <w:lang w:val="bg-BG"/>
        </w:rPr>
      </w:pPr>
      <w:r w:rsidRPr="006F3533">
        <w:rPr>
          <w:lang w:val="bg-BG"/>
        </w:rPr>
        <w:t>собствени средства на домакинства и собственици на нежилищни сгради;</w:t>
      </w:r>
    </w:p>
    <w:p w14:paraId="56136CAD" w14:textId="77777777" w:rsidR="006F3533" w:rsidRPr="006F3533" w:rsidRDefault="006F3533" w:rsidP="00480D32">
      <w:pPr>
        <w:numPr>
          <w:ilvl w:val="0"/>
          <w:numId w:val="143"/>
        </w:numPr>
        <w:jc w:val="both"/>
        <w:rPr>
          <w:lang w:val="bg-BG"/>
        </w:rPr>
      </w:pPr>
      <w:r w:rsidRPr="006F3533">
        <w:rPr>
          <w:lang w:val="bg-BG"/>
        </w:rPr>
        <w:t>финансиране от търговски банки;</w:t>
      </w:r>
    </w:p>
    <w:p w14:paraId="423D11BF" w14:textId="77777777" w:rsidR="006F3533" w:rsidRPr="006F3533" w:rsidRDefault="006F3533" w:rsidP="00480D32">
      <w:pPr>
        <w:numPr>
          <w:ilvl w:val="0"/>
          <w:numId w:val="143"/>
        </w:numPr>
        <w:jc w:val="both"/>
        <w:rPr>
          <w:lang w:val="bg-BG"/>
        </w:rPr>
      </w:pPr>
      <w:r w:rsidRPr="006F3533">
        <w:rPr>
          <w:lang w:val="bg-BG"/>
        </w:rPr>
        <w:t>участие на ESCO и други пазарни механизми.</w:t>
      </w:r>
    </w:p>
    <w:p w14:paraId="3BDEB19E" w14:textId="77777777" w:rsidR="006F3533" w:rsidRPr="006F3533" w:rsidRDefault="006F3533" w:rsidP="00480D32">
      <w:pPr>
        <w:jc w:val="both"/>
        <w:rPr>
          <w:lang w:val="bg-BG"/>
        </w:rPr>
      </w:pPr>
      <w:r w:rsidRPr="006F3533">
        <w:rPr>
          <w:lang w:val="bg-BG"/>
        </w:rPr>
        <w:t xml:space="preserve">Мобилизирането на частен капитал е </w:t>
      </w:r>
      <w:r w:rsidRPr="006F3533">
        <w:rPr>
          <w:b/>
          <w:bCs/>
          <w:lang w:val="bg-BG"/>
        </w:rPr>
        <w:t>пряко обвързано с политически решения</w:t>
      </w:r>
      <w:r w:rsidRPr="006F3533">
        <w:rPr>
          <w:lang w:val="bg-BG"/>
        </w:rPr>
        <w:t>, които определят:</w:t>
      </w:r>
    </w:p>
    <w:p w14:paraId="6950BD15" w14:textId="2504ECBD" w:rsidR="006F3533" w:rsidRPr="006F3533" w:rsidRDefault="006F3533" w:rsidP="00480D32">
      <w:pPr>
        <w:numPr>
          <w:ilvl w:val="0"/>
          <w:numId w:val="144"/>
        </w:numPr>
        <w:jc w:val="both"/>
        <w:rPr>
          <w:lang w:val="bg-BG"/>
        </w:rPr>
      </w:pPr>
      <w:r w:rsidRPr="006F3533">
        <w:rPr>
          <w:lang w:val="bg-BG"/>
        </w:rPr>
        <w:t>формата и размера на публичната подкрепа;</w:t>
      </w:r>
    </w:p>
    <w:p w14:paraId="5972C1CB" w14:textId="77777777" w:rsidR="006F3533" w:rsidRPr="006F3533" w:rsidRDefault="006F3533" w:rsidP="00480D32">
      <w:pPr>
        <w:numPr>
          <w:ilvl w:val="0"/>
          <w:numId w:val="144"/>
        </w:numPr>
        <w:jc w:val="both"/>
        <w:rPr>
          <w:lang w:val="bg-BG"/>
        </w:rPr>
      </w:pPr>
      <w:r w:rsidRPr="006F3533">
        <w:rPr>
          <w:lang w:val="bg-BG"/>
        </w:rPr>
        <w:t>стимулите за инвестиции;</w:t>
      </w:r>
    </w:p>
    <w:p w14:paraId="2281698E" w14:textId="4437EFEF" w:rsidR="006F3533" w:rsidRDefault="006F3533" w:rsidP="00480D32">
      <w:pPr>
        <w:numPr>
          <w:ilvl w:val="0"/>
          <w:numId w:val="144"/>
        </w:numPr>
        <w:jc w:val="both"/>
        <w:rPr>
          <w:lang w:val="bg-BG"/>
        </w:rPr>
      </w:pPr>
      <w:r w:rsidRPr="006F3533">
        <w:rPr>
          <w:lang w:val="bg-BG"/>
        </w:rPr>
        <w:t>дългосрочната предвидимост на финансовата рамка</w:t>
      </w:r>
      <w:r>
        <w:rPr>
          <w:lang w:val="bg-BG"/>
        </w:rPr>
        <w:t>;</w:t>
      </w:r>
    </w:p>
    <w:p w14:paraId="31DE2535" w14:textId="1A61F89E" w:rsidR="006F3533" w:rsidRPr="008B7C6C" w:rsidRDefault="006F3533" w:rsidP="00480D32">
      <w:pPr>
        <w:numPr>
          <w:ilvl w:val="0"/>
          <w:numId w:val="144"/>
        </w:numPr>
        <w:jc w:val="both"/>
        <w:rPr>
          <w:lang w:val="bg-BG"/>
        </w:rPr>
      </w:pPr>
      <w:r>
        <w:rPr>
          <w:lang w:val="bg-BG"/>
        </w:rPr>
        <w:t xml:space="preserve">институционалната представителност, към настоящия момент насочена приоритетно към Националния фонд за </w:t>
      </w:r>
      <w:proofErr w:type="spellStart"/>
      <w:r>
        <w:rPr>
          <w:lang w:val="bg-BG"/>
        </w:rPr>
        <w:t>декарбонизация</w:t>
      </w:r>
      <w:proofErr w:type="spellEnd"/>
      <w:r>
        <w:rPr>
          <w:lang w:val="bg-BG"/>
        </w:rPr>
        <w:t>.</w:t>
      </w:r>
    </w:p>
    <w:p w14:paraId="23263582" w14:textId="77777777" w:rsidR="00B572B1" w:rsidRPr="006F3533" w:rsidRDefault="00B572B1" w:rsidP="00077D42">
      <w:pPr>
        <w:pStyle w:val="Heading2"/>
        <w:jc w:val="both"/>
        <w:rPr>
          <w:lang w:val="bg-BG"/>
        </w:rPr>
      </w:pPr>
      <w:bookmarkStart w:id="385" w:name="_Toc216857878"/>
      <w:bookmarkStart w:id="386" w:name="_Toc217888890"/>
      <w:r w:rsidRPr="006F3533">
        <w:rPr>
          <w:lang w:val="bg-BG"/>
        </w:rPr>
        <w:t xml:space="preserve">Национален фонд за </w:t>
      </w:r>
      <w:proofErr w:type="spellStart"/>
      <w:r w:rsidRPr="006F3533">
        <w:rPr>
          <w:lang w:val="bg-BG"/>
        </w:rPr>
        <w:t>декарбонизация</w:t>
      </w:r>
      <w:proofErr w:type="spellEnd"/>
      <w:r w:rsidRPr="006F3533">
        <w:rPr>
          <w:lang w:val="bg-BG"/>
        </w:rPr>
        <w:t xml:space="preserve"> – роля, функции и очакван принос за изпълнението на политиките за обновяване</w:t>
      </w:r>
      <w:bookmarkEnd w:id="385"/>
      <w:bookmarkEnd w:id="386"/>
    </w:p>
    <w:p w14:paraId="0BDF9060"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С приетите през ноември 2025 г. изменения в Закона за енергийната ефективност Националният фонд за </w:t>
      </w:r>
      <w:proofErr w:type="spellStart"/>
      <w:r w:rsidRPr="006F3533">
        <w:rPr>
          <w:rFonts w:cs="Times New Roman"/>
          <w:szCs w:val="24"/>
          <w:lang w:val="bg-BG"/>
        </w:rPr>
        <w:t>декарбонизация</w:t>
      </w:r>
      <w:proofErr w:type="spellEnd"/>
      <w:r w:rsidRPr="006F3533">
        <w:rPr>
          <w:rFonts w:cs="Times New Roman"/>
          <w:szCs w:val="24"/>
          <w:lang w:val="bg-BG"/>
        </w:rPr>
        <w:t xml:space="preserve"> (НФД) се утвърждава като централен, специализиран финансов механизъм за прилагане на националните политики за повишаване на енергийната ефективност и насърчаване на производството и потреблението на енергия от възобновяеми източници в сградите. Фондът е правоприемник на Фонд „Енергийна ефективност и възобновяеми източници“, като новата нормативна рамка значително разширява неговия обхват, инструменти и системна роля в изпълнението на стратегическите цели в сектора.</w:t>
      </w:r>
    </w:p>
    <w:p w14:paraId="1AB265AE"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В този смисъл НФД следва да функционира не като изолиран финансов инструмент, а като оперативен механизъм за изпълнение на държавната политика по обновяване на сградния фонд, в съответствие със Стратегията за устойчиво енергийно развитие на Република България, Интегрирания план „Енергетика и климат“ и Дългосрочната национална стратегия за обновяване на сградния фонд до 2050 г. Основната добавена стойност на фонда се състои в способността му да превежда тези стратегически цели в устойчиви, </w:t>
      </w:r>
      <w:proofErr w:type="spellStart"/>
      <w:r w:rsidRPr="006F3533">
        <w:rPr>
          <w:rFonts w:cs="Times New Roman"/>
          <w:szCs w:val="24"/>
          <w:lang w:val="bg-BG"/>
        </w:rPr>
        <w:t>мащабируеми</w:t>
      </w:r>
      <w:proofErr w:type="spellEnd"/>
      <w:r w:rsidRPr="006F3533">
        <w:rPr>
          <w:rFonts w:cs="Times New Roman"/>
          <w:szCs w:val="24"/>
          <w:lang w:val="bg-BG"/>
        </w:rPr>
        <w:t xml:space="preserve"> и финансово ефективни инвестиционни решения за различните категории сгради.</w:t>
      </w:r>
    </w:p>
    <w:p w14:paraId="3C79B3DA" w14:textId="1A536545" w:rsidR="003F78BF" w:rsidRPr="006F3533" w:rsidRDefault="003F78BF" w:rsidP="00077D42">
      <w:pPr>
        <w:spacing w:line="240" w:lineRule="auto"/>
        <w:jc w:val="both"/>
        <w:rPr>
          <w:rFonts w:cs="Times New Roman"/>
          <w:szCs w:val="24"/>
          <w:lang w:val="bg-BG"/>
        </w:rPr>
      </w:pPr>
      <w:r w:rsidRPr="006F3533">
        <w:rPr>
          <w:rFonts w:cs="Times New Roman"/>
          <w:szCs w:val="24"/>
          <w:lang w:val="bg-BG"/>
        </w:rPr>
        <w:t xml:space="preserve">Забавянето на пълноценната оперативна дейност на НФД през последните години води до измерими пропуснати ползи – както под формата на нереализирани енергийни спестявания, така и по отношение на пропуснатия ефект от мобилизация на частен капитал. </w:t>
      </w:r>
      <w:r w:rsidRPr="006F3533">
        <w:rPr>
          <w:rFonts w:cs="Times New Roman"/>
          <w:szCs w:val="24"/>
          <w:lang w:val="bg-BG"/>
        </w:rPr>
        <w:lastRenderedPageBreak/>
        <w:t>Публични анализи</w:t>
      </w:r>
      <w:r w:rsidRPr="006F3533">
        <w:rPr>
          <w:rStyle w:val="FootnoteReference"/>
          <w:rFonts w:cs="Times New Roman"/>
          <w:szCs w:val="24"/>
          <w:lang w:val="bg-BG"/>
        </w:rPr>
        <w:footnoteReference w:id="70"/>
      </w:r>
      <w:r w:rsidRPr="006F3533">
        <w:rPr>
          <w:rFonts w:cs="Times New Roman"/>
          <w:szCs w:val="24"/>
          <w:lang w:val="bg-BG"/>
        </w:rPr>
        <w:t xml:space="preserve"> и оценки сочат, че при липса на работещи финансови инструменти и регулярни програми за </w:t>
      </w:r>
      <w:proofErr w:type="spellStart"/>
      <w:r w:rsidRPr="006F3533">
        <w:rPr>
          <w:rFonts w:cs="Times New Roman"/>
          <w:szCs w:val="24"/>
          <w:lang w:val="bg-BG"/>
        </w:rPr>
        <w:t>възвръщаемо</w:t>
      </w:r>
      <w:proofErr w:type="spellEnd"/>
      <w:r w:rsidRPr="006F3533">
        <w:rPr>
          <w:rFonts w:cs="Times New Roman"/>
          <w:szCs w:val="24"/>
          <w:lang w:val="bg-BG"/>
        </w:rPr>
        <w:t xml:space="preserve"> финансиране се губят възможности за икономически и енергиен ефект, оценявани ориентировъчно на 70 милиона лева годишно. Това подчертава необходимостта НФД да бъде позициониран като постоянно действащ инвестиционен механизъм, а не като епизодичен програмен инструмент.</w:t>
      </w:r>
    </w:p>
    <w:p w14:paraId="48F37D88"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Очакваната функция на НФД може да бъде обобщена в няколко взаимно допълващи се роли:</w:t>
      </w:r>
    </w:p>
    <w:p w14:paraId="4023A286"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Първо, фондът следва да изпълнява ролята на основен механизъм за изпълнението на политики и мерки за сградно обновяване. Това означава разработване и прилагане на </w:t>
      </w:r>
      <w:r w:rsidRPr="006F3533">
        <w:rPr>
          <w:rFonts w:cs="Times New Roman"/>
          <w:b/>
          <w:bCs/>
          <w:szCs w:val="24"/>
          <w:lang w:val="bg-BG"/>
        </w:rPr>
        <w:t>целеви финансови продукти</w:t>
      </w:r>
      <w:r w:rsidRPr="006F3533">
        <w:rPr>
          <w:rFonts w:cs="Times New Roman"/>
          <w:szCs w:val="24"/>
          <w:lang w:val="bg-BG"/>
        </w:rPr>
        <w:t xml:space="preserve"> </w:t>
      </w:r>
      <w:r w:rsidRPr="006F3533">
        <w:rPr>
          <w:rFonts w:cs="Times New Roman"/>
          <w:b/>
          <w:bCs/>
          <w:szCs w:val="24"/>
          <w:lang w:val="bg-BG"/>
        </w:rPr>
        <w:t>за жилищни, публични и частни нежилищни сгради</w:t>
      </w:r>
      <w:r w:rsidRPr="006F3533">
        <w:rPr>
          <w:rFonts w:cs="Times New Roman"/>
          <w:szCs w:val="24"/>
          <w:lang w:val="bg-BG"/>
        </w:rPr>
        <w:t>, които да обхващат както мерки за енергийна ефективност, така и интегриране на възобновяеми енергийни източници, включително като част от цялостни пакети за дълбоко и поетапно обновяване. Чрез такава продуктова логика НФД може да осигури последователност и приемственост между отделните програмни периоди и да преодолее фрагментирания характер на досегашната подкрепа.</w:t>
      </w:r>
    </w:p>
    <w:p w14:paraId="321EB989"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Второ, НФД има ключова роля като инструмент за </w:t>
      </w:r>
      <w:r w:rsidRPr="006F3533">
        <w:rPr>
          <w:rFonts w:cs="Times New Roman"/>
          <w:b/>
          <w:bCs/>
          <w:szCs w:val="24"/>
          <w:lang w:val="bg-BG"/>
        </w:rPr>
        <w:t>мобилизиране на частен капитал и увеличаване на лостовия ефект на публичните средства</w:t>
      </w:r>
      <w:r w:rsidRPr="006F3533">
        <w:rPr>
          <w:rFonts w:cs="Times New Roman"/>
          <w:szCs w:val="24"/>
          <w:lang w:val="bg-BG"/>
        </w:rPr>
        <w:t xml:space="preserve">. Новата законова рамка изрично предвижда възможност за предоставяне на кредитни линии, гаранции и комбинирани финансови инструменти, както и за сключване на споразумения с финансови посредници. Това създава предпоставки за постепенно преминаване от доминиращия модел на еднократни </w:t>
      </w:r>
      <w:proofErr w:type="spellStart"/>
      <w:r w:rsidRPr="006F3533">
        <w:rPr>
          <w:rFonts w:cs="Times New Roman"/>
          <w:szCs w:val="24"/>
          <w:lang w:val="bg-BG"/>
        </w:rPr>
        <w:t>грантови</w:t>
      </w:r>
      <w:proofErr w:type="spellEnd"/>
      <w:r w:rsidRPr="006F3533">
        <w:rPr>
          <w:rFonts w:cs="Times New Roman"/>
          <w:szCs w:val="24"/>
          <w:lang w:val="bg-BG"/>
        </w:rPr>
        <w:t xml:space="preserve"> схеми към устойчиво комбинирано финансиране, при което безвъзмездната помощ се използва целево – за намаляване на инвестиционния риск, за покриване на социални аспекти и за стимулиране на пазара – а основният инвестиционен обем се осигурява чрез </w:t>
      </w:r>
      <w:proofErr w:type="spellStart"/>
      <w:r w:rsidRPr="006F3533">
        <w:rPr>
          <w:rFonts w:cs="Times New Roman"/>
          <w:szCs w:val="24"/>
          <w:lang w:val="bg-BG"/>
        </w:rPr>
        <w:t>възвръщаем</w:t>
      </w:r>
      <w:proofErr w:type="spellEnd"/>
      <w:r w:rsidRPr="006F3533">
        <w:rPr>
          <w:rFonts w:cs="Times New Roman"/>
          <w:szCs w:val="24"/>
          <w:lang w:val="bg-BG"/>
        </w:rPr>
        <w:t xml:space="preserve"> финансов ресурс.</w:t>
      </w:r>
    </w:p>
    <w:p w14:paraId="5FC081DA" w14:textId="3180FBD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Трето, фондът следва да бъде носител на </w:t>
      </w:r>
      <w:r w:rsidRPr="006F3533">
        <w:rPr>
          <w:rFonts w:cs="Times New Roman"/>
          <w:b/>
          <w:bCs/>
          <w:szCs w:val="24"/>
          <w:lang w:val="bg-BG"/>
        </w:rPr>
        <w:t>интегрирания подход „финансиране + техническа помощ“</w:t>
      </w:r>
      <w:r w:rsidRPr="006F3533">
        <w:rPr>
          <w:rFonts w:cs="Times New Roman"/>
          <w:szCs w:val="24"/>
          <w:lang w:val="bg-BG"/>
        </w:rPr>
        <w:t xml:space="preserve">. В закона е заложено НФД да осигурява обслужване на едно гише за предоставяне на техническа помощ, което е критично условие за реалното усвояване на финансовите инструменти, особено в жилищния сектор и при по-малки общини и бенефициенти с ограничен административен капацитет. Чрез системна техническа помощ, прилагана </w:t>
      </w:r>
      <w:r w:rsidR="00DC2D62" w:rsidRPr="006F3533">
        <w:rPr>
          <w:rFonts w:cs="Times New Roman"/>
          <w:szCs w:val="24"/>
          <w:lang w:val="bg-BG"/>
        </w:rPr>
        <w:t>чрез външни</w:t>
      </w:r>
      <w:r w:rsidRPr="006F3533">
        <w:rPr>
          <w:rFonts w:cs="Times New Roman"/>
          <w:szCs w:val="24"/>
          <w:lang w:val="bg-BG"/>
        </w:rPr>
        <w:t xml:space="preserve"> Центрове за комплексно обслужване по места (най-малко един на 80 000 население) – от подготовка на проекти и финансово структуриране до подкрепа при изпълнение и мониторинг – фондът може да повиши качеството на инвестициите и да гарантира постигането на измерими енергийни и климатични резултати</w:t>
      </w:r>
      <w:r w:rsidR="00DC2D62" w:rsidRPr="006F3533">
        <w:rPr>
          <w:rFonts w:cs="Times New Roman"/>
          <w:szCs w:val="24"/>
          <w:lang w:val="bg-BG"/>
        </w:rPr>
        <w:t xml:space="preserve">, като осигурява финансиране на ЦКО на база на реално привлечените проекти </w:t>
      </w:r>
      <w:r w:rsidRPr="006F3533">
        <w:rPr>
          <w:rFonts w:cs="Times New Roman"/>
          <w:szCs w:val="24"/>
          <w:lang w:val="bg-BG"/>
        </w:rPr>
        <w:t>.</w:t>
      </w:r>
      <w:r w:rsidR="003F78BF" w:rsidRPr="006F3533">
        <w:rPr>
          <w:rFonts w:cs="Times New Roman"/>
          <w:szCs w:val="24"/>
          <w:lang w:val="bg-BG"/>
        </w:rPr>
        <w:t xml:space="preserve"> В контекста на нарастващите цели по МСЕХ и изискванията за </w:t>
      </w:r>
      <w:proofErr w:type="spellStart"/>
      <w:r w:rsidR="003F78BF" w:rsidRPr="006F3533">
        <w:rPr>
          <w:rFonts w:cs="Times New Roman"/>
          <w:szCs w:val="24"/>
          <w:lang w:val="bg-BG"/>
        </w:rPr>
        <w:t>нулевоемисионни</w:t>
      </w:r>
      <w:proofErr w:type="spellEnd"/>
      <w:r w:rsidR="003F78BF" w:rsidRPr="006F3533">
        <w:rPr>
          <w:rFonts w:cs="Times New Roman"/>
          <w:szCs w:val="24"/>
          <w:lang w:val="bg-BG"/>
        </w:rPr>
        <w:t xml:space="preserve"> сгради, именно този </w:t>
      </w:r>
      <w:r w:rsidR="003F78BF" w:rsidRPr="006F3533">
        <w:rPr>
          <w:rFonts w:cs="Times New Roman"/>
          <w:szCs w:val="24"/>
          <w:lang w:val="bg-BG"/>
        </w:rPr>
        <w:lastRenderedPageBreak/>
        <w:t>лостов ефект е решаващ за постигане на необходимия темп на обновяване без непропорционално натоварване на публичните бюджети.</w:t>
      </w:r>
    </w:p>
    <w:p w14:paraId="7742742A"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Четвърто, НФД следва да осигури рамка за прилагане на принципа на социално балансирано комбинирано финансиране. Това включва възможност за ясно разграничаване и съчетаване на различни нива на подкрепа – </w:t>
      </w:r>
      <w:proofErr w:type="spellStart"/>
      <w:r w:rsidRPr="006F3533">
        <w:rPr>
          <w:rFonts w:cs="Times New Roman"/>
          <w:szCs w:val="24"/>
          <w:lang w:val="bg-BG"/>
        </w:rPr>
        <w:t>възвръщаем</w:t>
      </w:r>
      <w:proofErr w:type="spellEnd"/>
      <w:r w:rsidRPr="006F3533">
        <w:rPr>
          <w:rFonts w:cs="Times New Roman"/>
          <w:szCs w:val="24"/>
          <w:lang w:val="bg-BG"/>
        </w:rPr>
        <w:t xml:space="preserve"> финансов ресурс, частичен грант и </w:t>
      </w:r>
      <w:r w:rsidRPr="006F3533">
        <w:rPr>
          <w:rFonts w:cs="Times New Roman"/>
          <w:b/>
          <w:bCs/>
          <w:szCs w:val="24"/>
          <w:lang w:val="bg-BG"/>
        </w:rPr>
        <w:t>допълнителна целева помощ за енергийно бедни и уязвими домакинства</w:t>
      </w:r>
      <w:r w:rsidRPr="006F3533">
        <w:rPr>
          <w:rFonts w:cs="Times New Roman"/>
          <w:szCs w:val="24"/>
          <w:lang w:val="bg-BG"/>
        </w:rPr>
        <w:t>. По този начин фондът може да се превърне в ключов инструмент за ефективно използване на бъдещи ресурси, включително по Социалния климатичен фонд, без да се компрометира финансовата устойчивост на инвестиционните схеми.</w:t>
      </w:r>
    </w:p>
    <w:p w14:paraId="4B6F65A5"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Накрая, институционалната уредба на НФД – с участие на държавни институции, общини и неправителствени организации в управленските му органи, както и с изисквания за прозрачност и съответствие с добрите практики на ОИСР – създава предпоставки фондът да се развие като дългосрочен, доверен и пазарно ориентиран инструмент, способен да акумулира разнообразни източници на финансиране и да ги насочва стратегически към обновяването на сградния фонд.</w:t>
      </w:r>
    </w:p>
    <w:p w14:paraId="0B9B447C"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В този контекст Националният фонд за </w:t>
      </w:r>
      <w:proofErr w:type="spellStart"/>
      <w:r w:rsidRPr="006F3533">
        <w:rPr>
          <w:rFonts w:cs="Times New Roman"/>
          <w:szCs w:val="24"/>
          <w:lang w:val="bg-BG"/>
        </w:rPr>
        <w:t>декарбонизация</w:t>
      </w:r>
      <w:proofErr w:type="spellEnd"/>
      <w:r w:rsidRPr="006F3533">
        <w:rPr>
          <w:rFonts w:cs="Times New Roman"/>
          <w:szCs w:val="24"/>
          <w:lang w:val="bg-BG"/>
        </w:rPr>
        <w:t xml:space="preserve"> не следва да се разглежда като поредната програма за финансиране, а като системен елемент на архитектурата на политиките за енергиен преход в сградния сектор, чиято ефективност ще бъде определяща за постигането на националните и европейските цели до 2030 г. и в дългосрочен план до 2050 г.</w:t>
      </w:r>
    </w:p>
    <w:p w14:paraId="5E9EFED8" w14:textId="77777777" w:rsidR="00B572B1" w:rsidRPr="006F3533" w:rsidRDefault="00B572B1" w:rsidP="00077D42">
      <w:pPr>
        <w:pStyle w:val="Heading2"/>
        <w:jc w:val="both"/>
        <w:rPr>
          <w:lang w:val="bg-BG"/>
        </w:rPr>
      </w:pPr>
      <w:bookmarkStart w:id="387" w:name="_Toc216857879"/>
      <w:bookmarkStart w:id="388" w:name="_Toc217888891"/>
      <w:r w:rsidRPr="006F3533">
        <w:rPr>
          <w:lang w:val="bg-BG"/>
        </w:rPr>
        <w:t>Допълващи финансови инструменти за изпълнение на политиките за сградно обновяване</w:t>
      </w:r>
      <w:bookmarkEnd w:id="387"/>
      <w:bookmarkEnd w:id="388"/>
    </w:p>
    <w:p w14:paraId="14A38E58"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Ефективното изпълнение на политиките за обновяване на сградния фонд изисква използването на </w:t>
      </w:r>
      <w:r w:rsidRPr="006F3533">
        <w:rPr>
          <w:rFonts w:cs="Times New Roman"/>
          <w:b/>
          <w:bCs/>
          <w:szCs w:val="24"/>
          <w:lang w:val="bg-BG"/>
        </w:rPr>
        <w:t>портфейл от допълващи се финансови инструменти</w:t>
      </w:r>
      <w:r w:rsidRPr="006F3533">
        <w:rPr>
          <w:rFonts w:cs="Times New Roman"/>
          <w:szCs w:val="24"/>
          <w:lang w:val="bg-BG"/>
        </w:rPr>
        <w:t xml:space="preserve">, прилагани в координация с Националния фонд за </w:t>
      </w:r>
      <w:proofErr w:type="spellStart"/>
      <w:r w:rsidRPr="006F3533">
        <w:rPr>
          <w:rFonts w:cs="Times New Roman"/>
          <w:szCs w:val="24"/>
          <w:lang w:val="bg-BG"/>
        </w:rPr>
        <w:t>декарбонизация</w:t>
      </w:r>
      <w:proofErr w:type="spellEnd"/>
      <w:r w:rsidRPr="006F3533">
        <w:rPr>
          <w:rFonts w:cs="Times New Roman"/>
          <w:szCs w:val="24"/>
          <w:lang w:val="bg-BG"/>
        </w:rPr>
        <w:t>. Анализът на досегашната практика и стратегическите документи показва, че редица подходи са идентифицирани и концептуално развити, но остават недостатъчно използвани или прилагани фрагментарно.</w:t>
      </w:r>
    </w:p>
    <w:p w14:paraId="316A21E8" w14:textId="77777777" w:rsidR="00DE5937" w:rsidRPr="006F3533" w:rsidRDefault="00B572B1" w:rsidP="00077D42">
      <w:pPr>
        <w:spacing w:line="240" w:lineRule="auto"/>
        <w:jc w:val="both"/>
        <w:rPr>
          <w:rFonts w:cs="Times New Roman"/>
          <w:b/>
          <w:bCs/>
          <w:szCs w:val="24"/>
          <w:lang w:val="bg-BG"/>
        </w:rPr>
      </w:pPr>
      <w:r w:rsidRPr="006F3533">
        <w:rPr>
          <w:rFonts w:cs="Times New Roman"/>
          <w:b/>
          <w:bCs/>
          <w:szCs w:val="24"/>
          <w:lang w:val="bg-BG"/>
        </w:rPr>
        <w:t>1. Гаранционни механизми и инструменти за подялба на риска</w:t>
      </w:r>
      <w:r w:rsidR="00DE5937" w:rsidRPr="006F3533">
        <w:rPr>
          <w:rFonts w:cs="Times New Roman"/>
          <w:b/>
          <w:bCs/>
          <w:szCs w:val="24"/>
          <w:lang w:val="bg-BG"/>
        </w:rPr>
        <w:t xml:space="preserve"> </w:t>
      </w:r>
    </w:p>
    <w:p w14:paraId="619892B2" w14:textId="76FF7CF5" w:rsidR="00B572B1" w:rsidRPr="006F3533" w:rsidRDefault="00B572B1" w:rsidP="00077D42">
      <w:pPr>
        <w:spacing w:line="240" w:lineRule="auto"/>
        <w:jc w:val="both"/>
        <w:rPr>
          <w:rFonts w:cs="Times New Roman"/>
          <w:szCs w:val="24"/>
          <w:lang w:val="bg-BG"/>
        </w:rPr>
      </w:pPr>
      <w:r w:rsidRPr="006F3533">
        <w:rPr>
          <w:rFonts w:cs="Times New Roman"/>
          <w:szCs w:val="24"/>
          <w:lang w:val="bg-BG"/>
        </w:rPr>
        <w:t>Гаранционните схеми представляват ключов инструмент за намаляване на възприемания кредитен риск и за активиране на търговските банки и други финансови институции в сектора на сградното обновяване. Те са особено релевантни за жилищни сгради, публични сгради и малки и средни предприятия, при които липсата на обезпечения или дългият срок на възвръщаемост ограничават достъпа до кредитиране.</w:t>
      </w:r>
      <w:r w:rsidR="00582C5B" w:rsidRPr="006F3533">
        <w:rPr>
          <w:rFonts w:cs="Times New Roman"/>
          <w:szCs w:val="24"/>
          <w:lang w:val="bg-BG"/>
        </w:rPr>
        <w:t xml:space="preserve"> </w:t>
      </w:r>
      <w:r w:rsidRPr="006F3533">
        <w:rPr>
          <w:rFonts w:cs="Times New Roman"/>
          <w:szCs w:val="24"/>
          <w:lang w:val="bg-BG"/>
        </w:rPr>
        <w:t xml:space="preserve">В този контекст </w:t>
      </w:r>
      <w:r w:rsidRPr="006F3533">
        <w:rPr>
          <w:rFonts w:cs="Times New Roman"/>
          <w:b/>
          <w:bCs/>
          <w:szCs w:val="24"/>
          <w:lang w:val="bg-BG"/>
        </w:rPr>
        <w:t>НФД може да играе водеща роля</w:t>
      </w:r>
      <w:r w:rsidRPr="006F3533">
        <w:rPr>
          <w:rFonts w:cs="Times New Roman"/>
          <w:szCs w:val="24"/>
          <w:lang w:val="bg-BG"/>
        </w:rPr>
        <w:t xml:space="preserve"> чрез разработване и прилагане на национални и </w:t>
      </w:r>
      <w:proofErr w:type="spellStart"/>
      <w:r w:rsidRPr="006F3533">
        <w:rPr>
          <w:rFonts w:cs="Times New Roman"/>
          <w:szCs w:val="24"/>
          <w:lang w:val="bg-BG"/>
        </w:rPr>
        <w:t>портфейлни</w:t>
      </w:r>
      <w:proofErr w:type="spellEnd"/>
      <w:r w:rsidRPr="006F3533">
        <w:rPr>
          <w:rFonts w:cs="Times New Roman"/>
          <w:szCs w:val="24"/>
          <w:lang w:val="bg-BG"/>
        </w:rPr>
        <w:t xml:space="preserve"> гаранции, включително в партньорство с банки и други финансови посредници, като по този начин се осигури системна подялба на риска и устойчиво мобилизиране на частен капитал.</w:t>
      </w:r>
    </w:p>
    <w:p w14:paraId="2A6DE9D8" w14:textId="77777777" w:rsidR="00DE5937" w:rsidRPr="006F3533" w:rsidRDefault="00B572B1" w:rsidP="00077D42">
      <w:pPr>
        <w:spacing w:line="240" w:lineRule="auto"/>
        <w:jc w:val="both"/>
        <w:rPr>
          <w:rFonts w:cs="Times New Roman"/>
          <w:b/>
          <w:bCs/>
          <w:szCs w:val="24"/>
          <w:lang w:val="bg-BG"/>
        </w:rPr>
      </w:pPr>
      <w:r w:rsidRPr="006F3533">
        <w:rPr>
          <w:rFonts w:cs="Times New Roman"/>
          <w:b/>
          <w:bCs/>
          <w:szCs w:val="24"/>
          <w:lang w:val="bg-BG"/>
        </w:rPr>
        <w:t>2. Специализирани кредитни линии и револвиращи фондове</w:t>
      </w:r>
    </w:p>
    <w:p w14:paraId="35409081" w14:textId="1DBB02FA"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Кредитните линии и револвиращите фондове са утвърден инструмент за дългосрочно финансиране на мерки за енергийна ефективност и ВИ, при който </w:t>
      </w:r>
      <w:proofErr w:type="spellStart"/>
      <w:r w:rsidRPr="006F3533">
        <w:rPr>
          <w:rFonts w:cs="Times New Roman"/>
          <w:szCs w:val="24"/>
          <w:lang w:val="bg-BG"/>
        </w:rPr>
        <w:t>възвръщаемият</w:t>
      </w:r>
      <w:proofErr w:type="spellEnd"/>
      <w:r w:rsidRPr="006F3533">
        <w:rPr>
          <w:rFonts w:cs="Times New Roman"/>
          <w:szCs w:val="24"/>
          <w:lang w:val="bg-BG"/>
        </w:rPr>
        <w:t xml:space="preserve"> ресурс </w:t>
      </w:r>
      <w:r w:rsidRPr="006F3533">
        <w:rPr>
          <w:rFonts w:cs="Times New Roman"/>
          <w:szCs w:val="24"/>
          <w:lang w:val="bg-BG"/>
        </w:rPr>
        <w:lastRenderedPageBreak/>
        <w:t xml:space="preserve">се използва многократно. Те са приложими както на национално, така и на местно ниво, включително под формата на </w:t>
      </w:r>
      <w:r w:rsidRPr="006F3533">
        <w:rPr>
          <w:rFonts w:cs="Times New Roman"/>
          <w:b/>
          <w:bCs/>
          <w:szCs w:val="24"/>
          <w:lang w:val="bg-BG"/>
        </w:rPr>
        <w:t>общински револвиращи фондове</w:t>
      </w:r>
      <w:r w:rsidRPr="006F3533">
        <w:rPr>
          <w:rFonts w:cs="Times New Roman"/>
          <w:szCs w:val="24"/>
          <w:lang w:val="bg-BG"/>
        </w:rPr>
        <w:t>, които отговарят на специфичните нужди и приоритети на дадена територия.</w:t>
      </w:r>
      <w:r w:rsidRPr="006F3533">
        <w:rPr>
          <w:rFonts w:cs="Times New Roman"/>
          <w:szCs w:val="24"/>
          <w:lang w:val="bg-BG"/>
        </w:rPr>
        <w:br/>
        <w:t>НФД може да изпълнява координираща и капитализираща функция по отношение на такива фондове – чрез предоставяне на начален капитал, съфинансиране, гаранции или стандартизирани финансови продукти – като по този начин се създаде многостепенна система за финансиране, обвързана с националните цели, но прилагана близо до крайните бенефициенти.</w:t>
      </w:r>
    </w:p>
    <w:p w14:paraId="085EEDC5" w14:textId="77777777" w:rsidR="00DE5937" w:rsidRPr="006F3533" w:rsidRDefault="00B572B1" w:rsidP="00077D42">
      <w:pPr>
        <w:spacing w:line="240" w:lineRule="auto"/>
        <w:jc w:val="both"/>
        <w:rPr>
          <w:rFonts w:cs="Times New Roman"/>
          <w:b/>
          <w:bCs/>
          <w:szCs w:val="24"/>
          <w:lang w:val="bg-BG"/>
        </w:rPr>
      </w:pPr>
      <w:r w:rsidRPr="006F3533">
        <w:rPr>
          <w:rFonts w:cs="Times New Roman"/>
          <w:b/>
          <w:bCs/>
          <w:szCs w:val="24"/>
          <w:lang w:val="bg-BG"/>
        </w:rPr>
        <w:t xml:space="preserve">3. Договори с гарантиран резултат и </w:t>
      </w:r>
      <w:proofErr w:type="spellStart"/>
      <w:r w:rsidRPr="006F3533">
        <w:rPr>
          <w:rFonts w:cs="Times New Roman"/>
          <w:b/>
          <w:bCs/>
          <w:szCs w:val="24"/>
          <w:lang w:val="bg-BG"/>
        </w:rPr>
        <w:t>енергийноефективни</w:t>
      </w:r>
      <w:proofErr w:type="spellEnd"/>
      <w:r w:rsidRPr="006F3533">
        <w:rPr>
          <w:rFonts w:cs="Times New Roman"/>
          <w:b/>
          <w:bCs/>
          <w:szCs w:val="24"/>
          <w:lang w:val="bg-BG"/>
        </w:rPr>
        <w:t xml:space="preserve"> услуги (ЕСКО)</w:t>
      </w:r>
    </w:p>
    <w:p w14:paraId="08F4768A" w14:textId="6B49C6DD" w:rsidR="00B572B1" w:rsidRPr="006F3533" w:rsidRDefault="00B572B1" w:rsidP="00077D42">
      <w:pPr>
        <w:spacing w:line="240" w:lineRule="auto"/>
        <w:jc w:val="both"/>
        <w:rPr>
          <w:rFonts w:cs="Times New Roman"/>
          <w:szCs w:val="24"/>
          <w:lang w:val="bg-BG"/>
        </w:rPr>
      </w:pPr>
      <w:r w:rsidRPr="006F3533">
        <w:rPr>
          <w:rFonts w:cs="Times New Roman"/>
          <w:szCs w:val="24"/>
          <w:lang w:val="bg-BG"/>
        </w:rPr>
        <w:t>ЕСКО моделът и договорите с гарантиран енергиен резултат са особено подходящи за публични и нежилищни сгради, тъй като прехвърлят техническия и финансовия риск към изпълнителя и обвързват плащанията с реално постигнати спестявания. Въпреки нормативните предпоставки, тяхното приложение остава ограничено.</w:t>
      </w:r>
      <w:r w:rsidRPr="006F3533">
        <w:rPr>
          <w:rFonts w:cs="Times New Roman"/>
          <w:szCs w:val="24"/>
          <w:lang w:val="bg-BG"/>
        </w:rPr>
        <w:br/>
        <w:t xml:space="preserve">Финансовите инструменти на НФД могат да бъдат използвани за подкрепа на този пазар – чрез кредитиране или гарантиране на ЕСКО проекти, както и чрез комбиниране с ограничен </w:t>
      </w:r>
      <w:proofErr w:type="spellStart"/>
      <w:r w:rsidRPr="006F3533">
        <w:rPr>
          <w:rFonts w:cs="Times New Roman"/>
          <w:szCs w:val="24"/>
          <w:lang w:val="bg-BG"/>
        </w:rPr>
        <w:t>грантов</w:t>
      </w:r>
      <w:proofErr w:type="spellEnd"/>
      <w:r w:rsidRPr="006F3533">
        <w:rPr>
          <w:rFonts w:cs="Times New Roman"/>
          <w:szCs w:val="24"/>
          <w:lang w:val="bg-BG"/>
        </w:rPr>
        <w:t xml:space="preserve"> компонент при по-дълбоки обновявания.</w:t>
      </w:r>
    </w:p>
    <w:p w14:paraId="5DF47934" w14:textId="77777777" w:rsidR="00DE5937" w:rsidRPr="006F3533" w:rsidRDefault="00B572B1" w:rsidP="00077D42">
      <w:pPr>
        <w:spacing w:line="240" w:lineRule="auto"/>
        <w:jc w:val="both"/>
        <w:rPr>
          <w:rFonts w:cs="Times New Roman"/>
          <w:b/>
          <w:bCs/>
          <w:szCs w:val="24"/>
          <w:lang w:val="bg-BG"/>
        </w:rPr>
      </w:pPr>
      <w:r w:rsidRPr="006F3533">
        <w:rPr>
          <w:rFonts w:cs="Times New Roman"/>
          <w:b/>
          <w:bCs/>
          <w:szCs w:val="24"/>
          <w:lang w:val="bg-BG"/>
        </w:rPr>
        <w:t>4. Техническа помощ за подготовка и структуриране на проекти</w:t>
      </w:r>
    </w:p>
    <w:p w14:paraId="25743F29" w14:textId="5D1E8995"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Липсата на подготвени и финансово структурирани проекти остава основна бариера пред усвояването на финансови инструменти. Осигуряването на целева техническа помощ – за енергийни и технически обследвания, инвестиционни планове, финансови модели и тръжна документация – е ключово допълнение към всеки </w:t>
      </w:r>
      <w:proofErr w:type="spellStart"/>
      <w:r w:rsidRPr="006F3533">
        <w:rPr>
          <w:rFonts w:cs="Times New Roman"/>
          <w:szCs w:val="24"/>
          <w:lang w:val="bg-BG"/>
        </w:rPr>
        <w:t>възвръщаем</w:t>
      </w:r>
      <w:proofErr w:type="spellEnd"/>
      <w:r w:rsidRPr="006F3533">
        <w:rPr>
          <w:rFonts w:cs="Times New Roman"/>
          <w:szCs w:val="24"/>
          <w:lang w:val="bg-BG"/>
        </w:rPr>
        <w:t xml:space="preserve"> инструмент.</w:t>
      </w:r>
      <w:r w:rsidR="00582C5B" w:rsidRPr="006F3533">
        <w:rPr>
          <w:rFonts w:cs="Times New Roman"/>
          <w:szCs w:val="24"/>
          <w:lang w:val="bg-BG"/>
        </w:rPr>
        <w:t xml:space="preserve"> </w:t>
      </w:r>
      <w:r w:rsidRPr="006F3533">
        <w:rPr>
          <w:rFonts w:cs="Times New Roman"/>
          <w:szCs w:val="24"/>
          <w:lang w:val="bg-BG"/>
        </w:rPr>
        <w:t xml:space="preserve">Тази функция следва да бъде системно интегрирана в дейността на НФД, включително чрез комбиниране с </w:t>
      </w:r>
      <w:r w:rsidR="008B7C6C">
        <w:rPr>
          <w:rFonts w:cs="Times New Roman"/>
          <w:szCs w:val="24"/>
          <w:lang w:val="bg-BG"/>
        </w:rPr>
        <w:t xml:space="preserve">описаните по-горе </w:t>
      </w:r>
      <w:r w:rsidRPr="006F3533">
        <w:rPr>
          <w:rFonts w:cs="Times New Roman"/>
          <w:szCs w:val="24"/>
          <w:lang w:val="bg-BG"/>
        </w:rPr>
        <w:t>европейски механизми за техническа помощ при по-големи инвестиционни програми</w:t>
      </w:r>
      <w:r w:rsidR="008B7C6C">
        <w:rPr>
          <w:rFonts w:cs="Times New Roman"/>
          <w:szCs w:val="24"/>
          <w:lang w:val="bg-BG"/>
        </w:rPr>
        <w:t>, като следва да се осъществява от местни ЦКО, които да получават възнаграждение за тази дейност въз основа на инвестиционния обем на привлечените проекти.</w:t>
      </w:r>
    </w:p>
    <w:p w14:paraId="03D18D52" w14:textId="77777777" w:rsidR="00DE5937" w:rsidRPr="006F3533" w:rsidRDefault="00B572B1" w:rsidP="00077D42">
      <w:pPr>
        <w:spacing w:line="240" w:lineRule="auto"/>
        <w:jc w:val="both"/>
        <w:rPr>
          <w:rFonts w:cs="Times New Roman"/>
          <w:b/>
          <w:bCs/>
          <w:szCs w:val="24"/>
          <w:lang w:val="bg-BG"/>
        </w:rPr>
      </w:pPr>
      <w:r w:rsidRPr="006F3533">
        <w:rPr>
          <w:rFonts w:cs="Times New Roman"/>
          <w:b/>
          <w:bCs/>
          <w:szCs w:val="24"/>
          <w:lang w:val="bg-BG"/>
        </w:rPr>
        <w:t>5. Европейски инициативи за фондове за сградно обновяване</w:t>
      </w:r>
    </w:p>
    <w:p w14:paraId="77A7D61E" w14:textId="3973D8A0"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На европейско ниво се обсъжда създаването на </w:t>
      </w:r>
      <w:r w:rsidRPr="006F3533">
        <w:rPr>
          <w:rFonts w:cs="Times New Roman"/>
          <w:b/>
          <w:bCs/>
          <w:szCs w:val="24"/>
          <w:lang w:val="bg-BG"/>
        </w:rPr>
        <w:t>специализиран европейски фонд или платформа за сградно обновяване</w:t>
      </w:r>
      <w:r w:rsidRPr="006F3533">
        <w:rPr>
          <w:rFonts w:cs="Times New Roman"/>
          <w:szCs w:val="24"/>
          <w:lang w:val="bg-BG"/>
        </w:rPr>
        <w:t>, насочена към подпомагане на държавите членки при мащабиране на инвестициите и комбиниране на публични и частни ресурси. Подобен инструмент би могъл да осигури допълнителна капитализация, гаранции или съфинансиране за национални фондове.</w:t>
      </w:r>
      <w:r w:rsidR="00582C5B" w:rsidRPr="006F3533">
        <w:rPr>
          <w:rFonts w:cs="Times New Roman"/>
          <w:szCs w:val="24"/>
          <w:lang w:val="bg-BG"/>
        </w:rPr>
        <w:t xml:space="preserve"> </w:t>
      </w:r>
      <w:r w:rsidRPr="006F3533">
        <w:rPr>
          <w:rFonts w:cs="Times New Roman"/>
          <w:szCs w:val="24"/>
          <w:lang w:val="bg-BG"/>
        </w:rPr>
        <w:t>В този контекст НФД следва да бъде подготвен да функционира като национален партньор и канал за такъв европейски ресурс, в съответствие с националните приоритети и регулаторна рамка.</w:t>
      </w:r>
    </w:p>
    <w:p w14:paraId="3B033049" w14:textId="77777777" w:rsidR="00DE5937" w:rsidRPr="006F3533" w:rsidRDefault="00B572B1" w:rsidP="00077D42">
      <w:pPr>
        <w:spacing w:line="240" w:lineRule="auto"/>
        <w:jc w:val="both"/>
        <w:rPr>
          <w:rFonts w:cs="Times New Roman"/>
          <w:b/>
          <w:bCs/>
          <w:szCs w:val="24"/>
          <w:lang w:val="bg-BG"/>
        </w:rPr>
      </w:pPr>
      <w:r w:rsidRPr="006F3533">
        <w:rPr>
          <w:rFonts w:cs="Times New Roman"/>
          <w:b/>
          <w:bCs/>
          <w:szCs w:val="24"/>
          <w:lang w:val="bg-BG"/>
        </w:rPr>
        <w:t>6. Фонд мениджър на финансови инструменти в България (ФМФИБ)</w:t>
      </w:r>
    </w:p>
    <w:p w14:paraId="7CCE2F03" w14:textId="0D957DAE"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Фонд мениджърът на финансови инструменти в България (ФМФИБ) има ключова роля в структурирането и управлението на финансови инструменти със средства от европейските фондове и програми, включително в областта на градското развитие и енергийната ефективност. Натрупаният опит от прилагането на финансови инструменти по Оперативна </w:t>
      </w:r>
      <w:r w:rsidRPr="006F3533">
        <w:rPr>
          <w:rFonts w:cs="Times New Roman"/>
          <w:szCs w:val="24"/>
          <w:lang w:val="bg-BG"/>
        </w:rPr>
        <w:lastRenderedPageBreak/>
        <w:t xml:space="preserve">програма „Региони в растеж“ 2014–2020, включително чрез фондовете за градско развитие, показва потенциала на този модел за комбиниране на безвъзмездна помощ и </w:t>
      </w:r>
      <w:proofErr w:type="spellStart"/>
      <w:r w:rsidRPr="006F3533">
        <w:rPr>
          <w:rFonts w:cs="Times New Roman"/>
          <w:szCs w:val="24"/>
          <w:lang w:val="bg-BG"/>
        </w:rPr>
        <w:t>възвръщаем</w:t>
      </w:r>
      <w:proofErr w:type="spellEnd"/>
      <w:r w:rsidRPr="006F3533">
        <w:rPr>
          <w:rFonts w:cs="Times New Roman"/>
          <w:szCs w:val="24"/>
          <w:lang w:val="bg-BG"/>
        </w:rPr>
        <w:t xml:space="preserve"> финансов ресурс, както и за предоставяне на съпътстваща техническа помощ.</w:t>
      </w:r>
    </w:p>
    <w:p w14:paraId="0CEE7882" w14:textId="7777777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В контекста на бъдещото прилагане на Програма „Развитие на регионите“ 2021–2027 и на създаването на Националния фонд за </w:t>
      </w:r>
      <w:proofErr w:type="spellStart"/>
      <w:r w:rsidRPr="006F3533">
        <w:rPr>
          <w:rFonts w:cs="Times New Roman"/>
          <w:szCs w:val="24"/>
          <w:lang w:val="bg-BG"/>
        </w:rPr>
        <w:t>декарбонизация</w:t>
      </w:r>
      <w:proofErr w:type="spellEnd"/>
      <w:r w:rsidRPr="006F3533">
        <w:rPr>
          <w:rFonts w:cs="Times New Roman"/>
          <w:szCs w:val="24"/>
          <w:lang w:val="bg-BG"/>
        </w:rPr>
        <w:t xml:space="preserve">, ФМФИБ може да бъде използван като </w:t>
      </w:r>
      <w:r w:rsidRPr="006F3533">
        <w:rPr>
          <w:rFonts w:cs="Times New Roman"/>
          <w:b/>
          <w:bCs/>
          <w:szCs w:val="24"/>
          <w:lang w:val="bg-BG"/>
        </w:rPr>
        <w:t>допълващ и координиран инструмент</w:t>
      </w:r>
      <w:r w:rsidRPr="006F3533">
        <w:rPr>
          <w:rFonts w:cs="Times New Roman"/>
          <w:szCs w:val="24"/>
          <w:lang w:val="bg-BG"/>
        </w:rPr>
        <w:t xml:space="preserve"> за разработване и управление на целеви финансови продукти за сградно обновяване. Това включва възможности за съвместни схеми, при които ФМФИБ осигурява стратегическата рамка, тематичния фокус и част от ресурса (включително гаранции или </w:t>
      </w:r>
      <w:proofErr w:type="spellStart"/>
      <w:r w:rsidRPr="006F3533">
        <w:rPr>
          <w:rFonts w:cs="Times New Roman"/>
          <w:szCs w:val="24"/>
          <w:lang w:val="bg-BG"/>
        </w:rPr>
        <w:t>грантов</w:t>
      </w:r>
      <w:proofErr w:type="spellEnd"/>
      <w:r w:rsidRPr="006F3533">
        <w:rPr>
          <w:rFonts w:cs="Times New Roman"/>
          <w:szCs w:val="24"/>
          <w:lang w:val="bg-BG"/>
        </w:rPr>
        <w:t xml:space="preserve"> компонент), а НФД – структуриране, управление и привличане на допълнителни средства от европейските фондове и частния сектор.</w:t>
      </w:r>
    </w:p>
    <w:p w14:paraId="7C9D20BF" w14:textId="19040464" w:rsidR="00B572B1" w:rsidRPr="006F3533" w:rsidRDefault="00B572B1" w:rsidP="00077D42">
      <w:pPr>
        <w:spacing w:line="240" w:lineRule="auto"/>
        <w:jc w:val="both"/>
        <w:rPr>
          <w:rFonts w:cs="Times New Roman"/>
          <w:szCs w:val="24"/>
          <w:lang w:val="bg-BG"/>
        </w:rPr>
      </w:pPr>
      <w:r w:rsidRPr="006F3533">
        <w:rPr>
          <w:rFonts w:cs="Times New Roman"/>
          <w:szCs w:val="24"/>
          <w:lang w:val="bg-BG"/>
        </w:rPr>
        <w:t>Подобно взаимодействие би позволило да се избегне дублиране на функции, да се използва натрупаният административен и финансов капацитет и да се осигури по-голям мащаб и устойчивост на инвестициите в обновяване на сградния фонд, особено в градските територии и при интегрирани териториални подходи.</w:t>
      </w:r>
    </w:p>
    <w:p w14:paraId="50506E13" w14:textId="77777777" w:rsidR="00DE5937" w:rsidRPr="006F3533" w:rsidRDefault="00B572B1" w:rsidP="00077D42">
      <w:pPr>
        <w:spacing w:line="240" w:lineRule="auto"/>
        <w:jc w:val="both"/>
        <w:rPr>
          <w:rFonts w:cs="Times New Roman"/>
          <w:b/>
          <w:bCs/>
          <w:szCs w:val="24"/>
          <w:lang w:val="bg-BG"/>
        </w:rPr>
      </w:pPr>
      <w:r w:rsidRPr="006F3533">
        <w:rPr>
          <w:rFonts w:cs="Times New Roman"/>
          <w:b/>
          <w:bCs/>
          <w:szCs w:val="24"/>
          <w:lang w:val="bg-BG"/>
        </w:rPr>
        <w:t>7. Интегриране на финансови инструменти с мерки за социална подкрепа</w:t>
      </w:r>
    </w:p>
    <w:p w14:paraId="32FE37A6" w14:textId="46C6B667" w:rsidR="00B572B1" w:rsidRPr="006F3533" w:rsidRDefault="00B572B1" w:rsidP="00077D42">
      <w:pPr>
        <w:spacing w:line="240" w:lineRule="auto"/>
        <w:jc w:val="both"/>
        <w:rPr>
          <w:rFonts w:cs="Times New Roman"/>
          <w:szCs w:val="24"/>
          <w:lang w:val="bg-BG"/>
        </w:rPr>
      </w:pPr>
      <w:r w:rsidRPr="006F3533">
        <w:rPr>
          <w:rFonts w:cs="Times New Roman"/>
          <w:szCs w:val="24"/>
          <w:lang w:val="bg-BG"/>
        </w:rPr>
        <w:t xml:space="preserve">Допълващ елемент към всички горепосочени инструменти е целенасоченото им комбиниране със социални механизми за подкрепа на енергийно бедни и уязвими групи, в началото финансирани от Социалния климатичен фонд. Това позволява прилагането на </w:t>
      </w:r>
      <w:proofErr w:type="spellStart"/>
      <w:r w:rsidRPr="006F3533">
        <w:rPr>
          <w:rFonts w:cs="Times New Roman"/>
          <w:szCs w:val="24"/>
          <w:lang w:val="bg-BG"/>
        </w:rPr>
        <w:t>възвръщаеми</w:t>
      </w:r>
      <w:proofErr w:type="spellEnd"/>
      <w:r w:rsidRPr="006F3533">
        <w:rPr>
          <w:rFonts w:cs="Times New Roman"/>
          <w:szCs w:val="24"/>
          <w:lang w:val="bg-BG"/>
        </w:rPr>
        <w:t xml:space="preserve"> инструменти без риск от социално изключване и създава предпоставки за масово участие в програмите за обновяване.</w:t>
      </w:r>
    </w:p>
    <w:p w14:paraId="22F63E7E" w14:textId="56ADB67E" w:rsidR="00F100EE" w:rsidRPr="006F3533" w:rsidRDefault="006F0DA0" w:rsidP="006F0DA0">
      <w:pPr>
        <w:pStyle w:val="Heading1"/>
        <w:rPr>
          <w:lang w:val="bg-BG"/>
        </w:rPr>
      </w:pPr>
      <w:bookmarkStart w:id="389" w:name="_Hlk182756452"/>
      <w:bookmarkStart w:id="390" w:name="_Toc217888892"/>
      <w:r w:rsidRPr="006F3533">
        <w:rPr>
          <w:lang w:val="bg-BG"/>
        </w:rPr>
        <w:t xml:space="preserve">Прагове за </w:t>
      </w:r>
      <w:proofErr w:type="spellStart"/>
      <w:r w:rsidRPr="006F3533">
        <w:rPr>
          <w:lang w:val="bg-BG"/>
        </w:rPr>
        <w:t>нулевоемисионни</w:t>
      </w:r>
      <w:proofErr w:type="spellEnd"/>
      <w:r w:rsidRPr="006F3533">
        <w:rPr>
          <w:lang w:val="bg-BG"/>
        </w:rPr>
        <w:t xml:space="preserve"> сгради при ново строителство и при обновяване </w:t>
      </w:r>
      <w:bookmarkEnd w:id="389"/>
      <w:r w:rsidRPr="006F3533">
        <w:rPr>
          <w:lang w:val="bg-BG"/>
        </w:rPr>
        <w:t>(във връзка с чл. 11 от ДЕХС)</w:t>
      </w:r>
      <w:bookmarkEnd w:id="390"/>
    </w:p>
    <w:p w14:paraId="56342EC8" w14:textId="77777777" w:rsidR="00F100EE" w:rsidRPr="006F3533" w:rsidRDefault="00F100EE" w:rsidP="00F100EE">
      <w:pPr>
        <w:spacing w:line="240" w:lineRule="auto"/>
        <w:jc w:val="both"/>
        <w:rPr>
          <w:rFonts w:cs="Times New Roman"/>
          <w:i/>
          <w:iCs/>
          <w:szCs w:val="24"/>
          <w:lang w:val="bg-BG"/>
        </w:rPr>
      </w:pPr>
      <w:r w:rsidRPr="006F3533">
        <w:rPr>
          <w:rFonts w:cs="Times New Roman"/>
          <w:b/>
          <w:bCs/>
          <w:szCs w:val="24"/>
          <w:lang w:val="bg-BG"/>
        </w:rPr>
        <w:t>Обхват и нормативна рамка</w:t>
      </w:r>
    </w:p>
    <w:p w14:paraId="2AF39A68" w14:textId="7F86B3EA" w:rsidR="00F100EE" w:rsidRPr="006F3533" w:rsidRDefault="00F100EE" w:rsidP="00F100EE">
      <w:pPr>
        <w:spacing w:line="240" w:lineRule="auto"/>
        <w:jc w:val="both"/>
        <w:rPr>
          <w:rFonts w:cs="Times New Roman"/>
          <w:szCs w:val="24"/>
          <w:lang w:val="bg-BG"/>
        </w:rPr>
      </w:pPr>
      <w:r w:rsidRPr="006F3533">
        <w:rPr>
          <w:rFonts w:cs="Times New Roman"/>
          <w:szCs w:val="24"/>
          <w:lang w:val="bg-BG"/>
        </w:rPr>
        <w:t xml:space="preserve">В съответствие с член 3, параграф 2, буква (e) и член 11 от преработената Директива за енергийните характеристики на сградите (ДЕХС), Република България определя максимални прагове за годишно потребление на първична енергия и за оперативни емисии на парникови газове за </w:t>
      </w:r>
      <w:proofErr w:type="spellStart"/>
      <w:r w:rsidR="004854B6" w:rsidRPr="006F3533">
        <w:rPr>
          <w:rFonts w:cs="Times New Roman"/>
          <w:szCs w:val="24"/>
          <w:lang w:val="bg-BG"/>
        </w:rPr>
        <w:t>нулевоемисионни</w:t>
      </w:r>
      <w:proofErr w:type="spellEnd"/>
      <w:r w:rsidR="004854B6" w:rsidRPr="006F3533">
        <w:rPr>
          <w:rFonts w:cs="Times New Roman"/>
          <w:szCs w:val="24"/>
          <w:lang w:val="bg-BG"/>
        </w:rPr>
        <w:t xml:space="preserve"> сгради</w:t>
      </w:r>
      <w:r w:rsidRPr="006F3533">
        <w:rPr>
          <w:rFonts w:cs="Times New Roman"/>
          <w:szCs w:val="24"/>
          <w:lang w:val="bg-BG"/>
        </w:rPr>
        <w:t xml:space="preserve"> (</w:t>
      </w:r>
      <w:r w:rsidR="004854B6" w:rsidRPr="006F3533">
        <w:rPr>
          <w:rFonts w:cs="Times New Roman"/>
          <w:szCs w:val="24"/>
          <w:lang w:val="bg-BG"/>
        </w:rPr>
        <w:t>НЕС</w:t>
      </w:r>
      <w:r w:rsidRPr="006F3533">
        <w:rPr>
          <w:rFonts w:cs="Times New Roman"/>
          <w:szCs w:val="24"/>
          <w:lang w:val="bg-BG"/>
        </w:rPr>
        <w:t>).</w:t>
      </w:r>
    </w:p>
    <w:p w14:paraId="5E7742E6" w14:textId="77777777" w:rsidR="00F100EE" w:rsidRPr="006F3533" w:rsidRDefault="00F100EE" w:rsidP="00F100EE">
      <w:pPr>
        <w:spacing w:line="240" w:lineRule="auto"/>
        <w:jc w:val="both"/>
        <w:rPr>
          <w:rFonts w:cs="Times New Roman"/>
          <w:b/>
          <w:bCs/>
          <w:szCs w:val="24"/>
          <w:lang w:val="bg-BG"/>
        </w:rPr>
      </w:pPr>
      <w:r w:rsidRPr="006F3533">
        <w:rPr>
          <w:rFonts w:cs="Times New Roman"/>
          <w:b/>
          <w:bCs/>
          <w:szCs w:val="24"/>
          <w:lang w:val="bg-BG"/>
        </w:rPr>
        <w:t>Национален подход за определяне на праговете</w:t>
      </w:r>
    </w:p>
    <w:p w14:paraId="204E5776"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t>В България оценяването и сертифицирането на енергийните характеристики на сградите се извършва по единна национална методика и скала, независимо от съществуването на климатично райониране за целите на изчисленията.</w:t>
      </w:r>
    </w:p>
    <w:p w14:paraId="787DFE8A" w14:textId="77362A17" w:rsidR="00F100EE" w:rsidRPr="006F3533" w:rsidRDefault="00F100EE" w:rsidP="00F100EE">
      <w:pPr>
        <w:spacing w:line="240" w:lineRule="auto"/>
        <w:jc w:val="both"/>
        <w:rPr>
          <w:rFonts w:cs="Times New Roman"/>
          <w:szCs w:val="24"/>
          <w:lang w:val="bg-BG"/>
        </w:rPr>
      </w:pPr>
      <w:r w:rsidRPr="006F3533">
        <w:rPr>
          <w:rFonts w:cs="Times New Roman"/>
          <w:szCs w:val="24"/>
          <w:lang w:val="bg-BG"/>
        </w:rPr>
        <w:t xml:space="preserve">Макар територията на Република България да е разделена на девет климатични зони, при изчисляване на енергийните характеристики на сградите резултатите се привеждат към стандартен климат за съответната зона, като крайната оценка и класификация на енергийните характеристики се извършват спрямо единни национални референтни стойности за всеки тип сграда. В този контекст, и с цел осигуряване на съпоставимост, </w:t>
      </w:r>
      <w:r w:rsidRPr="006F3533">
        <w:rPr>
          <w:rFonts w:cs="Times New Roman"/>
          <w:szCs w:val="24"/>
          <w:lang w:val="bg-BG"/>
        </w:rPr>
        <w:lastRenderedPageBreak/>
        <w:t xml:space="preserve">яснота и административна простота, праговете за </w:t>
      </w:r>
      <w:proofErr w:type="spellStart"/>
      <w:r w:rsidR="004854B6" w:rsidRPr="006F3533">
        <w:rPr>
          <w:rFonts w:cs="Times New Roman"/>
          <w:szCs w:val="24"/>
          <w:lang w:val="bg-BG"/>
        </w:rPr>
        <w:t>нулевоемисионни</w:t>
      </w:r>
      <w:proofErr w:type="spellEnd"/>
      <w:r w:rsidR="004854B6" w:rsidRPr="006F3533">
        <w:rPr>
          <w:rFonts w:cs="Times New Roman"/>
          <w:szCs w:val="24"/>
          <w:lang w:val="bg-BG"/>
        </w:rPr>
        <w:t xml:space="preserve"> сгради</w:t>
      </w:r>
      <w:r w:rsidRPr="006F3533">
        <w:rPr>
          <w:rFonts w:cs="Times New Roman"/>
          <w:szCs w:val="24"/>
          <w:lang w:val="bg-BG"/>
        </w:rPr>
        <w:t xml:space="preserve"> се определят като единни на национално ниво, без диференциация по климатични зони, но диференцирани по тип сграда. По същата причина не се въвеждат отделни прагове за нови и за съществуващи нежилищни сгради, тъй като оценката на енергийните характеристики и класифицирането по класове на енергопотребление се извършват по единни национални скали, независимо от годината на изграждане на сградата.</w:t>
      </w:r>
    </w:p>
    <w:p w14:paraId="149AE893" w14:textId="6123AD0F" w:rsidR="00F100EE" w:rsidRPr="006F3533" w:rsidRDefault="00F100EE" w:rsidP="00F100EE">
      <w:pPr>
        <w:spacing w:line="240" w:lineRule="auto"/>
        <w:jc w:val="both"/>
        <w:rPr>
          <w:rFonts w:cs="Times New Roman"/>
          <w:szCs w:val="24"/>
          <w:lang w:val="bg-BG"/>
        </w:rPr>
      </w:pPr>
      <w:r w:rsidRPr="006F3533">
        <w:rPr>
          <w:rFonts w:cs="Times New Roman"/>
          <w:szCs w:val="24"/>
          <w:lang w:val="bg-BG"/>
        </w:rPr>
        <w:t xml:space="preserve">Определянето на праговете за </w:t>
      </w:r>
      <w:r w:rsidR="004854B6" w:rsidRPr="006F3533">
        <w:rPr>
          <w:rFonts w:cs="Times New Roman"/>
          <w:szCs w:val="24"/>
          <w:lang w:val="bg-BG"/>
        </w:rPr>
        <w:t>НЕС</w:t>
      </w:r>
      <w:r w:rsidRPr="006F3533">
        <w:rPr>
          <w:rFonts w:cs="Times New Roman"/>
          <w:szCs w:val="24"/>
          <w:lang w:val="bg-BG"/>
        </w:rPr>
        <w:t xml:space="preserve"> се основава на утвърдените национални практики за оценка на енергийните характеристики на сградите и на изискванията на преработената ДЕХС.</w:t>
      </w:r>
    </w:p>
    <w:p w14:paraId="15D90D5F"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t>До настоящия момент в българската нормативна рамка за оценка и сертифициране на енергийните характеристики на сградите не се прилагат самостоятелни числови прагове за оперативни емисии на парникови газове</w:t>
      </w:r>
      <w:r w:rsidRPr="006F3533">
        <w:rPr>
          <w:rFonts w:cs="Times New Roman"/>
          <w:b/>
          <w:bCs/>
          <w:szCs w:val="24"/>
          <w:lang w:val="bg-BG"/>
        </w:rPr>
        <w:t>.</w:t>
      </w:r>
      <w:r w:rsidRPr="006F3533">
        <w:rPr>
          <w:rFonts w:cs="Times New Roman"/>
          <w:szCs w:val="24"/>
          <w:lang w:val="bg-BG"/>
        </w:rPr>
        <w:t xml:space="preserve"> Вместо това, контролът върху емисиите се осъществява индиректно, чрез изисквания, свързани със специфичното потребление на </w:t>
      </w:r>
      <w:proofErr w:type="spellStart"/>
      <w:r w:rsidRPr="006F3533">
        <w:rPr>
          <w:rFonts w:cs="Times New Roman"/>
          <w:szCs w:val="24"/>
          <w:lang w:val="bg-BG"/>
        </w:rPr>
        <w:t>невъзобновяема</w:t>
      </w:r>
      <w:proofErr w:type="spellEnd"/>
      <w:r w:rsidRPr="006F3533">
        <w:rPr>
          <w:rFonts w:cs="Times New Roman"/>
          <w:szCs w:val="24"/>
          <w:lang w:val="bg-BG"/>
        </w:rPr>
        <w:t xml:space="preserve"> първична енергия и с дела на използваната енергия от възобновяеми източници.</w:t>
      </w:r>
    </w:p>
    <w:p w14:paraId="42E2B14E"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t>Съгласно действащата дефиниция за сгради с близко до нулево потребление на енергия (СБНПЕ), се прилага:</w:t>
      </w:r>
    </w:p>
    <w:p w14:paraId="0DB8D53B" w14:textId="77777777" w:rsidR="00F100EE" w:rsidRPr="006F3533" w:rsidRDefault="00F100EE" w:rsidP="00551FED">
      <w:pPr>
        <w:numPr>
          <w:ilvl w:val="0"/>
          <w:numId w:val="102"/>
        </w:numPr>
        <w:spacing w:line="240" w:lineRule="auto"/>
        <w:jc w:val="both"/>
        <w:rPr>
          <w:rFonts w:cs="Times New Roman"/>
          <w:szCs w:val="24"/>
          <w:lang w:val="bg-BG"/>
        </w:rPr>
      </w:pPr>
      <w:r w:rsidRPr="006F3533">
        <w:rPr>
          <w:rFonts w:cs="Times New Roman"/>
          <w:szCs w:val="24"/>
          <w:lang w:val="bg-BG"/>
        </w:rPr>
        <w:t xml:space="preserve">праг за специфично потребление на </w:t>
      </w:r>
      <w:proofErr w:type="spellStart"/>
      <w:r w:rsidRPr="006F3533">
        <w:rPr>
          <w:rFonts w:cs="Times New Roman"/>
          <w:szCs w:val="24"/>
          <w:lang w:val="bg-BG"/>
        </w:rPr>
        <w:t>невъзобновяема</w:t>
      </w:r>
      <w:proofErr w:type="spellEnd"/>
      <w:r w:rsidRPr="006F3533">
        <w:rPr>
          <w:rFonts w:cs="Times New Roman"/>
          <w:szCs w:val="24"/>
          <w:lang w:val="bg-BG"/>
        </w:rPr>
        <w:t xml:space="preserve"> първична енергия, еквивалентен на този за сгради с клас на енергопотребление „А“, и</w:t>
      </w:r>
    </w:p>
    <w:p w14:paraId="06D8EE63" w14:textId="77777777" w:rsidR="00F100EE" w:rsidRPr="006F3533" w:rsidRDefault="00F100EE" w:rsidP="00551FED">
      <w:pPr>
        <w:numPr>
          <w:ilvl w:val="0"/>
          <w:numId w:val="102"/>
        </w:numPr>
        <w:spacing w:line="240" w:lineRule="auto"/>
        <w:jc w:val="both"/>
        <w:rPr>
          <w:rFonts w:cs="Times New Roman"/>
          <w:szCs w:val="24"/>
          <w:lang w:val="bg-BG"/>
        </w:rPr>
      </w:pPr>
      <w:r w:rsidRPr="006F3533">
        <w:rPr>
          <w:rFonts w:cs="Times New Roman"/>
          <w:szCs w:val="24"/>
          <w:lang w:val="bg-BG"/>
        </w:rPr>
        <w:t>допълнително изискване най-малко 55% от потребната енергия в сградата, с изключение на енергията за електрическите уреди, да бъде произведена от възобновяеми енергийни източници в сградата или близо до нея.</w:t>
      </w:r>
    </w:p>
    <w:p w14:paraId="4B3DF70C"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t>Този комбиниран подход води до това сградите, отговарящи на изискванията за СБНПЕ, да имат значително по-ниски оперативни емисии на парникови газове в сравнение със сгради от клас „А“, въпреки липсата на изрично дефинирани емисионни прагове.</w:t>
      </w:r>
    </w:p>
    <w:p w14:paraId="233B7236" w14:textId="4F2031CB" w:rsidR="00F100EE" w:rsidRPr="006F3533" w:rsidRDefault="00F100EE" w:rsidP="00F100EE">
      <w:pPr>
        <w:spacing w:line="240" w:lineRule="auto"/>
        <w:jc w:val="both"/>
        <w:rPr>
          <w:rFonts w:cs="Times New Roman"/>
          <w:szCs w:val="24"/>
          <w:lang w:val="bg-BG"/>
        </w:rPr>
      </w:pPr>
      <w:r w:rsidRPr="006F3533">
        <w:rPr>
          <w:rFonts w:cs="Times New Roman"/>
          <w:szCs w:val="24"/>
          <w:lang w:val="bg-BG"/>
        </w:rPr>
        <w:t xml:space="preserve">Същата логика се прилага и при определянето на изискванията за </w:t>
      </w:r>
      <w:proofErr w:type="spellStart"/>
      <w:r w:rsidR="004854B6" w:rsidRPr="006F3533">
        <w:rPr>
          <w:rFonts w:cs="Times New Roman"/>
          <w:szCs w:val="24"/>
          <w:lang w:val="bg-BG"/>
        </w:rPr>
        <w:t>нулевоемисионни</w:t>
      </w:r>
      <w:proofErr w:type="spellEnd"/>
      <w:r w:rsidR="004854B6" w:rsidRPr="006F3533">
        <w:rPr>
          <w:rFonts w:cs="Times New Roman"/>
          <w:szCs w:val="24"/>
          <w:lang w:val="bg-BG"/>
        </w:rPr>
        <w:t xml:space="preserve"> сгради</w:t>
      </w:r>
      <w:r w:rsidRPr="006F3533">
        <w:rPr>
          <w:rFonts w:cs="Times New Roman"/>
          <w:szCs w:val="24"/>
          <w:lang w:val="bg-BG"/>
        </w:rPr>
        <w:t>, като тя се надгражда чрез:</w:t>
      </w:r>
    </w:p>
    <w:p w14:paraId="3A9935D8" w14:textId="77777777" w:rsidR="00F100EE" w:rsidRPr="006F3533" w:rsidRDefault="00F100EE" w:rsidP="00551FED">
      <w:pPr>
        <w:numPr>
          <w:ilvl w:val="0"/>
          <w:numId w:val="103"/>
        </w:numPr>
        <w:spacing w:line="240" w:lineRule="auto"/>
        <w:jc w:val="both"/>
        <w:rPr>
          <w:rFonts w:cs="Times New Roman"/>
          <w:szCs w:val="24"/>
          <w:lang w:val="bg-BG"/>
        </w:rPr>
      </w:pPr>
      <w:r w:rsidRPr="006F3533">
        <w:rPr>
          <w:rFonts w:cs="Times New Roman"/>
          <w:szCs w:val="24"/>
          <w:lang w:val="bg-BG"/>
        </w:rPr>
        <w:t xml:space="preserve">въвеждане на по-строги прагове за специфично потребление на първична енергия спрямо тези за СБНПЕ – за целите на първия проект на настоящия план, праговете се определят като ориентировъчни, в съответствие с указанията на Европейската комисия, използвайки нива, еквивалентни на 10% по-ниско потребление на първична </w:t>
      </w:r>
      <w:proofErr w:type="spellStart"/>
      <w:r w:rsidRPr="006F3533">
        <w:rPr>
          <w:rFonts w:cs="Times New Roman"/>
          <w:szCs w:val="24"/>
          <w:lang w:val="bg-BG"/>
        </w:rPr>
        <w:t>невъзобноявема</w:t>
      </w:r>
      <w:proofErr w:type="spellEnd"/>
      <w:r w:rsidRPr="006F3533">
        <w:rPr>
          <w:rFonts w:cs="Times New Roman"/>
          <w:szCs w:val="24"/>
          <w:lang w:val="bg-BG"/>
        </w:rPr>
        <w:t xml:space="preserve"> енергия спрямо националните СБНПЕ стойности към 2025 г., като получените стойности се закръгляват надолу до най-близкото цяло число, и</w:t>
      </w:r>
    </w:p>
    <w:p w14:paraId="22B36A19" w14:textId="77777777" w:rsidR="00F100EE" w:rsidRPr="006F3533" w:rsidRDefault="00F100EE" w:rsidP="00551FED">
      <w:pPr>
        <w:numPr>
          <w:ilvl w:val="0"/>
          <w:numId w:val="103"/>
        </w:numPr>
        <w:spacing w:line="240" w:lineRule="auto"/>
        <w:jc w:val="both"/>
        <w:rPr>
          <w:rFonts w:cs="Times New Roman"/>
          <w:szCs w:val="24"/>
          <w:lang w:val="bg-BG"/>
        </w:rPr>
      </w:pPr>
      <w:r w:rsidRPr="006F3533">
        <w:rPr>
          <w:rFonts w:cs="Times New Roman"/>
          <w:szCs w:val="24"/>
          <w:lang w:val="bg-BG"/>
        </w:rPr>
        <w:t>увеличаване на изискването за използване на енергия от възобновяеми източници до 100% от потребната енергия на сградата, с изключение на енергията за електрическите уреди, да бъде произведена от възобновяеми енергийни източници в сградата или близо до нея или от енергийни общности.</w:t>
      </w:r>
    </w:p>
    <w:p w14:paraId="57FA17A0" w14:textId="70080E12" w:rsidR="00F100EE" w:rsidRPr="006F3533" w:rsidRDefault="00F100EE" w:rsidP="00F100EE">
      <w:pPr>
        <w:spacing w:line="240" w:lineRule="auto"/>
        <w:jc w:val="both"/>
        <w:rPr>
          <w:rFonts w:cs="Times New Roman"/>
          <w:szCs w:val="24"/>
          <w:lang w:val="bg-BG"/>
        </w:rPr>
      </w:pPr>
      <w:r w:rsidRPr="006F3533">
        <w:rPr>
          <w:rFonts w:cs="Times New Roman"/>
          <w:szCs w:val="24"/>
          <w:lang w:val="bg-BG"/>
        </w:rPr>
        <w:lastRenderedPageBreak/>
        <w:t xml:space="preserve">Комбинацията от тези изисквания гарантира постигането на практически нулеви оперативни емисии на парникови газове, без въвеждане на отделни национални емисионни прагове, като същевременно се запазва пълна съвместимост с действащата </w:t>
      </w:r>
      <w:r w:rsidR="004854B6" w:rsidRPr="006F3533">
        <w:rPr>
          <w:rFonts w:cs="Times New Roman"/>
          <w:szCs w:val="24"/>
          <w:lang w:val="bg-BG"/>
        </w:rPr>
        <w:t>дефиниция за СБНПЕ.</w:t>
      </w:r>
    </w:p>
    <w:p w14:paraId="30692719" w14:textId="0A5772D9" w:rsidR="00F100EE" w:rsidRPr="006F3533" w:rsidRDefault="00F100EE" w:rsidP="00F100EE">
      <w:pPr>
        <w:spacing w:line="240" w:lineRule="auto"/>
        <w:jc w:val="both"/>
        <w:rPr>
          <w:rFonts w:cs="Times New Roman"/>
          <w:b/>
          <w:bCs/>
          <w:szCs w:val="24"/>
          <w:lang w:val="bg-BG"/>
        </w:rPr>
      </w:pPr>
      <w:r w:rsidRPr="006F3533">
        <w:rPr>
          <w:rFonts w:cs="Times New Roman"/>
          <w:b/>
          <w:bCs/>
          <w:szCs w:val="24"/>
          <w:lang w:val="bg-BG"/>
        </w:rPr>
        <w:t xml:space="preserve">Прагове за </w:t>
      </w:r>
      <w:proofErr w:type="spellStart"/>
      <w:r w:rsidR="004854B6" w:rsidRPr="006F3533">
        <w:rPr>
          <w:rFonts w:cs="Times New Roman"/>
          <w:b/>
          <w:bCs/>
          <w:szCs w:val="24"/>
          <w:lang w:val="bg-BG"/>
        </w:rPr>
        <w:t>нулевоемисионни</w:t>
      </w:r>
      <w:proofErr w:type="spellEnd"/>
      <w:r w:rsidR="004854B6" w:rsidRPr="006F3533">
        <w:rPr>
          <w:rFonts w:cs="Times New Roman"/>
          <w:b/>
          <w:bCs/>
          <w:szCs w:val="24"/>
          <w:lang w:val="bg-BG"/>
        </w:rPr>
        <w:t xml:space="preserve"> сгради</w:t>
      </w:r>
    </w:p>
    <w:p w14:paraId="4D0DB8FB"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t>Постигането на нулеви или практически нулеви експлоатационни емисии на парникови газове при сградите с нулеви емисии се осигурява чрез прилагане на комбинирани изисквания за специфично потребление на първична енергия и за използване на 100% енергия от възобновяеми източници, без енергията за електрическите уреди, която да бъде произведена от възобновяеми енергийни източници в сградата или близо до нея или от енергийни общности.</w:t>
      </w:r>
    </w:p>
    <w:p w14:paraId="227E594A" w14:textId="3E6F8B10" w:rsidR="00F100EE" w:rsidRPr="006F3533" w:rsidRDefault="00F100EE" w:rsidP="00F100EE">
      <w:pPr>
        <w:spacing w:line="240" w:lineRule="auto"/>
        <w:jc w:val="both"/>
        <w:rPr>
          <w:rFonts w:cs="Times New Roman"/>
          <w:szCs w:val="24"/>
          <w:lang w:val="bg-BG"/>
        </w:rPr>
      </w:pPr>
      <w:r w:rsidRPr="006F3533">
        <w:rPr>
          <w:rFonts w:cs="Times New Roman"/>
          <w:szCs w:val="24"/>
          <w:lang w:val="bg-BG"/>
        </w:rPr>
        <w:t xml:space="preserve">Прагът за енергийно потребление се определя като максимално допустимо общо годишно потребление на първична енергия, изразено в </w:t>
      </w:r>
      <w:proofErr w:type="spellStart"/>
      <w:r w:rsidRPr="006F3533">
        <w:rPr>
          <w:rFonts w:cs="Times New Roman"/>
          <w:szCs w:val="24"/>
          <w:lang w:val="bg-BG"/>
        </w:rPr>
        <w:t>kWh</w:t>
      </w:r>
      <w:proofErr w:type="spellEnd"/>
      <w:r w:rsidRPr="006F3533">
        <w:rPr>
          <w:rFonts w:cs="Times New Roman"/>
          <w:szCs w:val="24"/>
          <w:lang w:val="bg-BG"/>
        </w:rPr>
        <w:t xml:space="preserve">/(m²·год.) спрямо </w:t>
      </w:r>
      <w:proofErr w:type="spellStart"/>
      <w:r w:rsidR="004854B6" w:rsidRPr="006F3533">
        <w:rPr>
          <w:rFonts w:cs="Times New Roman"/>
          <w:szCs w:val="24"/>
          <w:lang w:val="bg-BG"/>
        </w:rPr>
        <w:t>кондиционираната</w:t>
      </w:r>
      <w:proofErr w:type="spellEnd"/>
      <w:r w:rsidRPr="006F3533">
        <w:rPr>
          <w:rFonts w:cs="Times New Roman"/>
          <w:szCs w:val="24"/>
          <w:lang w:val="bg-BG"/>
        </w:rPr>
        <w:t xml:space="preserve"> площ на сградата и изчислено съгласно Приложение I на ДЕХС. </w:t>
      </w:r>
    </w:p>
    <w:p w14:paraId="64343922"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t>Не се въвеждат отделни национални числови прагове за емисии.</w:t>
      </w:r>
    </w:p>
    <w:p w14:paraId="4280B19B" w14:textId="6B890F4D" w:rsidR="00F100EE" w:rsidRPr="006F3533" w:rsidRDefault="00F100EE" w:rsidP="00F100EE">
      <w:pPr>
        <w:spacing w:line="240" w:lineRule="auto"/>
        <w:jc w:val="both"/>
        <w:rPr>
          <w:rFonts w:cs="Times New Roman"/>
          <w:i/>
          <w:iCs/>
          <w:szCs w:val="24"/>
          <w:lang w:val="bg-BG"/>
        </w:rPr>
      </w:pPr>
      <w:r w:rsidRPr="006F3533">
        <w:rPr>
          <w:rFonts w:cs="Times New Roman"/>
          <w:i/>
          <w:iCs/>
          <w:szCs w:val="24"/>
          <w:lang w:val="bg-BG"/>
        </w:rPr>
        <w:t xml:space="preserve">Таблица 25. Прагове за специфично потребление на </w:t>
      </w:r>
      <w:proofErr w:type="spellStart"/>
      <w:r w:rsidRPr="006F3533">
        <w:rPr>
          <w:rFonts w:cs="Times New Roman"/>
          <w:i/>
          <w:iCs/>
          <w:szCs w:val="24"/>
          <w:lang w:val="bg-BG"/>
        </w:rPr>
        <w:t>невъзобновяема</w:t>
      </w:r>
      <w:proofErr w:type="spellEnd"/>
      <w:r w:rsidRPr="006F3533">
        <w:rPr>
          <w:rFonts w:cs="Times New Roman"/>
          <w:i/>
          <w:iCs/>
          <w:szCs w:val="24"/>
          <w:lang w:val="bg-BG"/>
        </w:rPr>
        <w:t xml:space="preserve"> първична енергия за </w:t>
      </w:r>
      <w:proofErr w:type="spellStart"/>
      <w:r w:rsidR="004854B6" w:rsidRPr="006F3533">
        <w:rPr>
          <w:rFonts w:cs="Times New Roman"/>
          <w:i/>
          <w:iCs/>
          <w:szCs w:val="24"/>
          <w:lang w:val="bg-BG"/>
        </w:rPr>
        <w:t>нулевоемисионни</w:t>
      </w:r>
      <w:proofErr w:type="spellEnd"/>
      <w:r w:rsidR="004854B6" w:rsidRPr="006F3533">
        <w:rPr>
          <w:rFonts w:cs="Times New Roman"/>
          <w:i/>
          <w:iCs/>
          <w:szCs w:val="24"/>
          <w:lang w:val="bg-BG"/>
        </w:rPr>
        <w:t xml:space="preserve"> сгради</w:t>
      </w:r>
    </w:p>
    <w:tbl>
      <w:tblPr>
        <w:tblStyle w:val="TableGrid"/>
        <w:tblW w:w="9351" w:type="dxa"/>
        <w:tblLook w:val="04A0" w:firstRow="1" w:lastRow="0" w:firstColumn="1" w:lastColumn="0" w:noHBand="0" w:noVBand="1"/>
      </w:tblPr>
      <w:tblGrid>
        <w:gridCol w:w="4815"/>
        <w:gridCol w:w="4536"/>
      </w:tblGrid>
      <w:tr w:rsidR="00E026DA" w:rsidRPr="006F3533" w14:paraId="5E9674FE" w14:textId="77777777" w:rsidTr="00A16FF7">
        <w:tc>
          <w:tcPr>
            <w:tcW w:w="4815" w:type="dxa"/>
            <w:shd w:val="clear" w:color="auto" w:fill="D9D9D9" w:themeFill="background1" w:themeFillShade="D9"/>
          </w:tcPr>
          <w:p w14:paraId="5E2A627F" w14:textId="77777777" w:rsidR="00F100EE" w:rsidRPr="006F3533" w:rsidRDefault="00F100EE" w:rsidP="00F100EE">
            <w:pPr>
              <w:spacing w:after="160"/>
              <w:jc w:val="both"/>
              <w:rPr>
                <w:rFonts w:cs="Times New Roman"/>
                <w:b/>
                <w:bCs/>
                <w:szCs w:val="24"/>
                <w:lang w:val="bg-BG"/>
              </w:rPr>
            </w:pPr>
            <w:r w:rsidRPr="006F3533">
              <w:rPr>
                <w:rFonts w:cs="Times New Roman"/>
                <w:b/>
                <w:bCs/>
                <w:szCs w:val="24"/>
                <w:lang w:val="bg-BG"/>
              </w:rPr>
              <w:t>Тип сграда</w:t>
            </w:r>
          </w:p>
        </w:tc>
        <w:tc>
          <w:tcPr>
            <w:tcW w:w="4536" w:type="dxa"/>
            <w:shd w:val="clear" w:color="auto" w:fill="D9D9D9" w:themeFill="background1" w:themeFillShade="D9"/>
          </w:tcPr>
          <w:p w14:paraId="1B117E27" w14:textId="77777777" w:rsidR="00F100EE" w:rsidRPr="006F3533" w:rsidRDefault="00F100EE" w:rsidP="00F100EE">
            <w:pPr>
              <w:spacing w:after="160"/>
              <w:jc w:val="both"/>
              <w:rPr>
                <w:rFonts w:cs="Times New Roman"/>
                <w:b/>
                <w:bCs/>
                <w:szCs w:val="24"/>
                <w:lang w:val="bg-BG"/>
              </w:rPr>
            </w:pPr>
            <w:r w:rsidRPr="006F3533">
              <w:rPr>
                <w:rFonts w:cs="Times New Roman"/>
                <w:b/>
                <w:bCs/>
                <w:szCs w:val="24"/>
                <w:lang w:val="bg-BG"/>
              </w:rPr>
              <w:t xml:space="preserve">Праг за потребление на енергия изразен в първична енергия на единица </w:t>
            </w:r>
            <w:proofErr w:type="spellStart"/>
            <w:r w:rsidRPr="006F3533">
              <w:rPr>
                <w:rFonts w:cs="Times New Roman"/>
                <w:b/>
                <w:bCs/>
                <w:szCs w:val="24"/>
                <w:lang w:val="bg-BG"/>
              </w:rPr>
              <w:t>кондиционирана</w:t>
            </w:r>
            <w:proofErr w:type="spellEnd"/>
            <w:r w:rsidRPr="006F3533">
              <w:rPr>
                <w:rFonts w:cs="Times New Roman"/>
                <w:b/>
                <w:bCs/>
                <w:szCs w:val="24"/>
                <w:lang w:val="bg-BG"/>
              </w:rPr>
              <w:t xml:space="preserve"> площ</w:t>
            </w:r>
          </w:p>
          <w:p w14:paraId="092153BF" w14:textId="77777777" w:rsidR="00F100EE" w:rsidRPr="006F3533" w:rsidRDefault="00F100EE" w:rsidP="00F100EE">
            <w:pPr>
              <w:spacing w:after="160"/>
              <w:jc w:val="both"/>
              <w:rPr>
                <w:rFonts w:cs="Times New Roman"/>
                <w:b/>
                <w:bCs/>
                <w:szCs w:val="24"/>
                <w:lang w:val="bg-BG"/>
              </w:rPr>
            </w:pPr>
            <w:proofErr w:type="spellStart"/>
            <w:r w:rsidRPr="006F3533">
              <w:rPr>
                <w:rFonts w:cs="Times New Roman"/>
                <w:b/>
                <w:bCs/>
                <w:szCs w:val="24"/>
                <w:lang w:val="bg-BG"/>
              </w:rPr>
              <w:t>kWh</w:t>
            </w:r>
            <w:proofErr w:type="spellEnd"/>
            <w:r w:rsidRPr="006F3533">
              <w:rPr>
                <w:rFonts w:cs="Times New Roman"/>
                <w:b/>
                <w:bCs/>
                <w:szCs w:val="24"/>
                <w:lang w:val="bg-BG"/>
              </w:rPr>
              <w:t>/m².y</w:t>
            </w:r>
          </w:p>
        </w:tc>
      </w:tr>
      <w:tr w:rsidR="00E026DA" w:rsidRPr="006F3533" w14:paraId="3518E7BD" w14:textId="77777777" w:rsidTr="00A16FF7">
        <w:tc>
          <w:tcPr>
            <w:tcW w:w="4815" w:type="dxa"/>
          </w:tcPr>
          <w:p w14:paraId="4D130D5D"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 xml:space="preserve">Жилищни многофамилни </w:t>
            </w:r>
          </w:p>
        </w:tc>
        <w:tc>
          <w:tcPr>
            <w:tcW w:w="4536" w:type="dxa"/>
          </w:tcPr>
          <w:p w14:paraId="6EF4817F"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81</w:t>
            </w:r>
          </w:p>
        </w:tc>
      </w:tr>
      <w:tr w:rsidR="00E026DA" w:rsidRPr="006F3533" w14:paraId="455B1EAE" w14:textId="77777777" w:rsidTr="00A16FF7">
        <w:tc>
          <w:tcPr>
            <w:tcW w:w="4815" w:type="dxa"/>
          </w:tcPr>
          <w:p w14:paraId="177F0837"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Жилищни еднофамилни</w:t>
            </w:r>
          </w:p>
        </w:tc>
        <w:tc>
          <w:tcPr>
            <w:tcW w:w="4536" w:type="dxa"/>
          </w:tcPr>
          <w:p w14:paraId="7F6AF58D"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74</w:t>
            </w:r>
          </w:p>
        </w:tc>
      </w:tr>
      <w:tr w:rsidR="00E026DA" w:rsidRPr="006F3533" w14:paraId="290FCF7C" w14:textId="77777777" w:rsidTr="00A16FF7">
        <w:tc>
          <w:tcPr>
            <w:tcW w:w="4815" w:type="dxa"/>
          </w:tcPr>
          <w:p w14:paraId="53B4C7CF"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Административни</w:t>
            </w:r>
          </w:p>
        </w:tc>
        <w:tc>
          <w:tcPr>
            <w:tcW w:w="4536" w:type="dxa"/>
          </w:tcPr>
          <w:p w14:paraId="59623ECB"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120</w:t>
            </w:r>
          </w:p>
        </w:tc>
      </w:tr>
      <w:tr w:rsidR="00E026DA" w:rsidRPr="006F3533" w14:paraId="7AABB012" w14:textId="77777777" w:rsidTr="00A16FF7">
        <w:tc>
          <w:tcPr>
            <w:tcW w:w="4815" w:type="dxa"/>
          </w:tcPr>
          <w:p w14:paraId="5E978470"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Училища</w:t>
            </w:r>
          </w:p>
        </w:tc>
        <w:tc>
          <w:tcPr>
            <w:tcW w:w="4536" w:type="dxa"/>
          </w:tcPr>
          <w:p w14:paraId="75C0A5F5"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31</w:t>
            </w:r>
          </w:p>
        </w:tc>
      </w:tr>
      <w:tr w:rsidR="00E026DA" w:rsidRPr="006F3533" w14:paraId="50EFB1CC" w14:textId="77777777" w:rsidTr="00A16FF7">
        <w:tc>
          <w:tcPr>
            <w:tcW w:w="4815" w:type="dxa"/>
          </w:tcPr>
          <w:p w14:paraId="278E9D59"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Университети</w:t>
            </w:r>
          </w:p>
        </w:tc>
        <w:tc>
          <w:tcPr>
            <w:tcW w:w="4536" w:type="dxa"/>
          </w:tcPr>
          <w:p w14:paraId="25372E15"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76</w:t>
            </w:r>
          </w:p>
        </w:tc>
      </w:tr>
      <w:tr w:rsidR="00E026DA" w:rsidRPr="006F3533" w14:paraId="40EE2D02" w14:textId="77777777" w:rsidTr="00A16FF7">
        <w:tc>
          <w:tcPr>
            <w:tcW w:w="4815" w:type="dxa"/>
          </w:tcPr>
          <w:p w14:paraId="1684B49B"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Детски градини и ясли</w:t>
            </w:r>
          </w:p>
        </w:tc>
        <w:tc>
          <w:tcPr>
            <w:tcW w:w="4536" w:type="dxa"/>
          </w:tcPr>
          <w:p w14:paraId="7C115B72"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54</w:t>
            </w:r>
          </w:p>
        </w:tc>
      </w:tr>
      <w:tr w:rsidR="00E026DA" w:rsidRPr="006F3533" w14:paraId="1D52E34A" w14:textId="77777777" w:rsidTr="00A16FF7">
        <w:tc>
          <w:tcPr>
            <w:tcW w:w="4815" w:type="dxa"/>
          </w:tcPr>
          <w:p w14:paraId="0C4184AA"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Сгради в областта на здравеопазването</w:t>
            </w:r>
          </w:p>
        </w:tc>
        <w:tc>
          <w:tcPr>
            <w:tcW w:w="4536" w:type="dxa"/>
          </w:tcPr>
          <w:p w14:paraId="488B268E"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121</w:t>
            </w:r>
          </w:p>
        </w:tc>
      </w:tr>
      <w:tr w:rsidR="00E026DA" w:rsidRPr="006F3533" w14:paraId="10654FE2" w14:textId="77777777" w:rsidTr="00A16FF7">
        <w:tc>
          <w:tcPr>
            <w:tcW w:w="4815" w:type="dxa"/>
          </w:tcPr>
          <w:p w14:paraId="0FE64F39"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Сгради в областта на хотелиерството, ресторантьорството и общественото хранене</w:t>
            </w:r>
          </w:p>
        </w:tc>
        <w:tc>
          <w:tcPr>
            <w:tcW w:w="4536" w:type="dxa"/>
          </w:tcPr>
          <w:p w14:paraId="117A002C"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148</w:t>
            </w:r>
          </w:p>
        </w:tc>
      </w:tr>
      <w:tr w:rsidR="00E026DA" w:rsidRPr="006F3533" w14:paraId="47F460DE" w14:textId="77777777" w:rsidTr="00A16FF7">
        <w:tc>
          <w:tcPr>
            <w:tcW w:w="4815" w:type="dxa"/>
          </w:tcPr>
          <w:p w14:paraId="19B657E9"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Сгради в областта на търговията</w:t>
            </w:r>
          </w:p>
        </w:tc>
        <w:tc>
          <w:tcPr>
            <w:tcW w:w="4536" w:type="dxa"/>
          </w:tcPr>
          <w:p w14:paraId="03575213"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247</w:t>
            </w:r>
          </w:p>
        </w:tc>
      </w:tr>
      <w:tr w:rsidR="00E026DA" w:rsidRPr="006F3533" w14:paraId="2D1D8FE2" w14:textId="77777777" w:rsidTr="00A16FF7">
        <w:tc>
          <w:tcPr>
            <w:tcW w:w="4815" w:type="dxa"/>
          </w:tcPr>
          <w:p w14:paraId="053506CF"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Сгради за спорт</w:t>
            </w:r>
          </w:p>
        </w:tc>
        <w:tc>
          <w:tcPr>
            <w:tcW w:w="4536" w:type="dxa"/>
          </w:tcPr>
          <w:p w14:paraId="5E52E4BA"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157</w:t>
            </w:r>
          </w:p>
        </w:tc>
      </w:tr>
      <w:tr w:rsidR="00E026DA" w:rsidRPr="006F3533" w14:paraId="349C5D58" w14:textId="77777777" w:rsidTr="00A16FF7">
        <w:tc>
          <w:tcPr>
            <w:tcW w:w="4815" w:type="dxa"/>
          </w:tcPr>
          <w:p w14:paraId="6225A28C"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Сгради в областта на културата и изкуствата</w:t>
            </w:r>
          </w:p>
        </w:tc>
        <w:tc>
          <w:tcPr>
            <w:tcW w:w="4536" w:type="dxa"/>
          </w:tcPr>
          <w:p w14:paraId="58D9BFB5" w14:textId="77777777" w:rsidR="00F100EE" w:rsidRPr="006F3533" w:rsidRDefault="00F100EE" w:rsidP="00F100EE">
            <w:pPr>
              <w:spacing w:after="160"/>
              <w:jc w:val="both"/>
              <w:rPr>
                <w:rFonts w:cs="Times New Roman"/>
                <w:szCs w:val="24"/>
                <w:lang w:val="bg-BG"/>
              </w:rPr>
            </w:pPr>
            <w:r w:rsidRPr="006F3533">
              <w:rPr>
                <w:rFonts w:cs="Times New Roman"/>
                <w:szCs w:val="24"/>
                <w:lang w:val="bg-BG"/>
              </w:rPr>
              <w:t>99</w:t>
            </w:r>
          </w:p>
        </w:tc>
      </w:tr>
    </w:tbl>
    <w:p w14:paraId="6DB5C398"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lastRenderedPageBreak/>
        <w:t>Посочените стойности са ориентировъчни за първия проект на плана и ще бъдат преразгледани при актуализиране на разходно-ефективните нива, както и при развитие на електроенергийния микс и емисионните фактори.</w:t>
      </w:r>
    </w:p>
    <w:p w14:paraId="711D9B1F" w14:textId="77777777" w:rsidR="00F100EE" w:rsidRPr="006F3533" w:rsidRDefault="00F100EE" w:rsidP="00F100EE">
      <w:pPr>
        <w:spacing w:line="240" w:lineRule="auto"/>
        <w:jc w:val="both"/>
        <w:rPr>
          <w:rFonts w:cs="Times New Roman"/>
          <w:b/>
          <w:bCs/>
          <w:szCs w:val="24"/>
          <w:lang w:val="bg-BG"/>
        </w:rPr>
      </w:pPr>
      <w:r w:rsidRPr="006F3533">
        <w:rPr>
          <w:rFonts w:cs="Times New Roman"/>
          <w:b/>
          <w:bCs/>
          <w:szCs w:val="24"/>
          <w:lang w:val="bg-BG"/>
        </w:rPr>
        <w:t>Връзка със СБНПЕ, МСЕХ и дългосрочната цел за 2050 г.</w:t>
      </w:r>
    </w:p>
    <w:p w14:paraId="17D4ECAD"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t xml:space="preserve">Сградите с нулеви емисии представляват крайната цел на политиката за </w:t>
      </w:r>
      <w:proofErr w:type="spellStart"/>
      <w:r w:rsidRPr="006F3533">
        <w:rPr>
          <w:rFonts w:cs="Times New Roman"/>
          <w:szCs w:val="24"/>
          <w:lang w:val="bg-BG"/>
        </w:rPr>
        <w:t>декарбонизация</w:t>
      </w:r>
      <w:proofErr w:type="spellEnd"/>
      <w:r w:rsidRPr="006F3533">
        <w:rPr>
          <w:rFonts w:cs="Times New Roman"/>
          <w:szCs w:val="24"/>
          <w:lang w:val="bg-BG"/>
        </w:rPr>
        <w:t xml:space="preserve"> на сградния фонд, докато стандартът СБНПЕ изпълнява ролята на преходен етап.</w:t>
      </w:r>
    </w:p>
    <w:p w14:paraId="5E88586D"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t>В контекста на нежилищните сгради:</w:t>
      </w:r>
    </w:p>
    <w:p w14:paraId="2FB5348D" w14:textId="77777777" w:rsidR="00F100EE" w:rsidRPr="006F3533" w:rsidRDefault="00F100EE" w:rsidP="00551FED">
      <w:pPr>
        <w:numPr>
          <w:ilvl w:val="0"/>
          <w:numId w:val="86"/>
        </w:numPr>
        <w:spacing w:line="240" w:lineRule="auto"/>
        <w:jc w:val="both"/>
        <w:rPr>
          <w:rFonts w:cs="Times New Roman"/>
          <w:szCs w:val="24"/>
          <w:lang w:val="bg-BG"/>
        </w:rPr>
      </w:pPr>
      <w:r w:rsidRPr="006F3533">
        <w:rPr>
          <w:rFonts w:cs="Times New Roman"/>
          <w:szCs w:val="24"/>
          <w:lang w:val="bg-BG"/>
        </w:rPr>
        <w:t>минималните стандарти за енергийни характеристики (МСЕХ) и</w:t>
      </w:r>
    </w:p>
    <w:p w14:paraId="55ADCEBA" w14:textId="77777777" w:rsidR="00F100EE" w:rsidRPr="006F3533" w:rsidRDefault="00F100EE" w:rsidP="00551FED">
      <w:pPr>
        <w:numPr>
          <w:ilvl w:val="0"/>
          <w:numId w:val="86"/>
        </w:numPr>
        <w:spacing w:line="240" w:lineRule="auto"/>
        <w:jc w:val="both"/>
        <w:rPr>
          <w:rFonts w:cs="Times New Roman"/>
          <w:szCs w:val="24"/>
          <w:lang w:val="bg-BG"/>
        </w:rPr>
      </w:pPr>
      <w:r w:rsidRPr="006F3533">
        <w:rPr>
          <w:rFonts w:cs="Times New Roman"/>
          <w:szCs w:val="24"/>
          <w:lang w:val="bg-BG"/>
        </w:rPr>
        <w:t>дълбоките обновявания</w:t>
      </w:r>
    </w:p>
    <w:p w14:paraId="07E096AE" w14:textId="0AC6E51B" w:rsidR="00F100EE" w:rsidRPr="006F3533" w:rsidRDefault="00F100EE" w:rsidP="00F100EE">
      <w:pPr>
        <w:spacing w:line="240" w:lineRule="auto"/>
        <w:jc w:val="both"/>
        <w:rPr>
          <w:rFonts w:cs="Times New Roman"/>
          <w:szCs w:val="24"/>
          <w:lang w:val="bg-BG"/>
        </w:rPr>
      </w:pPr>
      <w:r w:rsidRPr="006F3533">
        <w:rPr>
          <w:rFonts w:cs="Times New Roman"/>
          <w:szCs w:val="24"/>
          <w:lang w:val="bg-BG"/>
        </w:rPr>
        <w:t xml:space="preserve">следва постепенно да насочват сградите към нива, съпоставими с изискванията за </w:t>
      </w:r>
      <w:r w:rsidR="004854B6" w:rsidRPr="006F3533">
        <w:rPr>
          <w:rFonts w:cs="Times New Roman"/>
          <w:szCs w:val="24"/>
          <w:lang w:val="bg-BG"/>
        </w:rPr>
        <w:t>НЕС</w:t>
      </w:r>
      <w:r w:rsidRPr="006F3533">
        <w:rPr>
          <w:rFonts w:cs="Times New Roman"/>
          <w:szCs w:val="24"/>
          <w:lang w:val="bg-BG"/>
        </w:rPr>
        <w:t>, особено при цялостни и поетапни дълбоки обновявания.</w:t>
      </w:r>
    </w:p>
    <w:p w14:paraId="4E015445" w14:textId="77777777" w:rsidR="00F100EE" w:rsidRPr="006F3533" w:rsidRDefault="00F100EE" w:rsidP="00F100EE">
      <w:pPr>
        <w:spacing w:line="240" w:lineRule="auto"/>
        <w:jc w:val="both"/>
        <w:rPr>
          <w:rFonts w:cs="Times New Roman"/>
          <w:b/>
          <w:bCs/>
          <w:szCs w:val="24"/>
          <w:lang w:val="bg-BG"/>
        </w:rPr>
      </w:pPr>
      <w:r w:rsidRPr="006F3533">
        <w:rPr>
          <w:rFonts w:cs="Times New Roman"/>
          <w:b/>
          <w:bCs/>
          <w:szCs w:val="24"/>
          <w:lang w:val="bg-BG"/>
        </w:rPr>
        <w:t>Преглед и актуализация на праговете</w:t>
      </w:r>
    </w:p>
    <w:p w14:paraId="240ACAB6" w14:textId="77777777" w:rsidR="00F100EE" w:rsidRPr="006F3533" w:rsidRDefault="00F100EE" w:rsidP="00F100EE">
      <w:pPr>
        <w:spacing w:line="240" w:lineRule="auto"/>
        <w:jc w:val="both"/>
        <w:rPr>
          <w:rFonts w:cs="Times New Roman"/>
          <w:szCs w:val="24"/>
          <w:lang w:val="bg-BG"/>
        </w:rPr>
      </w:pPr>
      <w:r w:rsidRPr="006F3533">
        <w:rPr>
          <w:rFonts w:cs="Times New Roman"/>
          <w:szCs w:val="24"/>
          <w:lang w:val="bg-BG"/>
        </w:rPr>
        <w:t>В съответствие с член 11 от ДЕХС:</w:t>
      </w:r>
    </w:p>
    <w:p w14:paraId="4D0F7452" w14:textId="13ADFE9C" w:rsidR="00F100EE" w:rsidRPr="006F3533" w:rsidRDefault="00F100EE" w:rsidP="00551FED">
      <w:pPr>
        <w:numPr>
          <w:ilvl w:val="0"/>
          <w:numId w:val="87"/>
        </w:numPr>
        <w:spacing w:line="240" w:lineRule="auto"/>
        <w:jc w:val="both"/>
        <w:rPr>
          <w:rFonts w:cs="Times New Roman"/>
          <w:szCs w:val="24"/>
          <w:lang w:val="bg-BG"/>
        </w:rPr>
      </w:pPr>
      <w:r w:rsidRPr="006F3533">
        <w:rPr>
          <w:rFonts w:cs="Times New Roman"/>
          <w:szCs w:val="24"/>
          <w:lang w:val="bg-BG"/>
        </w:rPr>
        <w:t xml:space="preserve">праговете за </w:t>
      </w:r>
      <w:r w:rsidR="004854B6" w:rsidRPr="006F3533">
        <w:rPr>
          <w:rFonts w:cs="Times New Roman"/>
          <w:szCs w:val="24"/>
          <w:lang w:val="bg-BG"/>
        </w:rPr>
        <w:t>НЕС</w:t>
      </w:r>
      <w:r w:rsidRPr="006F3533">
        <w:rPr>
          <w:rFonts w:cs="Times New Roman"/>
          <w:szCs w:val="24"/>
          <w:lang w:val="bg-BG"/>
        </w:rPr>
        <w:t xml:space="preserve"> ще бъдат преразглеждани при всяка актуализация на разходно-ефективните нива;</w:t>
      </w:r>
    </w:p>
    <w:p w14:paraId="11CF5615" w14:textId="77777777" w:rsidR="006F0DA0" w:rsidRPr="006F3533" w:rsidRDefault="00F100EE" w:rsidP="00551FED">
      <w:pPr>
        <w:numPr>
          <w:ilvl w:val="0"/>
          <w:numId w:val="87"/>
        </w:numPr>
        <w:spacing w:line="240" w:lineRule="auto"/>
        <w:jc w:val="both"/>
        <w:rPr>
          <w:rFonts w:cs="Times New Roman"/>
          <w:szCs w:val="24"/>
          <w:lang w:val="bg-BG"/>
        </w:rPr>
      </w:pPr>
      <w:r w:rsidRPr="006F3533">
        <w:rPr>
          <w:rFonts w:cs="Times New Roman"/>
          <w:szCs w:val="24"/>
          <w:lang w:val="bg-BG"/>
        </w:rPr>
        <w:t>всички промени ще бъдат отразявани в следващите ревизии на Националния план за обновяване на сградите;</w:t>
      </w:r>
    </w:p>
    <w:p w14:paraId="0BEFE7FF" w14:textId="34D81354" w:rsidR="00F100EE" w:rsidRPr="006F3533" w:rsidRDefault="00F100EE" w:rsidP="00551FED">
      <w:pPr>
        <w:numPr>
          <w:ilvl w:val="0"/>
          <w:numId w:val="87"/>
        </w:numPr>
        <w:spacing w:line="240" w:lineRule="auto"/>
        <w:jc w:val="both"/>
        <w:rPr>
          <w:rFonts w:cs="Times New Roman"/>
          <w:szCs w:val="24"/>
          <w:lang w:val="bg-BG"/>
        </w:rPr>
      </w:pPr>
      <w:r w:rsidRPr="006F3533">
        <w:rPr>
          <w:rFonts w:cs="Times New Roman"/>
          <w:szCs w:val="24"/>
          <w:lang w:val="bg-BG"/>
        </w:rPr>
        <w:t>при необходимост Република България ще уведомява Европейската комисия за междинни адаптации на праговете.</w:t>
      </w:r>
    </w:p>
    <w:p w14:paraId="5EA8C08F" w14:textId="2025B1F7" w:rsidR="00FD686D" w:rsidRPr="006F3533" w:rsidRDefault="00D54B1E" w:rsidP="00077D42">
      <w:pPr>
        <w:pStyle w:val="Heading1"/>
        <w:jc w:val="both"/>
        <w:rPr>
          <w:lang w:val="bg-BG"/>
        </w:rPr>
      </w:pPr>
      <w:bookmarkStart w:id="391" w:name="_Toc217888893"/>
      <w:r w:rsidRPr="006F3533">
        <w:rPr>
          <w:lang w:val="bg-BG"/>
        </w:rPr>
        <w:t>Минимални стандарти за енергийните характеристики на нежилищните сгради</w:t>
      </w:r>
      <w:bookmarkStart w:id="392" w:name="_Hlk174694563"/>
      <w:bookmarkEnd w:id="391"/>
    </w:p>
    <w:p w14:paraId="2690E9A7"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 xml:space="preserve">За определяне на нежилищните сгради с най-лоши характеристики е използвана информация за енергийните характеристики на сградите от националната база данни за обследваните и сертифицирани сгради, поддържана от АУЕР. Използвана е информация, актуална към 20 ноември 2025 г. Към този момент, в базата данни е налична информация за общо 6586 нежилищни сгради с обща </w:t>
      </w:r>
      <w:bookmarkStart w:id="393" w:name="_Hlk215667614"/>
      <w:proofErr w:type="spellStart"/>
      <w:r w:rsidRPr="006F3533">
        <w:rPr>
          <w:rFonts w:eastAsia="Times New Roman" w:cs="Times New Roman"/>
          <w:szCs w:val="24"/>
          <w:lang w:val="bg-BG"/>
        </w:rPr>
        <w:t>кондиционирана</w:t>
      </w:r>
      <w:bookmarkEnd w:id="393"/>
      <w:proofErr w:type="spellEnd"/>
      <w:r w:rsidRPr="006F3533">
        <w:rPr>
          <w:rFonts w:eastAsia="Times New Roman" w:cs="Times New Roman"/>
          <w:szCs w:val="24"/>
          <w:lang w:val="bg-BG"/>
        </w:rPr>
        <w:t xml:space="preserve"> площ 16 877 059,56 m2 и обща разгъната застроена площ 19 902 379,08 m2. От тези сгради, валидни сертификати имат общо 3789 сгради, чиято обща </w:t>
      </w:r>
      <w:proofErr w:type="spellStart"/>
      <w:r w:rsidRPr="006F3533">
        <w:rPr>
          <w:rFonts w:eastAsia="Times New Roman" w:cs="Times New Roman"/>
          <w:szCs w:val="24"/>
          <w:lang w:val="bg-BG"/>
        </w:rPr>
        <w:t>кондиционирана</w:t>
      </w:r>
      <w:proofErr w:type="spellEnd"/>
      <w:r w:rsidRPr="006F3533">
        <w:rPr>
          <w:rFonts w:eastAsia="Times New Roman" w:cs="Times New Roman"/>
          <w:szCs w:val="24"/>
          <w:lang w:val="bg-BG"/>
        </w:rPr>
        <w:t xml:space="preserve"> площ е 10 138 549,54 m2 и разгъната застроена площ 11 915 789,04 m2.</w:t>
      </w:r>
    </w:p>
    <w:p w14:paraId="206064C4"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2D06766A"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Като се съпоставят данните за нежилищните сгради от националния кадастър и базата данни за обследваните и сертифицирани сгради, поддържана от АУЕР се установява следното покритие на сертификатите спрямо всички нежилищни сгради:</w:t>
      </w:r>
    </w:p>
    <w:p w14:paraId="6BF997B9" w14:textId="77777777" w:rsidR="006D1686" w:rsidRPr="006F3533" w:rsidRDefault="006D1686" w:rsidP="00077D42">
      <w:pPr>
        <w:pStyle w:val="ListParagraph"/>
        <w:spacing w:line="240" w:lineRule="auto"/>
        <w:ind w:left="0"/>
        <w:jc w:val="both"/>
        <w:rPr>
          <w:rFonts w:eastAsia="Times New Roman" w:cs="Times New Roman"/>
          <w:szCs w:val="24"/>
          <w:lang w:val="bg-BG"/>
        </w:rPr>
      </w:pPr>
    </w:p>
    <w:tbl>
      <w:tblPr>
        <w:tblStyle w:val="TableGrid"/>
        <w:tblW w:w="5000" w:type="pct"/>
        <w:tblLook w:val="04A0" w:firstRow="1" w:lastRow="0" w:firstColumn="1" w:lastColumn="0" w:noHBand="0" w:noVBand="1"/>
      </w:tblPr>
      <w:tblGrid>
        <w:gridCol w:w="3753"/>
        <w:gridCol w:w="1316"/>
        <w:gridCol w:w="1399"/>
        <w:gridCol w:w="1401"/>
        <w:gridCol w:w="1481"/>
      </w:tblGrid>
      <w:tr w:rsidR="006D1686" w:rsidRPr="00480D32" w14:paraId="0A1E1856" w14:textId="77777777" w:rsidTr="00552DC2">
        <w:tc>
          <w:tcPr>
            <w:tcW w:w="2007" w:type="pct"/>
            <w:vMerge w:val="restart"/>
          </w:tcPr>
          <w:p w14:paraId="613E7E87"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Типове нежилищни сгради</w:t>
            </w:r>
          </w:p>
        </w:tc>
        <w:tc>
          <w:tcPr>
            <w:tcW w:w="1452" w:type="pct"/>
            <w:gridSpan w:val="2"/>
          </w:tcPr>
          <w:p w14:paraId="3588F7A8"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Всички сертификати</w:t>
            </w:r>
          </w:p>
        </w:tc>
        <w:tc>
          <w:tcPr>
            <w:tcW w:w="1541" w:type="pct"/>
            <w:gridSpan w:val="2"/>
          </w:tcPr>
          <w:p w14:paraId="6291B01C"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Само валидни сертификати</w:t>
            </w:r>
          </w:p>
        </w:tc>
      </w:tr>
      <w:tr w:rsidR="006D1686" w:rsidRPr="00480D32" w14:paraId="13B5CEED" w14:textId="77777777" w:rsidTr="00552DC2">
        <w:tc>
          <w:tcPr>
            <w:tcW w:w="2007" w:type="pct"/>
            <w:vMerge/>
          </w:tcPr>
          <w:p w14:paraId="3F985FE0" w14:textId="77777777" w:rsidR="006D1686" w:rsidRPr="00480D32" w:rsidRDefault="006D1686" w:rsidP="00077D42">
            <w:pPr>
              <w:pStyle w:val="ListParagraph"/>
              <w:ind w:left="0"/>
              <w:jc w:val="both"/>
              <w:rPr>
                <w:rFonts w:eastAsia="Times New Roman" w:cs="Times New Roman"/>
                <w:b/>
                <w:bCs/>
                <w:szCs w:val="24"/>
                <w:lang w:val="bg-BG"/>
              </w:rPr>
            </w:pPr>
          </w:p>
        </w:tc>
        <w:tc>
          <w:tcPr>
            <w:tcW w:w="704" w:type="pct"/>
          </w:tcPr>
          <w:p w14:paraId="53A2FCE6" w14:textId="243C1413"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Покрит брой,</w:t>
            </w:r>
            <w:r w:rsidR="00560454" w:rsidRPr="00480D32">
              <w:rPr>
                <w:rFonts w:eastAsia="Times New Roman" w:cs="Times New Roman"/>
                <w:b/>
                <w:bCs/>
                <w:szCs w:val="24"/>
                <w:lang w:val="bg-BG"/>
              </w:rPr>
              <w:t>%</w:t>
            </w:r>
          </w:p>
        </w:tc>
        <w:tc>
          <w:tcPr>
            <w:tcW w:w="748" w:type="pct"/>
          </w:tcPr>
          <w:p w14:paraId="2ECCEC4E" w14:textId="7B1C6C84"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Покрита площ,</w:t>
            </w:r>
            <w:r w:rsidR="00560454" w:rsidRPr="00480D32">
              <w:rPr>
                <w:rFonts w:eastAsia="Times New Roman" w:cs="Times New Roman"/>
                <w:b/>
                <w:bCs/>
                <w:szCs w:val="24"/>
                <w:lang w:val="bg-BG"/>
              </w:rPr>
              <w:t>%</w:t>
            </w:r>
          </w:p>
        </w:tc>
        <w:tc>
          <w:tcPr>
            <w:tcW w:w="749" w:type="pct"/>
          </w:tcPr>
          <w:p w14:paraId="069243A2" w14:textId="0B3FB526"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Покрит брой,</w:t>
            </w:r>
            <w:r w:rsidR="00560454" w:rsidRPr="00480D32">
              <w:rPr>
                <w:rFonts w:eastAsia="Times New Roman" w:cs="Times New Roman"/>
                <w:b/>
                <w:bCs/>
                <w:szCs w:val="24"/>
                <w:lang w:val="bg-BG"/>
              </w:rPr>
              <w:t>%</w:t>
            </w:r>
          </w:p>
        </w:tc>
        <w:tc>
          <w:tcPr>
            <w:tcW w:w="792" w:type="pct"/>
          </w:tcPr>
          <w:p w14:paraId="3439426B" w14:textId="14C385D2"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Покрита площ,</w:t>
            </w:r>
            <w:r w:rsidR="00560454" w:rsidRPr="00480D32">
              <w:rPr>
                <w:rFonts w:eastAsia="Times New Roman" w:cs="Times New Roman"/>
                <w:b/>
                <w:bCs/>
                <w:szCs w:val="24"/>
                <w:lang w:val="bg-BG"/>
              </w:rPr>
              <w:t>%</w:t>
            </w:r>
          </w:p>
        </w:tc>
      </w:tr>
      <w:tr w:rsidR="00066362" w:rsidRPr="00480D32" w14:paraId="178D599A" w14:textId="77777777" w:rsidTr="00552DC2">
        <w:tc>
          <w:tcPr>
            <w:tcW w:w="2007" w:type="pct"/>
          </w:tcPr>
          <w:p w14:paraId="40D01B96" w14:textId="245F969C"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Административни</w:t>
            </w:r>
          </w:p>
        </w:tc>
        <w:tc>
          <w:tcPr>
            <w:tcW w:w="704" w:type="pct"/>
          </w:tcPr>
          <w:p w14:paraId="0ABF19E5" w14:textId="5E497DF5"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16,6</w:t>
            </w:r>
          </w:p>
        </w:tc>
        <w:tc>
          <w:tcPr>
            <w:tcW w:w="748" w:type="pct"/>
          </w:tcPr>
          <w:p w14:paraId="605115D8" w14:textId="641A75AD"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42,2</w:t>
            </w:r>
          </w:p>
        </w:tc>
        <w:tc>
          <w:tcPr>
            <w:tcW w:w="749" w:type="pct"/>
          </w:tcPr>
          <w:p w14:paraId="21BFED64" w14:textId="27F88365"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8,5</w:t>
            </w:r>
          </w:p>
        </w:tc>
        <w:tc>
          <w:tcPr>
            <w:tcW w:w="792" w:type="pct"/>
          </w:tcPr>
          <w:p w14:paraId="5B02DAB6" w14:textId="2E063994"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26,1</w:t>
            </w:r>
          </w:p>
        </w:tc>
      </w:tr>
      <w:tr w:rsidR="00066362" w:rsidRPr="00480D32" w14:paraId="25C4A8EE" w14:textId="77777777" w:rsidTr="00552DC2">
        <w:tc>
          <w:tcPr>
            <w:tcW w:w="2007" w:type="pct"/>
          </w:tcPr>
          <w:p w14:paraId="24B3287D" w14:textId="6A5589B2"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Училища*</w:t>
            </w:r>
          </w:p>
        </w:tc>
        <w:tc>
          <w:tcPr>
            <w:tcW w:w="704" w:type="pct"/>
          </w:tcPr>
          <w:p w14:paraId="0824F817" w14:textId="34BB16D9"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19,5</w:t>
            </w:r>
          </w:p>
        </w:tc>
        <w:tc>
          <w:tcPr>
            <w:tcW w:w="748" w:type="pct"/>
          </w:tcPr>
          <w:p w14:paraId="0D4E3212" w14:textId="27EE7631"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62,3</w:t>
            </w:r>
          </w:p>
        </w:tc>
        <w:tc>
          <w:tcPr>
            <w:tcW w:w="749" w:type="pct"/>
          </w:tcPr>
          <w:p w14:paraId="0BE39A5C" w14:textId="5E9340DB"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9,7</w:t>
            </w:r>
          </w:p>
        </w:tc>
        <w:tc>
          <w:tcPr>
            <w:tcW w:w="792" w:type="pct"/>
          </w:tcPr>
          <w:p w14:paraId="35A56947" w14:textId="7E146122"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30,4</w:t>
            </w:r>
          </w:p>
        </w:tc>
      </w:tr>
      <w:tr w:rsidR="00066362" w:rsidRPr="00480D32" w14:paraId="1923970B" w14:textId="77777777" w:rsidTr="00552DC2">
        <w:tc>
          <w:tcPr>
            <w:tcW w:w="2007" w:type="pct"/>
          </w:tcPr>
          <w:p w14:paraId="049167AA" w14:textId="0A26CBA6"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Университети</w:t>
            </w:r>
          </w:p>
        </w:tc>
        <w:tc>
          <w:tcPr>
            <w:tcW w:w="704" w:type="pct"/>
          </w:tcPr>
          <w:p w14:paraId="594296E2" w14:textId="77777777" w:rsidR="00066362" w:rsidRPr="00480D32" w:rsidRDefault="00066362" w:rsidP="00066362">
            <w:pPr>
              <w:pStyle w:val="ListParagraph"/>
              <w:ind w:left="0"/>
              <w:jc w:val="both"/>
              <w:rPr>
                <w:rFonts w:eastAsia="Times New Roman" w:cs="Times New Roman"/>
                <w:szCs w:val="24"/>
                <w:lang w:val="bg-BG"/>
              </w:rPr>
            </w:pPr>
          </w:p>
        </w:tc>
        <w:tc>
          <w:tcPr>
            <w:tcW w:w="748" w:type="pct"/>
          </w:tcPr>
          <w:p w14:paraId="6AA349CB" w14:textId="77777777" w:rsidR="00066362" w:rsidRPr="00480D32" w:rsidRDefault="00066362" w:rsidP="00066362">
            <w:pPr>
              <w:pStyle w:val="ListParagraph"/>
              <w:ind w:left="0"/>
              <w:jc w:val="both"/>
              <w:rPr>
                <w:rFonts w:eastAsia="Times New Roman" w:cs="Times New Roman"/>
                <w:szCs w:val="24"/>
                <w:lang w:val="bg-BG"/>
              </w:rPr>
            </w:pPr>
          </w:p>
        </w:tc>
        <w:tc>
          <w:tcPr>
            <w:tcW w:w="749" w:type="pct"/>
          </w:tcPr>
          <w:p w14:paraId="1552EDF4" w14:textId="77777777" w:rsidR="00066362" w:rsidRPr="00480D32" w:rsidRDefault="00066362" w:rsidP="00066362">
            <w:pPr>
              <w:pStyle w:val="ListParagraph"/>
              <w:ind w:left="0"/>
              <w:jc w:val="both"/>
              <w:rPr>
                <w:rFonts w:eastAsia="Times New Roman" w:cs="Times New Roman"/>
                <w:szCs w:val="24"/>
                <w:lang w:val="bg-BG"/>
              </w:rPr>
            </w:pPr>
          </w:p>
        </w:tc>
        <w:tc>
          <w:tcPr>
            <w:tcW w:w="792" w:type="pct"/>
          </w:tcPr>
          <w:p w14:paraId="297F7120" w14:textId="77777777" w:rsidR="00066362" w:rsidRPr="00480D32" w:rsidRDefault="00066362" w:rsidP="00066362">
            <w:pPr>
              <w:pStyle w:val="ListParagraph"/>
              <w:ind w:left="0"/>
              <w:jc w:val="both"/>
              <w:rPr>
                <w:rFonts w:eastAsia="Times New Roman" w:cs="Times New Roman"/>
                <w:szCs w:val="24"/>
                <w:lang w:val="bg-BG"/>
              </w:rPr>
            </w:pPr>
          </w:p>
        </w:tc>
      </w:tr>
      <w:tr w:rsidR="00066362" w:rsidRPr="00480D32" w14:paraId="35786D56" w14:textId="77777777" w:rsidTr="00552DC2">
        <w:tc>
          <w:tcPr>
            <w:tcW w:w="2007" w:type="pct"/>
          </w:tcPr>
          <w:p w14:paraId="0566403D" w14:textId="1C1D1E29"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Детски градини и ясли</w:t>
            </w:r>
          </w:p>
        </w:tc>
        <w:tc>
          <w:tcPr>
            <w:tcW w:w="704" w:type="pct"/>
          </w:tcPr>
          <w:p w14:paraId="3EBB2353" w14:textId="31E64A19"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21,2</w:t>
            </w:r>
          </w:p>
        </w:tc>
        <w:tc>
          <w:tcPr>
            <w:tcW w:w="748" w:type="pct"/>
          </w:tcPr>
          <w:p w14:paraId="2C4705B7" w14:textId="4CFA9B45"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51,8</w:t>
            </w:r>
          </w:p>
        </w:tc>
        <w:tc>
          <w:tcPr>
            <w:tcW w:w="749" w:type="pct"/>
          </w:tcPr>
          <w:p w14:paraId="3BB2F9CC" w14:textId="00A659A9"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12,5</w:t>
            </w:r>
          </w:p>
        </w:tc>
        <w:tc>
          <w:tcPr>
            <w:tcW w:w="792" w:type="pct"/>
          </w:tcPr>
          <w:p w14:paraId="5C25E96A" w14:textId="5627CC33"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29,4</w:t>
            </w:r>
          </w:p>
        </w:tc>
      </w:tr>
      <w:tr w:rsidR="00066362" w:rsidRPr="00480D32" w14:paraId="1FE1F2A7" w14:textId="77777777" w:rsidTr="00552DC2">
        <w:tc>
          <w:tcPr>
            <w:tcW w:w="2007" w:type="pct"/>
          </w:tcPr>
          <w:p w14:paraId="6807504F" w14:textId="3B3C3A55"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Сгради в областта на здравеопазването</w:t>
            </w:r>
          </w:p>
        </w:tc>
        <w:tc>
          <w:tcPr>
            <w:tcW w:w="704" w:type="pct"/>
          </w:tcPr>
          <w:p w14:paraId="7BA0DF41" w14:textId="7C8906E5"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10,4</w:t>
            </w:r>
          </w:p>
        </w:tc>
        <w:tc>
          <w:tcPr>
            <w:tcW w:w="748" w:type="pct"/>
          </w:tcPr>
          <w:p w14:paraId="65A1CAC7" w14:textId="6BC65DE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36,0</w:t>
            </w:r>
          </w:p>
        </w:tc>
        <w:tc>
          <w:tcPr>
            <w:tcW w:w="749" w:type="pct"/>
          </w:tcPr>
          <w:p w14:paraId="0AED3267" w14:textId="7E966052"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5,7</w:t>
            </w:r>
          </w:p>
        </w:tc>
        <w:tc>
          <w:tcPr>
            <w:tcW w:w="792" w:type="pct"/>
          </w:tcPr>
          <w:p w14:paraId="48B3416E" w14:textId="3E7FD7B5"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19,9</w:t>
            </w:r>
          </w:p>
        </w:tc>
      </w:tr>
      <w:tr w:rsidR="00066362" w:rsidRPr="00480D32" w14:paraId="450EA1E3" w14:textId="77777777" w:rsidTr="00552DC2">
        <w:tc>
          <w:tcPr>
            <w:tcW w:w="2007" w:type="pct"/>
          </w:tcPr>
          <w:p w14:paraId="3A26B467" w14:textId="423E9979"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Сгради в областта на хотелиерството, ресторантьорството и общественото хранене</w:t>
            </w:r>
          </w:p>
        </w:tc>
        <w:tc>
          <w:tcPr>
            <w:tcW w:w="704" w:type="pct"/>
          </w:tcPr>
          <w:p w14:paraId="79E3B50C" w14:textId="6E3A25C1"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1,6</w:t>
            </w:r>
          </w:p>
        </w:tc>
        <w:tc>
          <w:tcPr>
            <w:tcW w:w="748" w:type="pct"/>
          </w:tcPr>
          <w:p w14:paraId="2FA58133" w14:textId="45E0C358"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9,6</w:t>
            </w:r>
          </w:p>
        </w:tc>
        <w:tc>
          <w:tcPr>
            <w:tcW w:w="749" w:type="pct"/>
          </w:tcPr>
          <w:p w14:paraId="7B5A5478" w14:textId="1E1637F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1,1</w:t>
            </w:r>
          </w:p>
        </w:tc>
        <w:tc>
          <w:tcPr>
            <w:tcW w:w="792" w:type="pct"/>
          </w:tcPr>
          <w:p w14:paraId="536782B8" w14:textId="6E29381A"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6,8</w:t>
            </w:r>
          </w:p>
        </w:tc>
      </w:tr>
      <w:tr w:rsidR="00066362" w:rsidRPr="00480D32" w14:paraId="196A7574" w14:textId="77777777" w:rsidTr="00552DC2">
        <w:tc>
          <w:tcPr>
            <w:tcW w:w="2007" w:type="pct"/>
          </w:tcPr>
          <w:p w14:paraId="5D656185" w14:textId="25388F6F"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Сгради в областта на търговията</w:t>
            </w:r>
          </w:p>
        </w:tc>
        <w:tc>
          <w:tcPr>
            <w:tcW w:w="704" w:type="pct"/>
          </w:tcPr>
          <w:p w14:paraId="155B2647" w14:textId="7CABC3C9"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1,9</w:t>
            </w:r>
          </w:p>
        </w:tc>
        <w:tc>
          <w:tcPr>
            <w:tcW w:w="748" w:type="pct"/>
          </w:tcPr>
          <w:p w14:paraId="64D8280A" w14:textId="0F8B961D"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17,2</w:t>
            </w:r>
          </w:p>
        </w:tc>
        <w:tc>
          <w:tcPr>
            <w:tcW w:w="749" w:type="pct"/>
          </w:tcPr>
          <w:p w14:paraId="5384F4F4" w14:textId="26E9E968"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1,3</w:t>
            </w:r>
          </w:p>
        </w:tc>
        <w:tc>
          <w:tcPr>
            <w:tcW w:w="792" w:type="pct"/>
          </w:tcPr>
          <w:p w14:paraId="2EB60F01" w14:textId="405B438F"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12,5</w:t>
            </w:r>
          </w:p>
        </w:tc>
      </w:tr>
      <w:tr w:rsidR="00066362" w:rsidRPr="00480D32" w14:paraId="5B450CF5" w14:textId="77777777" w:rsidTr="00552DC2">
        <w:tc>
          <w:tcPr>
            <w:tcW w:w="2007" w:type="pct"/>
          </w:tcPr>
          <w:p w14:paraId="24289FAF" w14:textId="707B91BF"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Сгради за спорт</w:t>
            </w:r>
          </w:p>
        </w:tc>
        <w:tc>
          <w:tcPr>
            <w:tcW w:w="704" w:type="pct"/>
          </w:tcPr>
          <w:p w14:paraId="4582CD6C" w14:textId="5C31052D"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9,7</w:t>
            </w:r>
          </w:p>
        </w:tc>
        <w:tc>
          <w:tcPr>
            <w:tcW w:w="748" w:type="pct"/>
          </w:tcPr>
          <w:p w14:paraId="460F81B3" w14:textId="2AD2E6E0"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27,9</w:t>
            </w:r>
          </w:p>
        </w:tc>
        <w:tc>
          <w:tcPr>
            <w:tcW w:w="749" w:type="pct"/>
          </w:tcPr>
          <w:p w14:paraId="5BEF8538" w14:textId="48A94DA6"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7,4</w:t>
            </w:r>
          </w:p>
        </w:tc>
        <w:tc>
          <w:tcPr>
            <w:tcW w:w="792" w:type="pct"/>
          </w:tcPr>
          <w:p w14:paraId="0ED6A358" w14:textId="0F68A145"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21,7</w:t>
            </w:r>
          </w:p>
        </w:tc>
      </w:tr>
      <w:tr w:rsidR="00066362" w:rsidRPr="00480D32" w14:paraId="726C67D8" w14:textId="77777777" w:rsidTr="00552DC2">
        <w:tc>
          <w:tcPr>
            <w:tcW w:w="2007" w:type="pct"/>
          </w:tcPr>
          <w:p w14:paraId="030EF05E" w14:textId="589787C8"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Сгради в областта на културата и изкуствата</w:t>
            </w:r>
          </w:p>
        </w:tc>
        <w:tc>
          <w:tcPr>
            <w:tcW w:w="704" w:type="pct"/>
          </w:tcPr>
          <w:p w14:paraId="6F28060F" w14:textId="7F04BA32"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21,5</w:t>
            </w:r>
          </w:p>
        </w:tc>
        <w:tc>
          <w:tcPr>
            <w:tcW w:w="748" w:type="pct"/>
          </w:tcPr>
          <w:p w14:paraId="6D7D6B54" w14:textId="7BC426D2"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72,8</w:t>
            </w:r>
          </w:p>
        </w:tc>
        <w:tc>
          <w:tcPr>
            <w:tcW w:w="749" w:type="pct"/>
          </w:tcPr>
          <w:p w14:paraId="7F8B6C6C" w14:textId="6B1BA209"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12,1</w:t>
            </w:r>
          </w:p>
        </w:tc>
        <w:tc>
          <w:tcPr>
            <w:tcW w:w="792" w:type="pct"/>
          </w:tcPr>
          <w:p w14:paraId="22CB75A1" w14:textId="6B8A354A"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39,5</w:t>
            </w:r>
          </w:p>
        </w:tc>
      </w:tr>
      <w:tr w:rsidR="00066362" w:rsidRPr="00480D32" w14:paraId="67FEADCF" w14:textId="77777777" w:rsidTr="00552DC2">
        <w:tc>
          <w:tcPr>
            <w:tcW w:w="2007" w:type="pct"/>
          </w:tcPr>
          <w:p w14:paraId="43D8B8D0" w14:textId="06445F55"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Други сгради (с индивидуална скала за клас на енергопотребление)</w:t>
            </w:r>
          </w:p>
        </w:tc>
        <w:tc>
          <w:tcPr>
            <w:tcW w:w="704" w:type="pct"/>
          </w:tcPr>
          <w:p w14:paraId="6C36DA67" w14:textId="7FD566B8"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0,2</w:t>
            </w:r>
          </w:p>
        </w:tc>
        <w:tc>
          <w:tcPr>
            <w:tcW w:w="748" w:type="pct"/>
          </w:tcPr>
          <w:p w14:paraId="0F658F44" w14:textId="04287325"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6,0</w:t>
            </w:r>
          </w:p>
        </w:tc>
        <w:tc>
          <w:tcPr>
            <w:tcW w:w="749" w:type="pct"/>
          </w:tcPr>
          <w:p w14:paraId="4635E245" w14:textId="162EDD35"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0,1</w:t>
            </w:r>
          </w:p>
        </w:tc>
        <w:tc>
          <w:tcPr>
            <w:tcW w:w="792" w:type="pct"/>
          </w:tcPr>
          <w:p w14:paraId="1C363E3F" w14:textId="6925CE68"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3,5</w:t>
            </w:r>
          </w:p>
        </w:tc>
      </w:tr>
      <w:tr w:rsidR="00066362" w:rsidRPr="00480D32" w14:paraId="7A28C26E" w14:textId="77777777" w:rsidTr="00552DC2">
        <w:tc>
          <w:tcPr>
            <w:tcW w:w="2007" w:type="pct"/>
          </w:tcPr>
          <w:p w14:paraId="305EBD82" w14:textId="57A64BB3"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Всички нежилищни сгради</w:t>
            </w:r>
          </w:p>
        </w:tc>
        <w:tc>
          <w:tcPr>
            <w:tcW w:w="704" w:type="pct"/>
          </w:tcPr>
          <w:p w14:paraId="3D98FFDD" w14:textId="6879D088"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b/>
                <w:bCs/>
                <w:szCs w:val="24"/>
                <w:lang w:val="bg-BG"/>
              </w:rPr>
              <w:t>1,9</w:t>
            </w:r>
          </w:p>
        </w:tc>
        <w:tc>
          <w:tcPr>
            <w:tcW w:w="748" w:type="pct"/>
          </w:tcPr>
          <w:p w14:paraId="319CA0BF" w14:textId="10F2DE71"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b/>
                <w:bCs/>
                <w:szCs w:val="24"/>
                <w:lang w:val="bg-BG"/>
              </w:rPr>
              <w:t>21,3</w:t>
            </w:r>
          </w:p>
        </w:tc>
        <w:tc>
          <w:tcPr>
            <w:tcW w:w="749" w:type="pct"/>
          </w:tcPr>
          <w:p w14:paraId="60CF8299" w14:textId="1AE30512"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b/>
                <w:bCs/>
                <w:szCs w:val="24"/>
                <w:lang w:val="bg-BG"/>
              </w:rPr>
              <w:t>1,1</w:t>
            </w:r>
          </w:p>
        </w:tc>
        <w:tc>
          <w:tcPr>
            <w:tcW w:w="792" w:type="pct"/>
          </w:tcPr>
          <w:p w14:paraId="13D1FECD" w14:textId="2AAB06C6"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b/>
                <w:bCs/>
                <w:szCs w:val="24"/>
                <w:lang w:val="bg-BG"/>
              </w:rPr>
              <w:t>12,8</w:t>
            </w:r>
          </w:p>
        </w:tc>
      </w:tr>
    </w:tbl>
    <w:p w14:paraId="08B7EC80" w14:textId="77777777" w:rsidR="006D1686" w:rsidRPr="00066362" w:rsidRDefault="006D1686" w:rsidP="00077D42">
      <w:pPr>
        <w:pStyle w:val="ListParagraph"/>
        <w:spacing w:line="240" w:lineRule="auto"/>
        <w:ind w:left="0"/>
        <w:jc w:val="both"/>
        <w:rPr>
          <w:rFonts w:eastAsia="Times New Roman" w:cs="Times New Roman"/>
          <w:i/>
          <w:iCs/>
          <w:sz w:val="20"/>
          <w:szCs w:val="20"/>
          <w:lang w:val="bg-BG"/>
        </w:rPr>
      </w:pPr>
      <w:r w:rsidRPr="00066362">
        <w:rPr>
          <w:rFonts w:eastAsia="Times New Roman" w:cs="Times New Roman"/>
          <w:i/>
          <w:iCs/>
          <w:sz w:val="20"/>
          <w:szCs w:val="20"/>
          <w:lang w:val="bg-BG"/>
        </w:rPr>
        <w:t>* В националния кадастър няма категория университети и тези сгради спадат към категорията „Сгради за образование“. Представеното процентно покритие на реда за „Училища“ изразява общото покритие на училища и университети спрямо категория „Сгради за образование“ от националния кадастър.</w:t>
      </w:r>
    </w:p>
    <w:p w14:paraId="12F8ABC4"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68E239B2"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 xml:space="preserve">Наблюдаваната значима разлика в процентното покритие на данните за броя и за площта на сертифицираните сгради спрямо данните от кадастъра може да се обясни с факта, че в кадастъра често, когато има многокорпусни сгради отделните корпуси се записват като отделни сгради. При сертифициране на тези сгради обаче те обикновено се разглеждат като една сграда. По този начин броят на сградите отразени в кадастъра се увеличава спрямо другия източник на данни. Затова, считаме, че по-подходящо е всички последващи анализи за енергийните характеристики на сградите с цел определяне на най-лошите сгради е да се извършват спрямо тяхната площ. </w:t>
      </w:r>
    </w:p>
    <w:p w14:paraId="49CC440B"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3C5B46CB"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Няма основание да считаме, че има съществена промяна на енергийните характеристики при сгради, които не са си подновили сертификата. Затова смятаме, че за нуждите на планирането е по-удачно да използваме данните за всички сертифицирания сгради, а не само на тези с валидни сертификати, защото по този начин получаваме по-високо покритие на всички нежилищни сгради и по-висока представителност на извадката за по-нататъшните анализи.</w:t>
      </w:r>
    </w:p>
    <w:p w14:paraId="14B7A9B3"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64F5E43C"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 xml:space="preserve">Енергийните характеристики на отделните типове нежилищни сгради имат значителни различия, в зависимост от спецификите на тяхното функционално предназначение. Поради тази причина, в Република България има определение 9 различни скали за класовете на енергопотребление на нежилищни сгради, а освен това е разработена и методика за </w:t>
      </w:r>
      <w:r w:rsidRPr="006F3533">
        <w:rPr>
          <w:rFonts w:eastAsia="Times New Roman" w:cs="Times New Roman"/>
          <w:szCs w:val="24"/>
          <w:lang w:val="bg-BG"/>
        </w:rPr>
        <w:lastRenderedPageBreak/>
        <w:t xml:space="preserve">определяне на класа по индивидуална скала за всяка друга сграда, за която няма определена фиксирана скала. Поради тази причина, прецизният подход изисква да се анализират поотделно данните за енергийните характеристики за всеки тип нежилищна сграда и да се потърсят различни стойности за енергийните характеристики, които съответстват на най-лошите сгради от всеки тип. </w:t>
      </w:r>
    </w:p>
    <w:p w14:paraId="4841B214"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1B5992C4"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Направени са отделни анализи на данните за всеки от десетте типа нежилищни сгради според класификацията в първата таблица на този план, като анализите са разделени условно в две основни категории:</w:t>
      </w:r>
    </w:p>
    <w:p w14:paraId="56603973" w14:textId="77777777" w:rsidR="006D1686" w:rsidRPr="006F3533" w:rsidRDefault="006D1686">
      <w:pPr>
        <w:pStyle w:val="ListParagraph"/>
        <w:numPr>
          <w:ilvl w:val="0"/>
          <w:numId w:val="3"/>
        </w:numPr>
        <w:spacing w:line="240" w:lineRule="auto"/>
        <w:ind w:left="993"/>
        <w:jc w:val="both"/>
        <w:rPr>
          <w:rFonts w:eastAsia="Times New Roman" w:cs="Times New Roman"/>
          <w:szCs w:val="24"/>
          <w:lang w:val="bg-BG"/>
        </w:rPr>
      </w:pPr>
      <w:r w:rsidRPr="006F3533">
        <w:rPr>
          <w:rFonts w:eastAsia="Times New Roman" w:cs="Times New Roman"/>
          <w:szCs w:val="24"/>
          <w:lang w:val="bg-BG"/>
        </w:rPr>
        <w:t>само за сгради с валидни сертификати;</w:t>
      </w:r>
    </w:p>
    <w:p w14:paraId="4488DF39" w14:textId="77777777" w:rsidR="006D1686" w:rsidRPr="006F3533" w:rsidRDefault="006D1686">
      <w:pPr>
        <w:pStyle w:val="ListParagraph"/>
        <w:numPr>
          <w:ilvl w:val="0"/>
          <w:numId w:val="3"/>
        </w:numPr>
        <w:spacing w:line="240" w:lineRule="auto"/>
        <w:ind w:left="993"/>
        <w:jc w:val="both"/>
        <w:rPr>
          <w:rFonts w:eastAsia="Times New Roman" w:cs="Times New Roman"/>
          <w:szCs w:val="24"/>
          <w:lang w:val="bg-BG"/>
        </w:rPr>
      </w:pPr>
      <w:r w:rsidRPr="006F3533">
        <w:rPr>
          <w:rFonts w:eastAsia="Times New Roman" w:cs="Times New Roman"/>
          <w:szCs w:val="24"/>
          <w:lang w:val="bg-BG"/>
        </w:rPr>
        <w:t xml:space="preserve">за всички сгради. </w:t>
      </w:r>
    </w:p>
    <w:p w14:paraId="51E85D81"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5A5808DC"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Анализите във всяка от тези основни категории са извършени в три условни под-категории:</w:t>
      </w:r>
    </w:p>
    <w:p w14:paraId="7E58C872" w14:textId="77777777" w:rsidR="006D1686" w:rsidRPr="006F3533" w:rsidRDefault="006D1686">
      <w:pPr>
        <w:pStyle w:val="ListParagraph"/>
        <w:numPr>
          <w:ilvl w:val="0"/>
          <w:numId w:val="4"/>
        </w:numPr>
        <w:spacing w:line="240" w:lineRule="auto"/>
        <w:ind w:left="993"/>
        <w:jc w:val="both"/>
        <w:rPr>
          <w:rFonts w:eastAsia="Times New Roman" w:cs="Times New Roman"/>
          <w:szCs w:val="24"/>
          <w:lang w:val="bg-BG"/>
        </w:rPr>
      </w:pPr>
      <w:r w:rsidRPr="006F3533">
        <w:rPr>
          <w:rFonts w:eastAsia="Times New Roman" w:cs="Times New Roman"/>
          <w:szCs w:val="24"/>
          <w:lang w:val="bg-BG"/>
        </w:rPr>
        <w:t xml:space="preserve">отделно за съществуващи сгради; </w:t>
      </w:r>
    </w:p>
    <w:p w14:paraId="2F0EA62A" w14:textId="77777777" w:rsidR="006D1686" w:rsidRPr="006F3533" w:rsidRDefault="006D1686">
      <w:pPr>
        <w:pStyle w:val="ListParagraph"/>
        <w:numPr>
          <w:ilvl w:val="0"/>
          <w:numId w:val="4"/>
        </w:numPr>
        <w:spacing w:line="240" w:lineRule="auto"/>
        <w:ind w:left="993"/>
        <w:jc w:val="both"/>
        <w:rPr>
          <w:rFonts w:eastAsia="Times New Roman" w:cs="Times New Roman"/>
          <w:szCs w:val="24"/>
          <w:lang w:val="bg-BG"/>
        </w:rPr>
      </w:pPr>
      <w:r w:rsidRPr="006F3533">
        <w:rPr>
          <w:rFonts w:eastAsia="Times New Roman" w:cs="Times New Roman"/>
          <w:szCs w:val="24"/>
          <w:lang w:val="bg-BG"/>
        </w:rPr>
        <w:t>отделно за нови сгради;</w:t>
      </w:r>
    </w:p>
    <w:p w14:paraId="600970B3" w14:textId="77777777" w:rsidR="006D1686" w:rsidRPr="006F3533" w:rsidRDefault="006D1686">
      <w:pPr>
        <w:pStyle w:val="ListParagraph"/>
        <w:numPr>
          <w:ilvl w:val="0"/>
          <w:numId w:val="4"/>
        </w:numPr>
        <w:spacing w:line="240" w:lineRule="auto"/>
        <w:ind w:left="993"/>
        <w:jc w:val="both"/>
        <w:rPr>
          <w:rFonts w:eastAsia="Times New Roman" w:cs="Times New Roman"/>
          <w:szCs w:val="24"/>
          <w:lang w:val="bg-BG"/>
        </w:rPr>
      </w:pPr>
      <w:r w:rsidRPr="006F3533">
        <w:rPr>
          <w:rFonts w:eastAsia="Times New Roman" w:cs="Times New Roman"/>
          <w:szCs w:val="24"/>
          <w:lang w:val="bg-BG"/>
        </w:rPr>
        <w:t>общо за съществуващи и нови сгради.</w:t>
      </w:r>
    </w:p>
    <w:p w14:paraId="65355BE4"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4B132400"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За всяка под-категория е определено разпределението на сградите по класове на енергопотребление, както следва:</w:t>
      </w:r>
    </w:p>
    <w:p w14:paraId="3858FC9A" w14:textId="77777777" w:rsidR="006D1686" w:rsidRPr="006F3533" w:rsidRDefault="006D1686">
      <w:pPr>
        <w:pStyle w:val="ListParagraph"/>
        <w:numPr>
          <w:ilvl w:val="0"/>
          <w:numId w:val="5"/>
        </w:numPr>
        <w:spacing w:line="240" w:lineRule="auto"/>
        <w:ind w:left="1276"/>
        <w:jc w:val="both"/>
        <w:rPr>
          <w:rFonts w:eastAsia="Times New Roman" w:cs="Times New Roman"/>
          <w:szCs w:val="24"/>
          <w:lang w:val="bg-BG"/>
        </w:rPr>
      </w:pPr>
      <w:r w:rsidRPr="006F3533">
        <w:rPr>
          <w:rFonts w:eastAsia="Times New Roman" w:cs="Times New Roman"/>
          <w:szCs w:val="24"/>
          <w:lang w:val="bg-BG"/>
        </w:rPr>
        <w:t>по брой сгради;</w:t>
      </w:r>
    </w:p>
    <w:p w14:paraId="48DF694D" w14:textId="77777777" w:rsidR="006D1686" w:rsidRPr="006F3533" w:rsidRDefault="006D1686">
      <w:pPr>
        <w:pStyle w:val="ListParagraph"/>
        <w:numPr>
          <w:ilvl w:val="0"/>
          <w:numId w:val="5"/>
        </w:numPr>
        <w:spacing w:line="240" w:lineRule="auto"/>
        <w:ind w:left="1276"/>
        <w:jc w:val="both"/>
        <w:rPr>
          <w:rFonts w:eastAsia="Times New Roman" w:cs="Times New Roman"/>
          <w:szCs w:val="24"/>
          <w:lang w:val="bg-BG"/>
        </w:rPr>
      </w:pPr>
      <w:r w:rsidRPr="006F3533">
        <w:rPr>
          <w:rFonts w:eastAsia="Times New Roman" w:cs="Times New Roman"/>
          <w:szCs w:val="24"/>
          <w:lang w:val="bg-BG"/>
        </w:rPr>
        <w:t xml:space="preserve">по </w:t>
      </w:r>
      <w:proofErr w:type="spellStart"/>
      <w:r w:rsidRPr="006F3533">
        <w:rPr>
          <w:rFonts w:eastAsia="Times New Roman" w:cs="Times New Roman"/>
          <w:szCs w:val="24"/>
          <w:lang w:val="bg-BG"/>
        </w:rPr>
        <w:t>кондиционирана</w:t>
      </w:r>
      <w:proofErr w:type="spellEnd"/>
      <w:r w:rsidRPr="006F3533">
        <w:rPr>
          <w:rFonts w:eastAsia="Times New Roman" w:cs="Times New Roman"/>
          <w:szCs w:val="24"/>
          <w:lang w:val="bg-BG"/>
        </w:rPr>
        <w:t xml:space="preserve"> площ – всички енергийни характеристики в Република България се определят спрямо </w:t>
      </w:r>
      <w:proofErr w:type="spellStart"/>
      <w:r w:rsidRPr="006F3533">
        <w:rPr>
          <w:rFonts w:eastAsia="Times New Roman" w:cs="Times New Roman"/>
          <w:szCs w:val="24"/>
          <w:lang w:val="bg-BG"/>
        </w:rPr>
        <w:t>кондиционираната</w:t>
      </w:r>
      <w:proofErr w:type="spellEnd"/>
      <w:r w:rsidRPr="006F3533">
        <w:rPr>
          <w:rFonts w:eastAsia="Times New Roman" w:cs="Times New Roman"/>
          <w:szCs w:val="24"/>
          <w:lang w:val="bg-BG"/>
        </w:rPr>
        <w:t xml:space="preserve"> площ, в т.ч. и класа на енергопотребление – спрямо общото специфично енергопотребление на </w:t>
      </w:r>
      <w:proofErr w:type="spellStart"/>
      <w:r w:rsidRPr="006F3533">
        <w:rPr>
          <w:rFonts w:eastAsia="Times New Roman" w:cs="Times New Roman"/>
          <w:szCs w:val="24"/>
          <w:lang w:val="bg-BG"/>
        </w:rPr>
        <w:t>невъзобновяема</w:t>
      </w:r>
      <w:proofErr w:type="spellEnd"/>
      <w:r w:rsidRPr="006F3533">
        <w:rPr>
          <w:rFonts w:eastAsia="Times New Roman" w:cs="Times New Roman"/>
          <w:szCs w:val="24"/>
          <w:lang w:val="bg-BG"/>
        </w:rPr>
        <w:t xml:space="preserve"> енергия на единица </w:t>
      </w:r>
      <w:proofErr w:type="spellStart"/>
      <w:r w:rsidRPr="006F3533">
        <w:rPr>
          <w:rFonts w:eastAsia="Times New Roman" w:cs="Times New Roman"/>
          <w:szCs w:val="24"/>
          <w:lang w:val="bg-BG"/>
        </w:rPr>
        <w:t>кондиционирана</w:t>
      </w:r>
      <w:proofErr w:type="spellEnd"/>
      <w:r w:rsidRPr="006F3533">
        <w:rPr>
          <w:rFonts w:eastAsia="Times New Roman" w:cs="Times New Roman"/>
          <w:szCs w:val="24"/>
          <w:lang w:val="bg-BG"/>
        </w:rPr>
        <w:t xml:space="preserve"> площ. В този смисъл, данните за разгънатата застроена площ на сградите са използвани за определяне на процентното покритие и представителността на разглежданата извадка, съответстваща на данните за сертифицираните сгради от съответния тип, а </w:t>
      </w:r>
      <w:proofErr w:type="spellStart"/>
      <w:r w:rsidRPr="006F3533">
        <w:rPr>
          <w:rFonts w:eastAsia="Times New Roman" w:cs="Times New Roman"/>
          <w:szCs w:val="24"/>
          <w:lang w:val="bg-BG"/>
        </w:rPr>
        <w:t>кондиционираната</w:t>
      </w:r>
      <w:proofErr w:type="spellEnd"/>
      <w:r w:rsidRPr="006F3533">
        <w:rPr>
          <w:rFonts w:eastAsia="Times New Roman" w:cs="Times New Roman"/>
          <w:szCs w:val="24"/>
          <w:lang w:val="bg-BG"/>
        </w:rPr>
        <w:t xml:space="preserve"> площ за определяне на енергийните характеристики и класа на енергопотребление на най-лошите сгради.</w:t>
      </w:r>
    </w:p>
    <w:p w14:paraId="3DD78225"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0FA890BF"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В съответствие с това разпределение е определено в кой клас на енергопотребление попада 16-ият процент на най-лошите сгради спрямо общия брой и съответно спрямо общата площ на нежилищните сгради от съответния тип. Пе същия начин е процедирано и относно 26-ия процент на нежилищните сгради с най-лоши характеристики.</w:t>
      </w:r>
    </w:p>
    <w:p w14:paraId="50C5B7EB"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4C2D859E"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 xml:space="preserve">Отделно е направен анализ и по интегрираната енергийна характеристика на сградите „Първична </w:t>
      </w:r>
      <w:proofErr w:type="spellStart"/>
      <w:r w:rsidRPr="006F3533">
        <w:rPr>
          <w:rFonts w:eastAsia="Times New Roman" w:cs="Times New Roman"/>
          <w:szCs w:val="24"/>
          <w:lang w:val="bg-BG"/>
        </w:rPr>
        <w:t>невъзобновяема</w:t>
      </w:r>
      <w:proofErr w:type="spellEnd"/>
      <w:r w:rsidRPr="006F3533">
        <w:rPr>
          <w:rFonts w:eastAsia="Times New Roman" w:cs="Times New Roman"/>
          <w:szCs w:val="24"/>
          <w:lang w:val="bg-BG"/>
        </w:rPr>
        <w:t xml:space="preserve"> енергия на единица </w:t>
      </w:r>
      <w:proofErr w:type="spellStart"/>
      <w:r w:rsidRPr="006F3533">
        <w:rPr>
          <w:rFonts w:eastAsia="Times New Roman" w:cs="Times New Roman"/>
          <w:szCs w:val="24"/>
          <w:lang w:val="bg-BG"/>
        </w:rPr>
        <w:t>кондиционирана</w:t>
      </w:r>
      <w:proofErr w:type="spellEnd"/>
      <w:r w:rsidRPr="006F3533">
        <w:rPr>
          <w:rFonts w:eastAsia="Times New Roman" w:cs="Times New Roman"/>
          <w:szCs w:val="24"/>
          <w:lang w:val="bg-BG"/>
        </w:rPr>
        <w:t xml:space="preserve"> площ, </w:t>
      </w:r>
      <w:proofErr w:type="spellStart"/>
      <w:r w:rsidRPr="006F3533">
        <w:rPr>
          <w:rFonts w:eastAsia="Times New Roman" w:cs="Times New Roman"/>
          <w:szCs w:val="24"/>
          <w:lang w:val="bg-BG"/>
        </w:rPr>
        <w:t>kWh</w:t>
      </w:r>
      <w:proofErr w:type="spellEnd"/>
      <w:r w:rsidRPr="006F3533">
        <w:rPr>
          <w:rFonts w:eastAsia="Times New Roman" w:cs="Times New Roman"/>
          <w:szCs w:val="24"/>
          <w:lang w:val="bg-BG"/>
        </w:rPr>
        <w:t>/m2”, която се използва при сертифициране на сградите. За всеки тип сграда е определен стойността съответстваща на 16-ия процент на сградите с най-лоши такива характеристики по брой и по площ. По същия начин е процедирано и относно 26-ия процент на най-лошите сгради.</w:t>
      </w:r>
    </w:p>
    <w:p w14:paraId="096BD0AC"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08311AE6"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 xml:space="preserve">Възможните индикатори, които може да бъдат използвани за определяне на минималните стандарти за енергийните характеристики на нежилищните сгради са три – енергийна характеристика по първично потребление, енергийна характеристики по крайно </w:t>
      </w:r>
      <w:r w:rsidRPr="006F3533">
        <w:rPr>
          <w:rFonts w:eastAsia="Times New Roman" w:cs="Times New Roman"/>
          <w:szCs w:val="24"/>
          <w:lang w:val="bg-BG"/>
        </w:rPr>
        <w:lastRenderedPageBreak/>
        <w:t xml:space="preserve">потребление и клас на енергопотребление. Основните предимства на всеки от трите възможни индикатори са следните: </w:t>
      </w:r>
    </w:p>
    <w:p w14:paraId="5EE196CF" w14:textId="77777777" w:rsidR="006D1686" w:rsidRPr="006F3533" w:rsidRDefault="006D1686">
      <w:pPr>
        <w:pStyle w:val="ListParagraph"/>
        <w:numPr>
          <w:ilvl w:val="0"/>
          <w:numId w:val="3"/>
        </w:numPr>
        <w:spacing w:line="240" w:lineRule="auto"/>
        <w:ind w:left="993"/>
        <w:jc w:val="both"/>
        <w:rPr>
          <w:rFonts w:eastAsia="Times New Roman" w:cs="Times New Roman"/>
          <w:szCs w:val="24"/>
          <w:lang w:val="bg-BG"/>
        </w:rPr>
      </w:pPr>
      <w:r w:rsidRPr="006F3533">
        <w:rPr>
          <w:rFonts w:eastAsia="Times New Roman" w:cs="Times New Roman"/>
          <w:szCs w:val="24"/>
          <w:lang w:val="bg-BG"/>
        </w:rPr>
        <w:t>първично енергопотребление – съвпада с индикатора, който се използва за сертифицирането на сградите и позволява по-добра съпоставимост на енергийните характеристики;</w:t>
      </w:r>
    </w:p>
    <w:p w14:paraId="0F637851" w14:textId="77777777" w:rsidR="006D1686" w:rsidRPr="006F3533" w:rsidRDefault="006D1686">
      <w:pPr>
        <w:pStyle w:val="ListParagraph"/>
        <w:numPr>
          <w:ilvl w:val="0"/>
          <w:numId w:val="3"/>
        </w:numPr>
        <w:spacing w:line="240" w:lineRule="auto"/>
        <w:ind w:left="993"/>
        <w:jc w:val="both"/>
        <w:rPr>
          <w:rFonts w:eastAsia="Times New Roman" w:cs="Times New Roman"/>
          <w:szCs w:val="24"/>
          <w:lang w:val="bg-BG"/>
        </w:rPr>
      </w:pPr>
      <w:r w:rsidRPr="006F3533">
        <w:rPr>
          <w:rFonts w:eastAsia="Times New Roman" w:cs="Times New Roman"/>
          <w:szCs w:val="24"/>
          <w:lang w:val="bg-BG"/>
        </w:rPr>
        <w:t>клас на енергопотребление – най-ясен и най-разбираем за широката общественост;</w:t>
      </w:r>
    </w:p>
    <w:p w14:paraId="760B6B3A" w14:textId="77777777" w:rsidR="006D1686" w:rsidRPr="006F3533" w:rsidRDefault="006D1686">
      <w:pPr>
        <w:pStyle w:val="ListParagraph"/>
        <w:numPr>
          <w:ilvl w:val="0"/>
          <w:numId w:val="3"/>
        </w:numPr>
        <w:spacing w:line="240" w:lineRule="auto"/>
        <w:ind w:left="993"/>
        <w:jc w:val="both"/>
        <w:rPr>
          <w:rFonts w:eastAsia="Times New Roman" w:cs="Times New Roman"/>
          <w:szCs w:val="24"/>
          <w:lang w:val="bg-BG"/>
        </w:rPr>
      </w:pPr>
      <w:r w:rsidRPr="006F3533">
        <w:rPr>
          <w:rFonts w:eastAsia="Times New Roman" w:cs="Times New Roman"/>
          <w:szCs w:val="24"/>
          <w:lang w:val="bg-BG"/>
        </w:rPr>
        <w:t>крайно енергопотребление – вероятно по-лесно събиране на данни за сградите от сметките за енергия.</w:t>
      </w:r>
    </w:p>
    <w:p w14:paraId="2F1D8BEE" w14:textId="77777777" w:rsidR="006D1686" w:rsidRPr="006F3533" w:rsidRDefault="006D1686" w:rsidP="00077D42">
      <w:pPr>
        <w:pStyle w:val="ListParagraph"/>
        <w:spacing w:line="240" w:lineRule="auto"/>
        <w:ind w:left="0"/>
        <w:jc w:val="both"/>
        <w:rPr>
          <w:rFonts w:eastAsia="Times New Roman" w:cs="Times New Roman"/>
          <w:szCs w:val="24"/>
          <w:highlight w:val="yellow"/>
          <w:lang w:val="bg-BG"/>
        </w:rPr>
      </w:pPr>
    </w:p>
    <w:p w14:paraId="1B8DE6AE"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 xml:space="preserve">Тъй като основната цел на въвеждането на минимални стандарти за енергийните характеристики на нежилищните сгради е стимулиране на тяхното обновяване е важно от комуникационна гледна точка избраният индикатор да бъде ясен и разбираме за собствениците на сгради. От тази гледна точка най-подходящ е класът на енергопотребление, но той от друга страна е най-неточния индикатор, тъй като обхвата на енергийните характеристики съответстващи на всеки клас е широк. Необходима е по- прецизна гранична стойност и най-подходящо за целта е специфичното потребление на първична </w:t>
      </w:r>
      <w:proofErr w:type="spellStart"/>
      <w:r w:rsidRPr="006F3533">
        <w:rPr>
          <w:rFonts w:eastAsia="Times New Roman" w:cs="Times New Roman"/>
          <w:szCs w:val="24"/>
          <w:lang w:val="bg-BG"/>
        </w:rPr>
        <w:t>невъзобновяема</w:t>
      </w:r>
      <w:proofErr w:type="spellEnd"/>
      <w:r w:rsidRPr="006F3533">
        <w:rPr>
          <w:rFonts w:eastAsia="Times New Roman" w:cs="Times New Roman"/>
          <w:szCs w:val="24"/>
          <w:lang w:val="bg-BG"/>
        </w:rPr>
        <w:t xml:space="preserve"> енергия, с което ще се постигне най-добра съпоставимост със националната схема за сертифициране на сгради. Затова </w:t>
      </w:r>
      <w:r w:rsidRPr="006F3533">
        <w:rPr>
          <w:rFonts w:eastAsia="Times New Roman" w:cs="Times New Roman"/>
          <w:b/>
          <w:bCs/>
          <w:szCs w:val="24"/>
          <w:lang w:val="bg-BG"/>
        </w:rPr>
        <w:t>изборът на индикатор се спира на комбинация от клас на енергопотребление и първично потребление</w:t>
      </w:r>
      <w:r w:rsidRPr="006F3533">
        <w:rPr>
          <w:rFonts w:eastAsia="Times New Roman" w:cs="Times New Roman"/>
          <w:szCs w:val="24"/>
          <w:lang w:val="bg-BG"/>
        </w:rPr>
        <w:t>.</w:t>
      </w:r>
    </w:p>
    <w:p w14:paraId="2DD7640C" w14:textId="77777777" w:rsidR="006D1686" w:rsidRPr="006F3533" w:rsidRDefault="006D1686" w:rsidP="00077D42">
      <w:pPr>
        <w:pStyle w:val="ListParagraph"/>
        <w:spacing w:line="240" w:lineRule="auto"/>
        <w:ind w:left="0"/>
        <w:jc w:val="both"/>
        <w:rPr>
          <w:rFonts w:eastAsia="Times New Roman" w:cs="Times New Roman"/>
          <w:szCs w:val="24"/>
          <w:highlight w:val="yellow"/>
          <w:lang w:val="bg-BG"/>
        </w:rPr>
      </w:pPr>
    </w:p>
    <w:p w14:paraId="3B25FB19"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Преди да се пристъпи към избор на стойностите на индикатора за минималните стандарти за енергийните характеристики на нежилищни сгради се въвеждат следните допълнителни ограничителни правила:</w:t>
      </w:r>
    </w:p>
    <w:p w14:paraId="3B1EC6A6"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26B79C9B" w14:textId="5D2DCD59" w:rsidR="006D1686" w:rsidRPr="006F3533" w:rsidRDefault="006D1686">
      <w:pPr>
        <w:pStyle w:val="ListParagraph"/>
        <w:numPr>
          <w:ilvl w:val="0"/>
          <w:numId w:val="6"/>
        </w:numPr>
        <w:spacing w:line="240" w:lineRule="auto"/>
        <w:ind w:left="993"/>
        <w:jc w:val="both"/>
        <w:rPr>
          <w:rFonts w:eastAsia="Times New Roman" w:cs="Times New Roman"/>
          <w:szCs w:val="24"/>
          <w:lang w:val="bg-BG"/>
        </w:rPr>
      </w:pPr>
      <w:r w:rsidRPr="006F3533">
        <w:rPr>
          <w:rFonts w:eastAsia="Times New Roman" w:cs="Times New Roman"/>
          <w:szCs w:val="24"/>
          <w:lang w:val="bg-BG"/>
        </w:rPr>
        <w:t xml:space="preserve">За да се считат за представителни резултатите от извършения анализ на данните от националната база данни за обследваните и сертифицирани сгради за определен тип сгради е необходимо процентното покритие по брой сгради да е </w:t>
      </w:r>
      <w:r w:rsidR="00066362" w:rsidRPr="00066362">
        <w:rPr>
          <w:rFonts w:eastAsia="Times New Roman" w:cs="Times New Roman"/>
          <w:szCs w:val="24"/>
          <w:lang w:val="bg-BG"/>
        </w:rPr>
        <w:t xml:space="preserve">поне 20% и процентното покритие по площ да е поне 30%. </w:t>
      </w:r>
      <w:r w:rsidRPr="006F3533">
        <w:rPr>
          <w:rFonts w:eastAsia="Times New Roman" w:cs="Times New Roman"/>
          <w:szCs w:val="24"/>
          <w:lang w:val="bg-BG"/>
        </w:rPr>
        <w:t>Ако едно от тези две условия не е изпълнено за даден тип нежилищни сгради, извадката се счита за непредставителна.</w:t>
      </w:r>
    </w:p>
    <w:p w14:paraId="6CFFB907" w14:textId="77777777" w:rsidR="006D1686" w:rsidRPr="006F3533" w:rsidRDefault="006D1686">
      <w:pPr>
        <w:pStyle w:val="ListParagraph"/>
        <w:numPr>
          <w:ilvl w:val="0"/>
          <w:numId w:val="6"/>
        </w:numPr>
        <w:spacing w:line="240" w:lineRule="auto"/>
        <w:ind w:left="993"/>
        <w:jc w:val="both"/>
        <w:rPr>
          <w:rFonts w:eastAsia="Times New Roman" w:cs="Times New Roman"/>
          <w:szCs w:val="24"/>
          <w:lang w:val="bg-BG"/>
        </w:rPr>
      </w:pPr>
      <w:r w:rsidRPr="006F3533">
        <w:rPr>
          <w:rFonts w:eastAsia="Times New Roman" w:cs="Times New Roman"/>
          <w:szCs w:val="24"/>
          <w:lang w:val="bg-BG"/>
        </w:rPr>
        <w:t>Ако за даден тип нежилищни сгради анализът на резултатите показва, че граничната стойност на енергийните характеристики за най-лошите 16% от сградите попада в най-ниския клас на енергопотребление G, тогава се приема за гранична стойност горната стойност на обхвата на скалата за по-високия клас F. Целта е към 2030 г. да няма нежилищни сгради от най-нисък клас на енергопотребление.</w:t>
      </w:r>
    </w:p>
    <w:p w14:paraId="296A2FC4" w14:textId="77777777" w:rsidR="006D1686" w:rsidRPr="006F3533" w:rsidRDefault="006D1686">
      <w:pPr>
        <w:pStyle w:val="ListParagraph"/>
        <w:numPr>
          <w:ilvl w:val="0"/>
          <w:numId w:val="6"/>
        </w:numPr>
        <w:spacing w:line="240" w:lineRule="auto"/>
        <w:ind w:left="993"/>
        <w:jc w:val="both"/>
        <w:rPr>
          <w:rFonts w:eastAsia="Times New Roman" w:cs="Times New Roman"/>
          <w:szCs w:val="24"/>
          <w:lang w:val="bg-BG"/>
        </w:rPr>
      </w:pPr>
      <w:r w:rsidRPr="006F3533">
        <w:rPr>
          <w:rFonts w:eastAsia="Times New Roman" w:cs="Times New Roman"/>
          <w:szCs w:val="24"/>
          <w:lang w:val="bg-BG"/>
        </w:rPr>
        <w:t>Ако за даден тип нежилищни сгради анализът на резултатите показва, че граничната стойност на енергийните характеристики за 16-те процента и за 26-те процента най-лоши сгради попада в един и същи клас на енергопотребление, тогава за гранична стойност за 26-те процента най-лоши сгради се приема горната стойност на обхвата на скалата за следващия по-висок клас на енергопотребление.</w:t>
      </w:r>
    </w:p>
    <w:p w14:paraId="69B72D2B" w14:textId="77777777" w:rsidR="006D1686" w:rsidRPr="006F3533" w:rsidRDefault="006D1686">
      <w:pPr>
        <w:pStyle w:val="ListParagraph"/>
        <w:numPr>
          <w:ilvl w:val="0"/>
          <w:numId w:val="6"/>
        </w:numPr>
        <w:spacing w:line="240" w:lineRule="auto"/>
        <w:ind w:left="993"/>
        <w:jc w:val="both"/>
        <w:rPr>
          <w:rFonts w:eastAsia="Times New Roman" w:cs="Times New Roman"/>
          <w:szCs w:val="24"/>
          <w:lang w:val="bg-BG"/>
        </w:rPr>
      </w:pPr>
      <w:r w:rsidRPr="006F3533">
        <w:rPr>
          <w:rFonts w:eastAsia="Times New Roman" w:cs="Times New Roman"/>
          <w:szCs w:val="24"/>
          <w:lang w:val="bg-BG"/>
        </w:rPr>
        <w:lastRenderedPageBreak/>
        <w:t>Ако според резултатите от анализа за даден тип нежилищни сгради стойността на енергийната характеристики съответстваща на най-лошите 16 или 26 процента от сградите е нецяло число, стойността и се закръглява до цяло число, надолу.</w:t>
      </w:r>
    </w:p>
    <w:p w14:paraId="334CC8F4" w14:textId="77777777" w:rsidR="006D1686" w:rsidRPr="006F3533" w:rsidRDefault="006D1686" w:rsidP="00077D42">
      <w:pPr>
        <w:pStyle w:val="ListParagraph"/>
        <w:spacing w:line="240" w:lineRule="auto"/>
        <w:ind w:left="993"/>
        <w:jc w:val="both"/>
        <w:rPr>
          <w:rFonts w:eastAsia="Times New Roman" w:cs="Times New Roman"/>
          <w:szCs w:val="24"/>
          <w:lang w:val="bg-BG"/>
        </w:rPr>
      </w:pPr>
    </w:p>
    <w:p w14:paraId="23C5F58F"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 xml:space="preserve">Както беше отбелязано по-горе е прието анализите на енергийните характеристики да се извършат спрямо пълната налична база данни от всички издадени сертификати – валидни и невалидни, защото по този начин се постига по-голяма представителност на данните. Поради същата причина е избрано за остойностяването на индикаторите да се използват данните от анализа на енергийните характеристики по площ. </w:t>
      </w:r>
    </w:p>
    <w:p w14:paraId="7C6A3C46"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129734A8"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Резултатите от анализите показват, че има само два типа нежилищни сгради, за които е изпълнено ограничителното условие по т.1 по-горе – Детски градини и ясли и Сгради в областта на културата и изкуството. Резултатите са следните:</w:t>
      </w:r>
    </w:p>
    <w:p w14:paraId="4DCBC1CF" w14:textId="77777777" w:rsidR="006D1686" w:rsidRPr="006F3533" w:rsidRDefault="006D1686" w:rsidP="00077D42">
      <w:pPr>
        <w:pStyle w:val="ListParagraph"/>
        <w:spacing w:line="240" w:lineRule="auto"/>
        <w:ind w:left="0"/>
        <w:jc w:val="both"/>
        <w:rPr>
          <w:rFonts w:eastAsia="Times New Roman" w:cs="Times New Roman"/>
          <w:szCs w:val="24"/>
          <w:lang w:val="bg-BG"/>
        </w:rPr>
      </w:pPr>
    </w:p>
    <w:tbl>
      <w:tblPr>
        <w:tblStyle w:val="TableGrid"/>
        <w:tblW w:w="5000" w:type="pct"/>
        <w:tblLook w:val="04A0" w:firstRow="1" w:lastRow="0" w:firstColumn="1" w:lastColumn="0" w:noHBand="0" w:noVBand="1"/>
      </w:tblPr>
      <w:tblGrid>
        <w:gridCol w:w="3259"/>
        <w:gridCol w:w="1316"/>
        <w:gridCol w:w="1975"/>
        <w:gridCol w:w="1399"/>
        <w:gridCol w:w="1401"/>
      </w:tblGrid>
      <w:tr w:rsidR="006D1686" w:rsidRPr="00480D32" w14:paraId="3501D362" w14:textId="77777777" w:rsidTr="00066362">
        <w:tc>
          <w:tcPr>
            <w:tcW w:w="1743" w:type="pct"/>
          </w:tcPr>
          <w:p w14:paraId="1CD7058E"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Тип нежилищна сграда</w:t>
            </w:r>
          </w:p>
        </w:tc>
        <w:tc>
          <w:tcPr>
            <w:tcW w:w="704" w:type="pct"/>
          </w:tcPr>
          <w:p w14:paraId="7FFCECE0"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 xml:space="preserve">ЕХ, </w:t>
            </w:r>
            <w:proofErr w:type="spellStart"/>
            <w:r w:rsidRPr="00480D32">
              <w:rPr>
                <w:rFonts w:eastAsia="Times New Roman" w:cs="Times New Roman"/>
                <w:b/>
                <w:bCs/>
                <w:szCs w:val="24"/>
                <w:lang w:val="bg-BG"/>
              </w:rPr>
              <w:t>kWh</w:t>
            </w:r>
            <w:proofErr w:type="spellEnd"/>
            <w:r w:rsidRPr="00480D32">
              <w:rPr>
                <w:rFonts w:eastAsia="Times New Roman" w:cs="Times New Roman"/>
                <w:b/>
                <w:bCs/>
                <w:szCs w:val="24"/>
                <w:lang w:val="bg-BG"/>
              </w:rPr>
              <w:t>/m2</w:t>
            </w:r>
          </w:p>
        </w:tc>
        <w:tc>
          <w:tcPr>
            <w:tcW w:w="1056" w:type="pct"/>
          </w:tcPr>
          <w:p w14:paraId="25185AD7"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Клас на енерго-потребление</w:t>
            </w:r>
          </w:p>
        </w:tc>
        <w:tc>
          <w:tcPr>
            <w:tcW w:w="748" w:type="pct"/>
          </w:tcPr>
          <w:p w14:paraId="3261C18C" w14:textId="6E14F14A"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Покри-</w:t>
            </w:r>
            <w:proofErr w:type="spellStart"/>
            <w:r w:rsidRPr="00480D32">
              <w:rPr>
                <w:rFonts w:eastAsia="Times New Roman" w:cs="Times New Roman"/>
                <w:b/>
                <w:bCs/>
                <w:szCs w:val="24"/>
                <w:lang w:val="bg-BG"/>
              </w:rPr>
              <w:t>тие</w:t>
            </w:r>
            <w:proofErr w:type="spellEnd"/>
            <w:r w:rsidRPr="00480D32">
              <w:rPr>
                <w:rFonts w:eastAsia="Times New Roman" w:cs="Times New Roman"/>
                <w:b/>
                <w:bCs/>
                <w:szCs w:val="24"/>
                <w:lang w:val="bg-BG"/>
              </w:rPr>
              <w:t xml:space="preserve"> по брой,</w:t>
            </w:r>
            <w:r w:rsidR="00560454" w:rsidRPr="00480D32">
              <w:rPr>
                <w:rFonts w:eastAsia="Times New Roman" w:cs="Times New Roman"/>
                <w:b/>
                <w:bCs/>
                <w:szCs w:val="24"/>
                <w:lang w:val="bg-BG"/>
              </w:rPr>
              <w:t>%</w:t>
            </w:r>
          </w:p>
        </w:tc>
        <w:tc>
          <w:tcPr>
            <w:tcW w:w="749" w:type="pct"/>
          </w:tcPr>
          <w:p w14:paraId="6B4AF0B9" w14:textId="385F5FE9"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Покри-</w:t>
            </w:r>
            <w:proofErr w:type="spellStart"/>
            <w:r w:rsidRPr="00480D32">
              <w:rPr>
                <w:rFonts w:eastAsia="Times New Roman" w:cs="Times New Roman"/>
                <w:b/>
                <w:bCs/>
                <w:szCs w:val="24"/>
                <w:lang w:val="bg-BG"/>
              </w:rPr>
              <w:t>тие</w:t>
            </w:r>
            <w:proofErr w:type="spellEnd"/>
            <w:r w:rsidRPr="00480D32">
              <w:rPr>
                <w:rFonts w:eastAsia="Times New Roman" w:cs="Times New Roman"/>
                <w:b/>
                <w:bCs/>
                <w:szCs w:val="24"/>
                <w:lang w:val="bg-BG"/>
              </w:rPr>
              <w:t xml:space="preserve"> по площ,</w:t>
            </w:r>
            <w:r w:rsidR="00560454" w:rsidRPr="00480D32">
              <w:rPr>
                <w:rFonts w:eastAsia="Times New Roman" w:cs="Times New Roman"/>
                <w:b/>
                <w:bCs/>
                <w:szCs w:val="24"/>
                <w:lang w:val="bg-BG"/>
              </w:rPr>
              <w:t>%</w:t>
            </w:r>
          </w:p>
        </w:tc>
      </w:tr>
      <w:tr w:rsidR="006D1686" w:rsidRPr="00480D32" w14:paraId="6B239954" w14:textId="77777777" w:rsidTr="00552DC2">
        <w:tc>
          <w:tcPr>
            <w:tcW w:w="5000" w:type="pct"/>
            <w:gridSpan w:val="5"/>
          </w:tcPr>
          <w:p w14:paraId="221718EA"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16% нежилищни сгради с най-лоши характеристики</w:t>
            </w:r>
          </w:p>
        </w:tc>
      </w:tr>
      <w:tr w:rsidR="00066362" w:rsidRPr="00480D32" w14:paraId="14B0C331" w14:textId="77777777" w:rsidTr="00066362">
        <w:tc>
          <w:tcPr>
            <w:tcW w:w="1743" w:type="pct"/>
          </w:tcPr>
          <w:p w14:paraId="4FBE20ED" w14:textId="5ED1AEBD"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Детски градини и ясли</w:t>
            </w:r>
          </w:p>
        </w:tc>
        <w:tc>
          <w:tcPr>
            <w:tcW w:w="704" w:type="pct"/>
          </w:tcPr>
          <w:p w14:paraId="4C021637" w14:textId="7777777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321</w:t>
            </w:r>
          </w:p>
        </w:tc>
        <w:tc>
          <w:tcPr>
            <w:tcW w:w="1056" w:type="pct"/>
          </w:tcPr>
          <w:p w14:paraId="071B07F6" w14:textId="7777777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Е</w:t>
            </w:r>
          </w:p>
        </w:tc>
        <w:tc>
          <w:tcPr>
            <w:tcW w:w="748" w:type="pct"/>
          </w:tcPr>
          <w:p w14:paraId="330D22E3" w14:textId="1D3AB4F4"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21,2</w:t>
            </w:r>
          </w:p>
        </w:tc>
        <w:tc>
          <w:tcPr>
            <w:tcW w:w="749" w:type="pct"/>
          </w:tcPr>
          <w:p w14:paraId="1A0032FD" w14:textId="647CFC60"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51,8</w:t>
            </w:r>
          </w:p>
        </w:tc>
      </w:tr>
      <w:tr w:rsidR="00066362" w:rsidRPr="00480D32" w14:paraId="60FBE843" w14:textId="77777777" w:rsidTr="00066362">
        <w:tc>
          <w:tcPr>
            <w:tcW w:w="1743" w:type="pct"/>
          </w:tcPr>
          <w:p w14:paraId="5C3CF9E1" w14:textId="29F0A070"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Сгради в областта на културата и изкуството</w:t>
            </w:r>
          </w:p>
        </w:tc>
        <w:tc>
          <w:tcPr>
            <w:tcW w:w="704" w:type="pct"/>
          </w:tcPr>
          <w:p w14:paraId="2A4B06BB" w14:textId="7777777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398</w:t>
            </w:r>
          </w:p>
        </w:tc>
        <w:tc>
          <w:tcPr>
            <w:tcW w:w="1056" w:type="pct"/>
          </w:tcPr>
          <w:p w14:paraId="1B4DED2E" w14:textId="7777777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Е</w:t>
            </w:r>
          </w:p>
        </w:tc>
        <w:tc>
          <w:tcPr>
            <w:tcW w:w="748" w:type="pct"/>
          </w:tcPr>
          <w:p w14:paraId="1790CEDC" w14:textId="326A4064"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21,5</w:t>
            </w:r>
          </w:p>
        </w:tc>
        <w:tc>
          <w:tcPr>
            <w:tcW w:w="749" w:type="pct"/>
          </w:tcPr>
          <w:p w14:paraId="295C9CE6" w14:textId="5A729A62"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72,8</w:t>
            </w:r>
          </w:p>
        </w:tc>
      </w:tr>
      <w:tr w:rsidR="006D1686" w:rsidRPr="00480D32" w14:paraId="138C6D03" w14:textId="77777777" w:rsidTr="00552DC2">
        <w:tc>
          <w:tcPr>
            <w:tcW w:w="5000" w:type="pct"/>
            <w:gridSpan w:val="5"/>
          </w:tcPr>
          <w:p w14:paraId="3B0A41D5"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26% нежилищни сгради с най-лоши характеристики</w:t>
            </w:r>
          </w:p>
        </w:tc>
      </w:tr>
      <w:tr w:rsidR="00066362" w:rsidRPr="00480D32" w14:paraId="071A361C" w14:textId="77777777" w:rsidTr="00066362">
        <w:tc>
          <w:tcPr>
            <w:tcW w:w="1743" w:type="pct"/>
          </w:tcPr>
          <w:p w14:paraId="0D3EBD65" w14:textId="0C6939A4"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Детски градини и ясли</w:t>
            </w:r>
          </w:p>
        </w:tc>
        <w:tc>
          <w:tcPr>
            <w:tcW w:w="704" w:type="pct"/>
          </w:tcPr>
          <w:p w14:paraId="3AF49319" w14:textId="7777777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269</w:t>
            </w:r>
          </w:p>
        </w:tc>
        <w:tc>
          <w:tcPr>
            <w:tcW w:w="1056" w:type="pct"/>
          </w:tcPr>
          <w:p w14:paraId="53BC03E4" w14:textId="7777777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Е</w:t>
            </w:r>
          </w:p>
        </w:tc>
        <w:tc>
          <w:tcPr>
            <w:tcW w:w="748" w:type="pct"/>
          </w:tcPr>
          <w:p w14:paraId="6EEE2B8D" w14:textId="5DD3D65B"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21,2</w:t>
            </w:r>
          </w:p>
        </w:tc>
        <w:tc>
          <w:tcPr>
            <w:tcW w:w="749" w:type="pct"/>
          </w:tcPr>
          <w:p w14:paraId="4209A560" w14:textId="2052EF84"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51,8</w:t>
            </w:r>
          </w:p>
        </w:tc>
      </w:tr>
      <w:tr w:rsidR="00066362" w:rsidRPr="00480D32" w14:paraId="0FAD406B" w14:textId="77777777" w:rsidTr="00066362">
        <w:tc>
          <w:tcPr>
            <w:tcW w:w="1743" w:type="pct"/>
          </w:tcPr>
          <w:p w14:paraId="139A88AC" w14:textId="78518EAA"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Сгради в областта на културата и изкуството</w:t>
            </w:r>
          </w:p>
        </w:tc>
        <w:tc>
          <w:tcPr>
            <w:tcW w:w="704" w:type="pct"/>
          </w:tcPr>
          <w:p w14:paraId="2A79E050" w14:textId="7777777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391</w:t>
            </w:r>
          </w:p>
        </w:tc>
        <w:tc>
          <w:tcPr>
            <w:tcW w:w="1056" w:type="pct"/>
          </w:tcPr>
          <w:p w14:paraId="209F2EE3" w14:textId="77777777"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Е</w:t>
            </w:r>
          </w:p>
        </w:tc>
        <w:tc>
          <w:tcPr>
            <w:tcW w:w="748" w:type="pct"/>
          </w:tcPr>
          <w:p w14:paraId="15D67B6E" w14:textId="38A4F6A1"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21,5</w:t>
            </w:r>
          </w:p>
        </w:tc>
        <w:tc>
          <w:tcPr>
            <w:tcW w:w="749" w:type="pct"/>
          </w:tcPr>
          <w:p w14:paraId="6049F0F1" w14:textId="3F82BA50" w:rsidR="00066362" w:rsidRPr="00480D32" w:rsidRDefault="00066362" w:rsidP="00066362">
            <w:pPr>
              <w:pStyle w:val="ListParagraph"/>
              <w:ind w:left="0"/>
              <w:jc w:val="both"/>
              <w:rPr>
                <w:rFonts w:eastAsia="Times New Roman" w:cs="Times New Roman"/>
                <w:szCs w:val="24"/>
                <w:lang w:val="bg-BG"/>
              </w:rPr>
            </w:pPr>
            <w:r w:rsidRPr="00480D32">
              <w:rPr>
                <w:rFonts w:eastAsia="Times New Roman" w:cs="Times New Roman"/>
                <w:szCs w:val="24"/>
                <w:lang w:val="bg-BG"/>
              </w:rPr>
              <w:t>72,8</w:t>
            </w:r>
          </w:p>
        </w:tc>
      </w:tr>
    </w:tbl>
    <w:p w14:paraId="048D0DCF"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325775DF"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Както е видно, при тези два типа сгради, резултатите от анализите показват енергийна характеристики в един и същ клас на енергопотребление за 16-те и 26-те процента най-лоши сгради. Затова ще бъде приложено условието по т.3 по-горе и за 26-те процента сгради с най-лоши характеристики стойността на индикатора ще бъде определена в съответствие с горната граница на по-високия клас D от скалата на класовете на енергопотребление.</w:t>
      </w:r>
    </w:p>
    <w:p w14:paraId="6051C447"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3BE3B095"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За останалите типове нежилищни сгради се счита, че данните от анализите не са достатъчно представителни, защото не отговарят на ограничителното условие по т.1 по-горе. Затова се приема, по примера на сградите за които има представителна извадка, че за тези типове нежилищни сгради стойността на индикатора за минималните стандарти за енергийни характеристики ще съответства на горната граница за същия клас Е за 16-те процента най-лоши сгради и на горната граница на по-високия клас D за 26-те процента най-лоши сгради. За сградите с индивидуална скала индикаторът за МСЕХ ще се изразява само с клас на енергопотребление.</w:t>
      </w:r>
    </w:p>
    <w:p w14:paraId="28FA2756"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1FC3D49A" w14:textId="77777777" w:rsidR="006D1686"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lastRenderedPageBreak/>
        <w:t>В обобщение, стойностите на индикатора за минималния стандарт за енергийните характеристики на нежилищни сгради за отделните типове сгради е представен в следващата таблица:</w:t>
      </w:r>
    </w:p>
    <w:p w14:paraId="5B93F5DB" w14:textId="77777777" w:rsidR="00552DC2" w:rsidRPr="006F3533" w:rsidRDefault="00552DC2" w:rsidP="00077D42">
      <w:pPr>
        <w:pStyle w:val="ListParagraph"/>
        <w:spacing w:line="240" w:lineRule="auto"/>
        <w:ind w:left="0"/>
        <w:jc w:val="both"/>
        <w:rPr>
          <w:rFonts w:eastAsia="Times New Roman" w:cs="Times New Roman"/>
          <w:szCs w:val="24"/>
          <w:lang w:val="bg-BG"/>
        </w:rPr>
      </w:pPr>
    </w:p>
    <w:tbl>
      <w:tblPr>
        <w:tblStyle w:val="TableGrid"/>
        <w:tblW w:w="5000" w:type="pct"/>
        <w:tblLook w:val="04A0" w:firstRow="1" w:lastRow="0" w:firstColumn="1" w:lastColumn="0" w:noHBand="0" w:noVBand="1"/>
      </w:tblPr>
      <w:tblGrid>
        <w:gridCol w:w="4826"/>
        <w:gridCol w:w="1676"/>
        <w:gridCol w:w="2848"/>
      </w:tblGrid>
      <w:tr w:rsidR="006D1686" w:rsidRPr="00480D32" w14:paraId="2B6A7EE8" w14:textId="77777777" w:rsidTr="00552DC2">
        <w:tc>
          <w:tcPr>
            <w:tcW w:w="2581" w:type="pct"/>
          </w:tcPr>
          <w:p w14:paraId="36BFE0ED"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Тип нежилищна сграда</w:t>
            </w:r>
          </w:p>
        </w:tc>
        <w:tc>
          <w:tcPr>
            <w:tcW w:w="896" w:type="pct"/>
          </w:tcPr>
          <w:p w14:paraId="7A24BAC9"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 xml:space="preserve">ЕХ, </w:t>
            </w:r>
            <w:proofErr w:type="spellStart"/>
            <w:r w:rsidRPr="00480D32">
              <w:rPr>
                <w:rFonts w:eastAsia="Times New Roman" w:cs="Times New Roman"/>
                <w:b/>
                <w:bCs/>
                <w:szCs w:val="24"/>
                <w:lang w:val="bg-BG"/>
              </w:rPr>
              <w:t>kWh</w:t>
            </w:r>
            <w:proofErr w:type="spellEnd"/>
            <w:r w:rsidRPr="00480D32">
              <w:rPr>
                <w:rFonts w:eastAsia="Times New Roman" w:cs="Times New Roman"/>
                <w:b/>
                <w:bCs/>
                <w:szCs w:val="24"/>
                <w:lang w:val="bg-BG"/>
              </w:rPr>
              <w:t>/m2</w:t>
            </w:r>
          </w:p>
        </w:tc>
        <w:tc>
          <w:tcPr>
            <w:tcW w:w="1523" w:type="pct"/>
          </w:tcPr>
          <w:p w14:paraId="6E1EB74A"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Клас на енергопотребление</w:t>
            </w:r>
          </w:p>
        </w:tc>
      </w:tr>
      <w:tr w:rsidR="006D1686" w:rsidRPr="00480D32" w14:paraId="405E7A02" w14:textId="77777777" w:rsidTr="00552DC2">
        <w:tc>
          <w:tcPr>
            <w:tcW w:w="5000" w:type="pct"/>
            <w:gridSpan w:val="3"/>
          </w:tcPr>
          <w:p w14:paraId="2F9348D9" w14:textId="77777777" w:rsidR="006D1686" w:rsidRPr="00480D32" w:rsidRDefault="006D1686" w:rsidP="00077D42">
            <w:pPr>
              <w:pStyle w:val="ListParagraph"/>
              <w:ind w:left="0"/>
              <w:jc w:val="both"/>
              <w:rPr>
                <w:rFonts w:eastAsia="Times New Roman" w:cs="Times New Roman"/>
                <w:b/>
                <w:bCs/>
                <w:szCs w:val="24"/>
                <w:lang w:val="bg-BG"/>
              </w:rPr>
            </w:pPr>
            <w:bookmarkStart w:id="394" w:name="_Hlk216106367"/>
            <w:r w:rsidRPr="00480D32">
              <w:rPr>
                <w:rFonts w:eastAsia="Times New Roman" w:cs="Times New Roman"/>
                <w:b/>
                <w:bCs/>
                <w:szCs w:val="24"/>
                <w:lang w:val="bg-BG"/>
              </w:rPr>
              <w:t>16% нежилищни сгради с най-лоши характеристики</w:t>
            </w:r>
          </w:p>
        </w:tc>
      </w:tr>
      <w:tr w:rsidR="00066362" w:rsidRPr="00480D32" w14:paraId="210147C3" w14:textId="77777777" w:rsidTr="00552DC2">
        <w:tc>
          <w:tcPr>
            <w:tcW w:w="2581" w:type="pct"/>
          </w:tcPr>
          <w:p w14:paraId="037B7C04" w14:textId="08A462CA"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Административни</w:t>
            </w:r>
          </w:p>
        </w:tc>
        <w:tc>
          <w:tcPr>
            <w:tcW w:w="896" w:type="pct"/>
          </w:tcPr>
          <w:p w14:paraId="33515E66"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488</w:t>
            </w:r>
          </w:p>
        </w:tc>
        <w:tc>
          <w:tcPr>
            <w:tcW w:w="1523" w:type="pct"/>
          </w:tcPr>
          <w:p w14:paraId="539F4AB1"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tr w:rsidR="00066362" w:rsidRPr="00480D32" w14:paraId="3B96E2C4" w14:textId="77777777" w:rsidTr="00552DC2">
        <w:tc>
          <w:tcPr>
            <w:tcW w:w="2581" w:type="pct"/>
          </w:tcPr>
          <w:p w14:paraId="492AC70D" w14:textId="1F2FC625"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Училища*</w:t>
            </w:r>
          </w:p>
        </w:tc>
        <w:tc>
          <w:tcPr>
            <w:tcW w:w="896" w:type="pct"/>
          </w:tcPr>
          <w:p w14:paraId="092314F1"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188</w:t>
            </w:r>
          </w:p>
        </w:tc>
        <w:tc>
          <w:tcPr>
            <w:tcW w:w="1523" w:type="pct"/>
          </w:tcPr>
          <w:p w14:paraId="21E72583"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tr w:rsidR="00066362" w:rsidRPr="00480D32" w14:paraId="3D5F0FE7" w14:textId="77777777" w:rsidTr="00552DC2">
        <w:tc>
          <w:tcPr>
            <w:tcW w:w="2581" w:type="pct"/>
          </w:tcPr>
          <w:p w14:paraId="26863A51" w14:textId="26668EFD"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Университети</w:t>
            </w:r>
          </w:p>
        </w:tc>
        <w:tc>
          <w:tcPr>
            <w:tcW w:w="896" w:type="pct"/>
          </w:tcPr>
          <w:p w14:paraId="06780959"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325</w:t>
            </w:r>
          </w:p>
        </w:tc>
        <w:tc>
          <w:tcPr>
            <w:tcW w:w="1523" w:type="pct"/>
          </w:tcPr>
          <w:p w14:paraId="460B5F97"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tr w:rsidR="00066362" w:rsidRPr="00480D32" w14:paraId="7CE090AF" w14:textId="77777777" w:rsidTr="00552DC2">
        <w:tc>
          <w:tcPr>
            <w:tcW w:w="2581" w:type="pct"/>
          </w:tcPr>
          <w:p w14:paraId="02F1E7EA" w14:textId="4FA6A8F2"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Детски градини и ясли</w:t>
            </w:r>
          </w:p>
        </w:tc>
        <w:tc>
          <w:tcPr>
            <w:tcW w:w="896" w:type="pct"/>
          </w:tcPr>
          <w:p w14:paraId="155AAB11"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321</w:t>
            </w:r>
          </w:p>
        </w:tc>
        <w:tc>
          <w:tcPr>
            <w:tcW w:w="1523" w:type="pct"/>
          </w:tcPr>
          <w:p w14:paraId="5261615A"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tr w:rsidR="00066362" w:rsidRPr="00480D32" w14:paraId="00C8E887" w14:textId="77777777" w:rsidTr="00552DC2">
        <w:tc>
          <w:tcPr>
            <w:tcW w:w="2581" w:type="pct"/>
          </w:tcPr>
          <w:p w14:paraId="4E1B855B" w14:textId="33B25D75"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в областта на здравеопазването</w:t>
            </w:r>
          </w:p>
        </w:tc>
        <w:tc>
          <w:tcPr>
            <w:tcW w:w="896" w:type="pct"/>
          </w:tcPr>
          <w:p w14:paraId="10D7D099"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550</w:t>
            </w:r>
          </w:p>
        </w:tc>
        <w:tc>
          <w:tcPr>
            <w:tcW w:w="1523" w:type="pct"/>
          </w:tcPr>
          <w:p w14:paraId="426A3D92"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tr w:rsidR="00066362" w:rsidRPr="00480D32" w14:paraId="3951D57B" w14:textId="77777777" w:rsidTr="00552DC2">
        <w:tc>
          <w:tcPr>
            <w:tcW w:w="2581" w:type="pct"/>
          </w:tcPr>
          <w:p w14:paraId="368D3865" w14:textId="1E0DBB8B"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в областта на хотелиерството, ресторантьорството и общественото хранене</w:t>
            </w:r>
          </w:p>
        </w:tc>
        <w:tc>
          <w:tcPr>
            <w:tcW w:w="896" w:type="pct"/>
          </w:tcPr>
          <w:p w14:paraId="62B93AC1"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550</w:t>
            </w:r>
          </w:p>
        </w:tc>
        <w:tc>
          <w:tcPr>
            <w:tcW w:w="1523" w:type="pct"/>
          </w:tcPr>
          <w:p w14:paraId="770FEF07"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tr w:rsidR="00066362" w:rsidRPr="00480D32" w14:paraId="17173190" w14:textId="77777777" w:rsidTr="00552DC2">
        <w:tc>
          <w:tcPr>
            <w:tcW w:w="2581" w:type="pct"/>
          </w:tcPr>
          <w:p w14:paraId="1377A5EE" w14:textId="3329AA25"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в областта на търговията</w:t>
            </w:r>
          </w:p>
        </w:tc>
        <w:tc>
          <w:tcPr>
            <w:tcW w:w="896" w:type="pct"/>
          </w:tcPr>
          <w:p w14:paraId="7025518E"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813</w:t>
            </w:r>
          </w:p>
        </w:tc>
        <w:tc>
          <w:tcPr>
            <w:tcW w:w="1523" w:type="pct"/>
          </w:tcPr>
          <w:p w14:paraId="62B6BA55"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tr w:rsidR="00066362" w:rsidRPr="00480D32" w14:paraId="0CC4BA55" w14:textId="77777777" w:rsidTr="00552DC2">
        <w:tc>
          <w:tcPr>
            <w:tcW w:w="2581" w:type="pct"/>
          </w:tcPr>
          <w:p w14:paraId="6FD51D41" w14:textId="6E6A58EE"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за спорт</w:t>
            </w:r>
          </w:p>
        </w:tc>
        <w:tc>
          <w:tcPr>
            <w:tcW w:w="896" w:type="pct"/>
          </w:tcPr>
          <w:p w14:paraId="5DD02C70"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563</w:t>
            </w:r>
          </w:p>
        </w:tc>
        <w:tc>
          <w:tcPr>
            <w:tcW w:w="1523" w:type="pct"/>
          </w:tcPr>
          <w:p w14:paraId="1645BF33"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tr w:rsidR="00066362" w:rsidRPr="00480D32" w14:paraId="7126CF31" w14:textId="77777777" w:rsidTr="00552DC2">
        <w:tc>
          <w:tcPr>
            <w:tcW w:w="2581" w:type="pct"/>
          </w:tcPr>
          <w:p w14:paraId="722D0832" w14:textId="11AF63B2"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в областта на културата и изкуствата</w:t>
            </w:r>
          </w:p>
        </w:tc>
        <w:tc>
          <w:tcPr>
            <w:tcW w:w="896" w:type="pct"/>
          </w:tcPr>
          <w:p w14:paraId="44A064A5"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398</w:t>
            </w:r>
          </w:p>
        </w:tc>
        <w:tc>
          <w:tcPr>
            <w:tcW w:w="1523" w:type="pct"/>
          </w:tcPr>
          <w:p w14:paraId="5841D8CB"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tr w:rsidR="00066362" w:rsidRPr="00480D32" w14:paraId="28EB6DA3" w14:textId="77777777" w:rsidTr="00552DC2">
        <w:tc>
          <w:tcPr>
            <w:tcW w:w="2581" w:type="pct"/>
          </w:tcPr>
          <w:p w14:paraId="78E776C5" w14:textId="10401128"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Други сгради (с индивидуална скала за клас на енергопотребление)</w:t>
            </w:r>
          </w:p>
        </w:tc>
        <w:tc>
          <w:tcPr>
            <w:tcW w:w="896" w:type="pct"/>
          </w:tcPr>
          <w:p w14:paraId="62C45A07"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w:t>
            </w:r>
          </w:p>
        </w:tc>
        <w:tc>
          <w:tcPr>
            <w:tcW w:w="1523" w:type="pct"/>
          </w:tcPr>
          <w:p w14:paraId="21BE9F21"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Е</w:t>
            </w:r>
          </w:p>
        </w:tc>
      </w:tr>
      <w:bookmarkEnd w:id="394"/>
      <w:tr w:rsidR="006D1686" w:rsidRPr="00480D32" w14:paraId="3F8CF7C3" w14:textId="77777777" w:rsidTr="00552DC2">
        <w:tc>
          <w:tcPr>
            <w:tcW w:w="5000" w:type="pct"/>
            <w:gridSpan w:val="3"/>
          </w:tcPr>
          <w:p w14:paraId="6AD9C5FA" w14:textId="77777777" w:rsidR="006D1686" w:rsidRPr="00480D32" w:rsidRDefault="006D1686" w:rsidP="00077D4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26% нежилищни сгради с най-лоши характеристики</w:t>
            </w:r>
          </w:p>
        </w:tc>
      </w:tr>
      <w:tr w:rsidR="00066362" w:rsidRPr="00480D32" w14:paraId="3CB45701" w14:textId="77777777" w:rsidTr="00552DC2">
        <w:tc>
          <w:tcPr>
            <w:tcW w:w="2581" w:type="pct"/>
          </w:tcPr>
          <w:p w14:paraId="1E09DC11" w14:textId="57596D1B"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Административни</w:t>
            </w:r>
          </w:p>
        </w:tc>
        <w:tc>
          <w:tcPr>
            <w:tcW w:w="896" w:type="pct"/>
          </w:tcPr>
          <w:p w14:paraId="7B4C450D"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390</w:t>
            </w:r>
          </w:p>
        </w:tc>
        <w:tc>
          <w:tcPr>
            <w:tcW w:w="1523" w:type="pct"/>
          </w:tcPr>
          <w:p w14:paraId="3801EB80"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r w:rsidR="00066362" w:rsidRPr="00480D32" w14:paraId="5E9C2727" w14:textId="77777777" w:rsidTr="00552DC2">
        <w:tc>
          <w:tcPr>
            <w:tcW w:w="2581" w:type="pct"/>
          </w:tcPr>
          <w:p w14:paraId="6D7AA278" w14:textId="5F0502D7"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Училища*</w:t>
            </w:r>
          </w:p>
        </w:tc>
        <w:tc>
          <w:tcPr>
            <w:tcW w:w="896" w:type="pct"/>
          </w:tcPr>
          <w:p w14:paraId="14B7BF05"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150</w:t>
            </w:r>
          </w:p>
        </w:tc>
        <w:tc>
          <w:tcPr>
            <w:tcW w:w="1523" w:type="pct"/>
          </w:tcPr>
          <w:p w14:paraId="6827EC2B"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r w:rsidR="00066362" w:rsidRPr="00480D32" w14:paraId="523ABD1E" w14:textId="77777777" w:rsidTr="00552DC2">
        <w:tc>
          <w:tcPr>
            <w:tcW w:w="2581" w:type="pct"/>
          </w:tcPr>
          <w:p w14:paraId="2796F4D6" w14:textId="769013CF"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Университети</w:t>
            </w:r>
          </w:p>
        </w:tc>
        <w:tc>
          <w:tcPr>
            <w:tcW w:w="896" w:type="pct"/>
          </w:tcPr>
          <w:p w14:paraId="653B7E45"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260</w:t>
            </w:r>
          </w:p>
        </w:tc>
        <w:tc>
          <w:tcPr>
            <w:tcW w:w="1523" w:type="pct"/>
          </w:tcPr>
          <w:p w14:paraId="366816AD"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r w:rsidR="00066362" w:rsidRPr="00480D32" w14:paraId="37FCBA31" w14:textId="77777777" w:rsidTr="00552DC2">
        <w:tc>
          <w:tcPr>
            <w:tcW w:w="2581" w:type="pct"/>
          </w:tcPr>
          <w:p w14:paraId="327612AC" w14:textId="2138289F"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Детски градини и ясли</w:t>
            </w:r>
          </w:p>
        </w:tc>
        <w:tc>
          <w:tcPr>
            <w:tcW w:w="896" w:type="pct"/>
          </w:tcPr>
          <w:p w14:paraId="76B7241A"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260</w:t>
            </w:r>
          </w:p>
        </w:tc>
        <w:tc>
          <w:tcPr>
            <w:tcW w:w="1523" w:type="pct"/>
          </w:tcPr>
          <w:p w14:paraId="6AF0EE8E"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r w:rsidR="00066362" w:rsidRPr="00480D32" w14:paraId="597134D8" w14:textId="77777777" w:rsidTr="00552DC2">
        <w:tc>
          <w:tcPr>
            <w:tcW w:w="2581" w:type="pct"/>
          </w:tcPr>
          <w:p w14:paraId="757FC656" w14:textId="4788775F"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в областта на здравеопазването</w:t>
            </w:r>
          </w:p>
        </w:tc>
        <w:tc>
          <w:tcPr>
            <w:tcW w:w="896" w:type="pct"/>
          </w:tcPr>
          <w:p w14:paraId="41E8B798"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440</w:t>
            </w:r>
          </w:p>
        </w:tc>
        <w:tc>
          <w:tcPr>
            <w:tcW w:w="1523" w:type="pct"/>
          </w:tcPr>
          <w:p w14:paraId="17D820DB"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r w:rsidR="00066362" w:rsidRPr="00480D32" w14:paraId="1FCBACE8" w14:textId="77777777" w:rsidTr="00552DC2">
        <w:tc>
          <w:tcPr>
            <w:tcW w:w="2581" w:type="pct"/>
          </w:tcPr>
          <w:p w14:paraId="670520A7" w14:textId="2F01922B"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в областта на хотелиерството, ресторантьорството и общественото хранене</w:t>
            </w:r>
          </w:p>
        </w:tc>
        <w:tc>
          <w:tcPr>
            <w:tcW w:w="896" w:type="pct"/>
          </w:tcPr>
          <w:p w14:paraId="4AC28CDF"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440</w:t>
            </w:r>
          </w:p>
        </w:tc>
        <w:tc>
          <w:tcPr>
            <w:tcW w:w="1523" w:type="pct"/>
          </w:tcPr>
          <w:p w14:paraId="24A31790"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r w:rsidR="00066362" w:rsidRPr="00480D32" w14:paraId="31250E6D" w14:textId="77777777" w:rsidTr="00552DC2">
        <w:tc>
          <w:tcPr>
            <w:tcW w:w="2581" w:type="pct"/>
          </w:tcPr>
          <w:p w14:paraId="63B4FF98" w14:textId="4D4E2148"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в областта на търговията</w:t>
            </w:r>
          </w:p>
        </w:tc>
        <w:tc>
          <w:tcPr>
            <w:tcW w:w="896" w:type="pct"/>
          </w:tcPr>
          <w:p w14:paraId="31BE56B7"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650</w:t>
            </w:r>
          </w:p>
        </w:tc>
        <w:tc>
          <w:tcPr>
            <w:tcW w:w="1523" w:type="pct"/>
          </w:tcPr>
          <w:p w14:paraId="6E1184EB"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r w:rsidR="00066362" w:rsidRPr="00480D32" w14:paraId="2C4C2452" w14:textId="77777777" w:rsidTr="00552DC2">
        <w:tc>
          <w:tcPr>
            <w:tcW w:w="2581" w:type="pct"/>
          </w:tcPr>
          <w:p w14:paraId="75A74A87" w14:textId="7362B74F"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за спорт</w:t>
            </w:r>
          </w:p>
        </w:tc>
        <w:tc>
          <w:tcPr>
            <w:tcW w:w="896" w:type="pct"/>
          </w:tcPr>
          <w:p w14:paraId="2DE32291"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450</w:t>
            </w:r>
          </w:p>
        </w:tc>
        <w:tc>
          <w:tcPr>
            <w:tcW w:w="1523" w:type="pct"/>
          </w:tcPr>
          <w:p w14:paraId="7DB1E286"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r w:rsidR="00066362" w:rsidRPr="00480D32" w14:paraId="4EA592F4" w14:textId="77777777" w:rsidTr="00552DC2">
        <w:tc>
          <w:tcPr>
            <w:tcW w:w="2581" w:type="pct"/>
          </w:tcPr>
          <w:p w14:paraId="001A182A" w14:textId="226B4123" w:rsidR="00066362" w:rsidRPr="00480D32" w:rsidRDefault="00066362" w:rsidP="00066362">
            <w:pPr>
              <w:pStyle w:val="ListParagraph"/>
              <w:ind w:left="0"/>
              <w:rPr>
                <w:rFonts w:eastAsia="Times New Roman" w:cs="Times New Roman"/>
                <w:b/>
                <w:bCs/>
                <w:szCs w:val="24"/>
                <w:lang w:val="bg-BG"/>
              </w:rPr>
            </w:pPr>
            <w:r w:rsidRPr="00480D32">
              <w:rPr>
                <w:rFonts w:eastAsia="Times New Roman" w:cs="Times New Roman"/>
                <w:szCs w:val="24"/>
                <w:lang w:val="bg-BG"/>
              </w:rPr>
              <w:t>Сгради в областта на културата и изкуствата</w:t>
            </w:r>
          </w:p>
        </w:tc>
        <w:tc>
          <w:tcPr>
            <w:tcW w:w="896" w:type="pct"/>
          </w:tcPr>
          <w:p w14:paraId="041DA37B"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320</w:t>
            </w:r>
          </w:p>
        </w:tc>
        <w:tc>
          <w:tcPr>
            <w:tcW w:w="1523" w:type="pct"/>
          </w:tcPr>
          <w:p w14:paraId="00155D36"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r w:rsidR="00066362" w:rsidRPr="00480D32" w14:paraId="004CC848" w14:textId="77777777" w:rsidTr="00552DC2">
        <w:tc>
          <w:tcPr>
            <w:tcW w:w="2581" w:type="pct"/>
          </w:tcPr>
          <w:p w14:paraId="4103865B" w14:textId="51615DD2" w:rsidR="00066362" w:rsidRPr="00480D32" w:rsidRDefault="00066362" w:rsidP="00066362">
            <w:pPr>
              <w:pStyle w:val="ListParagraph"/>
              <w:ind w:left="0"/>
              <w:rPr>
                <w:rFonts w:eastAsia="Times New Roman" w:cs="Times New Roman"/>
                <w:szCs w:val="24"/>
                <w:lang w:val="bg-BG"/>
              </w:rPr>
            </w:pPr>
            <w:r w:rsidRPr="00480D32">
              <w:rPr>
                <w:rFonts w:eastAsia="Times New Roman" w:cs="Times New Roman"/>
                <w:szCs w:val="24"/>
                <w:lang w:val="bg-BG"/>
              </w:rPr>
              <w:t>Други сгради (с индивидуална скала за клас на енергопотребление)</w:t>
            </w:r>
          </w:p>
        </w:tc>
        <w:tc>
          <w:tcPr>
            <w:tcW w:w="896" w:type="pct"/>
          </w:tcPr>
          <w:p w14:paraId="3F463131"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w:t>
            </w:r>
          </w:p>
        </w:tc>
        <w:tc>
          <w:tcPr>
            <w:tcW w:w="1523" w:type="pct"/>
          </w:tcPr>
          <w:p w14:paraId="02DA005E" w14:textId="77777777" w:rsidR="00066362" w:rsidRPr="00480D32" w:rsidRDefault="00066362" w:rsidP="00066362">
            <w:pPr>
              <w:pStyle w:val="ListParagraph"/>
              <w:ind w:left="0"/>
              <w:jc w:val="both"/>
              <w:rPr>
                <w:rFonts w:eastAsia="Times New Roman" w:cs="Times New Roman"/>
                <w:b/>
                <w:bCs/>
                <w:szCs w:val="24"/>
                <w:lang w:val="bg-BG"/>
              </w:rPr>
            </w:pPr>
            <w:r w:rsidRPr="00480D32">
              <w:rPr>
                <w:rFonts w:eastAsia="Times New Roman" w:cs="Times New Roman"/>
                <w:b/>
                <w:bCs/>
                <w:szCs w:val="24"/>
                <w:lang w:val="bg-BG"/>
              </w:rPr>
              <w:t>D</w:t>
            </w:r>
          </w:p>
        </w:tc>
      </w:tr>
    </w:tbl>
    <w:p w14:paraId="1CAC1321" w14:textId="77777777" w:rsidR="006D1686" w:rsidRPr="006F3533" w:rsidRDefault="006D1686" w:rsidP="00077D42">
      <w:pPr>
        <w:pStyle w:val="ListParagraph"/>
        <w:spacing w:line="240" w:lineRule="auto"/>
        <w:ind w:left="0"/>
        <w:jc w:val="both"/>
        <w:rPr>
          <w:rFonts w:eastAsia="Times New Roman" w:cs="Times New Roman"/>
          <w:szCs w:val="24"/>
          <w:lang w:val="bg-BG"/>
        </w:rPr>
      </w:pPr>
    </w:p>
    <w:p w14:paraId="6EE84524" w14:textId="5E70F4EF" w:rsidR="007D3069" w:rsidRPr="006F3533" w:rsidRDefault="006D1686" w:rsidP="00077D42">
      <w:pPr>
        <w:pStyle w:val="ListParagraph"/>
        <w:spacing w:line="240" w:lineRule="auto"/>
        <w:ind w:left="0"/>
        <w:jc w:val="both"/>
        <w:rPr>
          <w:rFonts w:eastAsia="Times New Roman" w:cs="Times New Roman"/>
          <w:szCs w:val="24"/>
          <w:lang w:val="bg-BG"/>
        </w:rPr>
      </w:pPr>
      <w:r w:rsidRPr="006F3533">
        <w:rPr>
          <w:rFonts w:eastAsia="Times New Roman" w:cs="Times New Roman"/>
          <w:szCs w:val="24"/>
          <w:lang w:val="bg-BG"/>
        </w:rPr>
        <w:t>От правилото за задължително прилагане на минималните стандарти за енергийните характеристики за нежилищни сгради се изключват категориите сгради, които са освободени от задължението да им бъде издаван сертификат за ЕХ според Закона за енергийната ефективност. Общият брой на тези сгради към ноември 2025 г. е 5503 с обща площ 1 120 707 m</w:t>
      </w:r>
      <w:r w:rsidRPr="006F3533">
        <w:rPr>
          <w:rFonts w:eastAsia="Times New Roman" w:cs="Times New Roman"/>
          <w:szCs w:val="24"/>
          <w:vertAlign w:val="superscript"/>
          <w:lang w:val="bg-BG"/>
        </w:rPr>
        <w:t>2</w:t>
      </w:r>
      <w:r w:rsidRPr="006F3533">
        <w:rPr>
          <w:rFonts w:eastAsia="Times New Roman" w:cs="Times New Roman"/>
          <w:szCs w:val="24"/>
          <w:lang w:val="bg-BG"/>
        </w:rPr>
        <w:t>. Към 2019 г. тези сгради са били общо 4 311 броя с обща площ 984 672 m</w:t>
      </w:r>
      <w:r w:rsidRPr="006F3533">
        <w:rPr>
          <w:rFonts w:eastAsia="Times New Roman" w:cs="Times New Roman"/>
          <w:szCs w:val="24"/>
          <w:vertAlign w:val="superscript"/>
          <w:lang w:val="bg-BG"/>
        </w:rPr>
        <w:t>2</w:t>
      </w:r>
      <w:r w:rsidRPr="006F3533">
        <w:rPr>
          <w:rFonts w:eastAsia="Times New Roman" w:cs="Times New Roman"/>
          <w:szCs w:val="24"/>
          <w:lang w:val="bg-BG"/>
        </w:rPr>
        <w:t xml:space="preserve">. Повече информация за изключенията е в </w:t>
      </w:r>
      <w:r w:rsidR="005B2606" w:rsidRPr="006F3533">
        <w:rPr>
          <w:rFonts w:eastAsia="Times New Roman" w:cs="Times New Roman"/>
          <w:szCs w:val="24"/>
          <w:lang w:val="bg-BG"/>
        </w:rPr>
        <w:t>съответната част на анализа</w:t>
      </w:r>
      <w:r w:rsidRPr="006F3533">
        <w:rPr>
          <w:rFonts w:eastAsia="Times New Roman" w:cs="Times New Roman"/>
          <w:szCs w:val="24"/>
          <w:lang w:val="bg-BG"/>
        </w:rPr>
        <w:t xml:space="preserve">. </w:t>
      </w:r>
      <w:bookmarkEnd w:id="392"/>
    </w:p>
    <w:p w14:paraId="2FA3A9CB" w14:textId="77777777" w:rsidR="009F2CB5" w:rsidRPr="006F3533" w:rsidRDefault="009F2CB5" w:rsidP="00077D42">
      <w:pPr>
        <w:pStyle w:val="ListParagraph"/>
        <w:spacing w:line="240" w:lineRule="auto"/>
        <w:ind w:left="0"/>
        <w:jc w:val="both"/>
        <w:rPr>
          <w:rFonts w:eastAsia="Times New Roman" w:cs="Times New Roman"/>
          <w:szCs w:val="24"/>
          <w:lang w:val="bg-BG"/>
        </w:rPr>
      </w:pPr>
    </w:p>
    <w:p w14:paraId="0457F754" w14:textId="6E01F5F3" w:rsidR="00F25E9B" w:rsidRPr="00F25E9B" w:rsidRDefault="00F25E9B" w:rsidP="00F25E9B">
      <w:pPr>
        <w:pStyle w:val="Heading1"/>
        <w:rPr>
          <w:sz w:val="24"/>
          <w:lang w:val="bg-BG" w:eastAsia="bg-BG"/>
        </w:rPr>
      </w:pPr>
      <w:bookmarkStart w:id="395" w:name="_Toc217888894"/>
      <w:r>
        <w:rPr>
          <w:lang w:val="bg-BG" w:eastAsia="bg-BG"/>
        </w:rPr>
        <w:lastRenderedPageBreak/>
        <w:t>З</w:t>
      </w:r>
      <w:r w:rsidRPr="00F25E9B">
        <w:rPr>
          <w:lang w:val="bg-BG" w:eastAsia="bg-BG"/>
        </w:rPr>
        <w:t>аключение и следващи стъпки</w:t>
      </w:r>
      <w:bookmarkEnd w:id="395"/>
    </w:p>
    <w:p w14:paraId="3DB80956" w14:textId="5FE5C7E1" w:rsidR="00F25E9B" w:rsidRPr="00F25E9B" w:rsidRDefault="00F25E9B" w:rsidP="00713C1A">
      <w:pPr>
        <w:spacing w:before="100" w:beforeAutospacing="1" w:after="100" w:afterAutospacing="1" w:line="240" w:lineRule="auto"/>
        <w:jc w:val="both"/>
        <w:rPr>
          <w:rFonts w:eastAsia="Times New Roman" w:cs="Times New Roman"/>
          <w:szCs w:val="24"/>
          <w:lang w:val="bg-BG" w:eastAsia="bg-BG"/>
        </w:rPr>
      </w:pPr>
      <w:r w:rsidRPr="00F25E9B">
        <w:rPr>
          <w:rFonts w:eastAsia="Times New Roman" w:cs="Times New Roman"/>
          <w:szCs w:val="24"/>
          <w:lang w:val="bg-BG" w:eastAsia="bg-BG"/>
        </w:rPr>
        <w:t xml:space="preserve">Настоящата предварителна версия на Националния план за саниране на </w:t>
      </w:r>
      <w:r w:rsidR="00A17017">
        <w:rPr>
          <w:rFonts w:eastAsia="Times New Roman" w:cs="Times New Roman"/>
          <w:szCs w:val="24"/>
          <w:lang w:val="bg-BG" w:eastAsia="bg-BG"/>
        </w:rPr>
        <w:t>жилищните и нежилищните сгради в Република България</w:t>
      </w:r>
      <w:r w:rsidRPr="00F25E9B">
        <w:rPr>
          <w:rFonts w:eastAsia="Times New Roman" w:cs="Times New Roman"/>
          <w:szCs w:val="24"/>
          <w:lang w:val="bg-BG" w:eastAsia="bg-BG"/>
        </w:rPr>
        <w:t xml:space="preserve"> очертава стратегическата рамка за трансформация на българския сграден фонд в посока висока енергийна ефективност, </w:t>
      </w:r>
      <w:proofErr w:type="spellStart"/>
      <w:r w:rsidRPr="00F25E9B">
        <w:rPr>
          <w:rFonts w:eastAsia="Times New Roman" w:cs="Times New Roman"/>
          <w:szCs w:val="24"/>
          <w:lang w:val="bg-BG" w:eastAsia="bg-BG"/>
        </w:rPr>
        <w:t>декарбонизация</w:t>
      </w:r>
      <w:proofErr w:type="spellEnd"/>
      <w:r w:rsidRPr="00F25E9B">
        <w:rPr>
          <w:rFonts w:eastAsia="Times New Roman" w:cs="Times New Roman"/>
          <w:szCs w:val="24"/>
          <w:lang w:val="bg-BG" w:eastAsia="bg-BG"/>
        </w:rPr>
        <w:t xml:space="preserve"> и постигане на сгради с нулеви емисии до 2050 г. Планът е разработен в съответствие с изискванията на Директива (ЕС) 2024/1275 и следва утвърдения от Европейската комисия образец, като същевременно отчита националния контекст, наличните данни и институционалната рамка.</w:t>
      </w:r>
    </w:p>
    <w:p w14:paraId="584B0E71" w14:textId="77777777" w:rsidR="00F25E9B" w:rsidRPr="00F25E9B" w:rsidRDefault="00F25E9B" w:rsidP="00713C1A">
      <w:pPr>
        <w:spacing w:before="100" w:beforeAutospacing="1" w:after="100" w:afterAutospacing="1" w:line="240" w:lineRule="auto"/>
        <w:jc w:val="both"/>
        <w:rPr>
          <w:rFonts w:eastAsia="Times New Roman" w:cs="Times New Roman"/>
          <w:szCs w:val="24"/>
          <w:lang w:val="bg-BG" w:eastAsia="bg-BG"/>
        </w:rPr>
      </w:pPr>
      <w:r w:rsidRPr="00F25E9B">
        <w:rPr>
          <w:rFonts w:eastAsia="Times New Roman" w:cs="Times New Roman"/>
          <w:szCs w:val="24"/>
          <w:lang w:val="bg-BG" w:eastAsia="bg-BG"/>
        </w:rPr>
        <w:t xml:space="preserve">Анализът ясно показва, че досегашният модел на фрагментирани, преобладаващо </w:t>
      </w:r>
      <w:proofErr w:type="spellStart"/>
      <w:r w:rsidRPr="00F25E9B">
        <w:rPr>
          <w:rFonts w:eastAsia="Times New Roman" w:cs="Times New Roman"/>
          <w:szCs w:val="24"/>
          <w:lang w:val="bg-BG" w:eastAsia="bg-BG"/>
        </w:rPr>
        <w:t>грантови</w:t>
      </w:r>
      <w:proofErr w:type="spellEnd"/>
      <w:r w:rsidRPr="00F25E9B">
        <w:rPr>
          <w:rFonts w:eastAsia="Times New Roman" w:cs="Times New Roman"/>
          <w:szCs w:val="24"/>
          <w:lang w:val="bg-BG" w:eastAsia="bg-BG"/>
        </w:rPr>
        <w:t xml:space="preserve"> интервенции не е достатъчен, за да осигури необходимия темп и дълбочина на сградното обновяване. Повишените цели по новата директива, особено по отношение на нежилищните сгради и минималните стандарти за енергийните характеристики, водят до значително нарастване на инвестиционните потребности. Това налага </w:t>
      </w:r>
      <w:r w:rsidRPr="00F25E9B">
        <w:rPr>
          <w:rFonts w:eastAsia="Times New Roman" w:cs="Times New Roman"/>
          <w:b/>
          <w:bCs/>
          <w:szCs w:val="24"/>
          <w:lang w:val="bg-BG" w:eastAsia="bg-BG"/>
        </w:rPr>
        <w:t>преход към устойчива, дългосрочна система за финансиране</w:t>
      </w:r>
      <w:r w:rsidRPr="00F25E9B">
        <w:rPr>
          <w:rFonts w:eastAsia="Times New Roman" w:cs="Times New Roman"/>
          <w:szCs w:val="24"/>
          <w:lang w:val="bg-BG" w:eastAsia="bg-BG"/>
        </w:rPr>
        <w:t xml:space="preserve">, основана на комбиниране на публични ресурси, </w:t>
      </w:r>
      <w:proofErr w:type="spellStart"/>
      <w:r w:rsidRPr="00F25E9B">
        <w:rPr>
          <w:rFonts w:eastAsia="Times New Roman" w:cs="Times New Roman"/>
          <w:szCs w:val="24"/>
          <w:lang w:val="bg-BG" w:eastAsia="bg-BG"/>
        </w:rPr>
        <w:t>възвръщаеми</w:t>
      </w:r>
      <w:proofErr w:type="spellEnd"/>
      <w:r w:rsidRPr="00F25E9B">
        <w:rPr>
          <w:rFonts w:eastAsia="Times New Roman" w:cs="Times New Roman"/>
          <w:szCs w:val="24"/>
          <w:lang w:val="bg-BG" w:eastAsia="bg-BG"/>
        </w:rPr>
        <w:t xml:space="preserve"> финансови инструменти и целева социална подкрепа, както и активно мобилизиране на частен капитал.</w:t>
      </w:r>
    </w:p>
    <w:p w14:paraId="5275FBF6" w14:textId="42D50489" w:rsidR="00F25E9B" w:rsidRPr="00F25E9B" w:rsidRDefault="00F25E9B" w:rsidP="00713C1A">
      <w:pPr>
        <w:spacing w:before="100" w:beforeAutospacing="1" w:after="100" w:afterAutospacing="1" w:line="240" w:lineRule="auto"/>
        <w:jc w:val="both"/>
        <w:rPr>
          <w:rFonts w:eastAsia="Times New Roman" w:cs="Times New Roman"/>
          <w:szCs w:val="24"/>
          <w:lang w:val="bg-BG" w:eastAsia="bg-BG"/>
        </w:rPr>
      </w:pPr>
      <w:r w:rsidRPr="00F25E9B">
        <w:rPr>
          <w:rFonts w:eastAsia="Times New Roman" w:cs="Times New Roman"/>
          <w:szCs w:val="24"/>
          <w:lang w:val="bg-BG" w:eastAsia="bg-BG"/>
        </w:rPr>
        <w:t xml:space="preserve">В този контекст Националният фонд за </w:t>
      </w:r>
      <w:proofErr w:type="spellStart"/>
      <w:r w:rsidRPr="00F25E9B">
        <w:rPr>
          <w:rFonts w:eastAsia="Times New Roman" w:cs="Times New Roman"/>
          <w:szCs w:val="24"/>
          <w:lang w:val="bg-BG" w:eastAsia="bg-BG"/>
        </w:rPr>
        <w:t>декарбонизация</w:t>
      </w:r>
      <w:proofErr w:type="spellEnd"/>
      <w:r w:rsidRPr="00F25E9B">
        <w:rPr>
          <w:rFonts w:eastAsia="Times New Roman" w:cs="Times New Roman"/>
          <w:szCs w:val="24"/>
          <w:lang w:val="bg-BG" w:eastAsia="bg-BG"/>
        </w:rPr>
        <w:t xml:space="preserve"> е идентифициран като ключов системен инструмент за прилагане на политиките за сградно обновяване. В следващия етап е необходимо неговото </w:t>
      </w:r>
      <w:r w:rsidRPr="00F25E9B">
        <w:rPr>
          <w:rFonts w:eastAsia="Times New Roman" w:cs="Times New Roman"/>
          <w:b/>
          <w:bCs/>
          <w:szCs w:val="24"/>
          <w:lang w:val="bg-BG" w:eastAsia="bg-BG"/>
        </w:rPr>
        <w:t xml:space="preserve">пълно </w:t>
      </w:r>
      <w:proofErr w:type="spellStart"/>
      <w:r w:rsidRPr="00F25E9B">
        <w:rPr>
          <w:rFonts w:eastAsia="Times New Roman" w:cs="Times New Roman"/>
          <w:b/>
          <w:bCs/>
          <w:szCs w:val="24"/>
          <w:lang w:val="bg-BG" w:eastAsia="bg-BG"/>
        </w:rPr>
        <w:t>операционализиране</w:t>
      </w:r>
      <w:proofErr w:type="spellEnd"/>
      <w:r w:rsidRPr="00F25E9B">
        <w:rPr>
          <w:rFonts w:eastAsia="Times New Roman" w:cs="Times New Roman"/>
          <w:szCs w:val="24"/>
          <w:lang w:val="bg-BG" w:eastAsia="bg-BG"/>
        </w:rPr>
        <w:t xml:space="preserve"> чрез приемане на ясни инвестиционни правила, продуктово портфолио и механизми за взаимодействие с финансови посредници, </w:t>
      </w:r>
      <w:r w:rsidR="00A17017">
        <w:rPr>
          <w:rFonts w:eastAsia="Times New Roman" w:cs="Times New Roman"/>
          <w:szCs w:val="24"/>
          <w:lang w:val="bg-BG" w:eastAsia="bg-BG"/>
        </w:rPr>
        <w:t>ц</w:t>
      </w:r>
      <w:r w:rsidRPr="00F25E9B">
        <w:rPr>
          <w:rFonts w:eastAsia="Times New Roman" w:cs="Times New Roman"/>
          <w:szCs w:val="24"/>
          <w:lang w:val="bg-BG" w:eastAsia="bg-BG"/>
        </w:rPr>
        <w:t>ентровете за комплексно обслужване и други публични инструменти. Паралелно с това следва да се осигури координация с допълващите финансови инструменти, включително фондовете за градско развитие, гаранционните схеми и бъдещите европейски инициативи за фондове за сградно обновяване.</w:t>
      </w:r>
    </w:p>
    <w:p w14:paraId="134FF053" w14:textId="77777777" w:rsidR="00F25E9B" w:rsidRPr="00F25E9B" w:rsidRDefault="00F25E9B" w:rsidP="00713C1A">
      <w:pPr>
        <w:spacing w:before="100" w:beforeAutospacing="1" w:after="100" w:afterAutospacing="1" w:line="240" w:lineRule="auto"/>
        <w:jc w:val="both"/>
        <w:rPr>
          <w:rFonts w:eastAsia="Times New Roman" w:cs="Times New Roman"/>
          <w:szCs w:val="24"/>
          <w:lang w:val="bg-BG" w:eastAsia="bg-BG"/>
        </w:rPr>
      </w:pPr>
      <w:r w:rsidRPr="00F25E9B">
        <w:rPr>
          <w:rFonts w:eastAsia="Times New Roman" w:cs="Times New Roman"/>
          <w:szCs w:val="24"/>
          <w:lang w:val="bg-BG" w:eastAsia="bg-BG"/>
        </w:rPr>
        <w:t xml:space="preserve">Не по-малко важна следваща стъпка е </w:t>
      </w:r>
      <w:r w:rsidRPr="00F25E9B">
        <w:rPr>
          <w:rFonts w:eastAsia="Times New Roman" w:cs="Times New Roman"/>
          <w:b/>
          <w:bCs/>
          <w:szCs w:val="24"/>
          <w:lang w:val="bg-BG" w:eastAsia="bg-BG"/>
        </w:rPr>
        <w:t>практическата реализация на заложените структурни реформи</w:t>
      </w:r>
      <w:r w:rsidRPr="00F25E9B">
        <w:rPr>
          <w:rFonts w:eastAsia="Times New Roman" w:cs="Times New Roman"/>
          <w:szCs w:val="24"/>
          <w:lang w:val="bg-BG" w:eastAsia="bg-BG"/>
        </w:rPr>
        <w:t>. Това включва нормативно и институционално укрепване на системата за енергийно сертифициране, въвеждане и масово прилагане на паспорти за сградно обновяване, прилагане на минималните стандарти за енергийните характеристики при нежилищните сгради, както и изграждане на надеждна система за мониторинг, отчетност и публична прозрачност. Тези елементи са предпоставка не само за постигане на целите, но и за доверие от страна на инвеститорите, финансовите институции и крайните ползватели.</w:t>
      </w:r>
    </w:p>
    <w:p w14:paraId="7CC35F77" w14:textId="77777777" w:rsidR="00F25E9B" w:rsidRPr="00F25E9B" w:rsidRDefault="00F25E9B" w:rsidP="00713C1A">
      <w:pPr>
        <w:spacing w:before="100" w:beforeAutospacing="1" w:after="100" w:afterAutospacing="1" w:line="240" w:lineRule="auto"/>
        <w:jc w:val="both"/>
        <w:rPr>
          <w:rFonts w:eastAsia="Times New Roman" w:cs="Times New Roman"/>
          <w:szCs w:val="24"/>
          <w:lang w:val="bg-BG" w:eastAsia="bg-BG"/>
        </w:rPr>
      </w:pPr>
      <w:r w:rsidRPr="00F25E9B">
        <w:rPr>
          <w:rFonts w:eastAsia="Times New Roman" w:cs="Times New Roman"/>
          <w:szCs w:val="24"/>
          <w:lang w:val="bg-BG" w:eastAsia="bg-BG"/>
        </w:rPr>
        <w:t xml:space="preserve">В съответствие с член 3 от директивата, следващата фаза от разработването на Националния план за саниране ще бъде </w:t>
      </w:r>
      <w:r w:rsidRPr="00F25E9B">
        <w:rPr>
          <w:rFonts w:eastAsia="Times New Roman" w:cs="Times New Roman"/>
          <w:b/>
          <w:bCs/>
          <w:szCs w:val="24"/>
          <w:lang w:val="bg-BG" w:eastAsia="bg-BG"/>
        </w:rPr>
        <w:t>широк и приобщаващ процес на професионални дискусии и обществени консултации</w:t>
      </w:r>
      <w:r w:rsidRPr="00F25E9B">
        <w:rPr>
          <w:rFonts w:eastAsia="Times New Roman" w:cs="Times New Roman"/>
          <w:szCs w:val="24"/>
          <w:lang w:val="bg-BG" w:eastAsia="bg-BG"/>
        </w:rPr>
        <w:t xml:space="preserve">. В него трябва да бъдат активно включени държавните и местните власти, професионалните и браншовите организации, финансовият сектор, академичната общност, гражданските организации и представителите на уязвимите групи. Този процес ще позволи валидиране и прецизиране на целите, </w:t>
      </w:r>
      <w:r w:rsidRPr="00F25E9B">
        <w:rPr>
          <w:rFonts w:eastAsia="Times New Roman" w:cs="Times New Roman"/>
          <w:szCs w:val="24"/>
          <w:lang w:val="bg-BG" w:eastAsia="bg-BG"/>
        </w:rPr>
        <w:lastRenderedPageBreak/>
        <w:t>инструментите и допусканията, както и съгласуване на реформите с реалния капацитет на пазара и институциите.</w:t>
      </w:r>
    </w:p>
    <w:p w14:paraId="6E3244B9" w14:textId="77777777" w:rsidR="00F25E9B" w:rsidRPr="00F25E9B" w:rsidRDefault="00F25E9B" w:rsidP="00713C1A">
      <w:pPr>
        <w:spacing w:before="100" w:beforeAutospacing="1" w:after="100" w:afterAutospacing="1" w:line="240" w:lineRule="auto"/>
        <w:jc w:val="both"/>
        <w:rPr>
          <w:rFonts w:eastAsia="Times New Roman" w:cs="Times New Roman"/>
          <w:szCs w:val="24"/>
          <w:lang w:val="bg-BG" w:eastAsia="bg-BG"/>
        </w:rPr>
      </w:pPr>
      <w:r w:rsidRPr="00F25E9B">
        <w:rPr>
          <w:rFonts w:eastAsia="Times New Roman" w:cs="Times New Roman"/>
          <w:szCs w:val="24"/>
          <w:lang w:val="bg-BG" w:eastAsia="bg-BG"/>
        </w:rPr>
        <w:t xml:space="preserve">Окончателната версия на Националния план за саниране, която предстои да бъде разработена и представена през следващата година, ще надгради настоящия документ чрез </w:t>
      </w:r>
      <w:r w:rsidRPr="00F25E9B">
        <w:rPr>
          <w:rFonts w:eastAsia="Times New Roman" w:cs="Times New Roman"/>
          <w:b/>
          <w:bCs/>
          <w:szCs w:val="24"/>
          <w:lang w:val="bg-BG" w:eastAsia="bg-BG"/>
        </w:rPr>
        <w:t>конкретизиране на източниците на финансиране – публични и частни</w:t>
      </w:r>
      <w:r w:rsidRPr="00F25E9B">
        <w:rPr>
          <w:rFonts w:eastAsia="Times New Roman" w:cs="Times New Roman"/>
          <w:szCs w:val="24"/>
          <w:lang w:val="bg-BG" w:eastAsia="bg-BG"/>
        </w:rPr>
        <w:t>, индикативните инвестиционни обеми, графика на прилагане на инструментите и механизмите за управление на риска. По този начин планът ще се превърне от стратегическа рамка в работещ инструмент за управление на дългосрочния енергиен преход в сградния сектор.</w:t>
      </w:r>
    </w:p>
    <w:p w14:paraId="19836E03" w14:textId="77777777" w:rsidR="00F25E9B" w:rsidRPr="00F25E9B" w:rsidRDefault="00F25E9B" w:rsidP="00713C1A">
      <w:pPr>
        <w:spacing w:before="100" w:beforeAutospacing="1" w:after="100" w:afterAutospacing="1" w:line="240" w:lineRule="auto"/>
        <w:jc w:val="both"/>
        <w:rPr>
          <w:rFonts w:eastAsia="Times New Roman" w:cs="Times New Roman"/>
          <w:szCs w:val="24"/>
          <w:lang w:val="bg-BG" w:eastAsia="bg-BG"/>
        </w:rPr>
      </w:pPr>
      <w:r w:rsidRPr="00F25E9B">
        <w:rPr>
          <w:rFonts w:eastAsia="Times New Roman" w:cs="Times New Roman"/>
          <w:szCs w:val="24"/>
          <w:lang w:val="bg-BG" w:eastAsia="bg-BG"/>
        </w:rPr>
        <w:t xml:space="preserve">В заключение, Националният план за саниране следва да се разглежда не като еднократен документ, а като </w:t>
      </w:r>
      <w:r w:rsidRPr="00F25E9B">
        <w:rPr>
          <w:rFonts w:eastAsia="Times New Roman" w:cs="Times New Roman"/>
          <w:b/>
          <w:bCs/>
          <w:szCs w:val="24"/>
          <w:lang w:val="bg-BG" w:eastAsia="bg-BG"/>
        </w:rPr>
        <w:t>динамичен процес</w:t>
      </w:r>
      <w:r w:rsidRPr="00F25E9B">
        <w:rPr>
          <w:rFonts w:eastAsia="Times New Roman" w:cs="Times New Roman"/>
          <w:szCs w:val="24"/>
          <w:lang w:val="bg-BG" w:eastAsia="bg-BG"/>
        </w:rPr>
        <w:t>, който обединява политики, финансиране и реформи в последователна и предвидима рамка. Успехът му ще зависи от способността на институциите да осигурят координация, прозрачност и устойчивост, както и от активното участие на обществото и пазара в реализирането на тази трансформация.</w:t>
      </w:r>
    </w:p>
    <w:p w14:paraId="34FCD518" w14:textId="2BAF6F92" w:rsidR="009F2CB5" w:rsidRPr="00F25E9B" w:rsidRDefault="009F2CB5" w:rsidP="00077D42">
      <w:pPr>
        <w:pStyle w:val="ListParagraph"/>
        <w:spacing w:line="240" w:lineRule="auto"/>
        <w:ind w:left="0"/>
        <w:jc w:val="both"/>
        <w:rPr>
          <w:rFonts w:eastAsia="Times New Roman" w:cs="Times New Roman"/>
          <w:szCs w:val="24"/>
          <w:lang w:val="bg-BG"/>
        </w:rPr>
      </w:pPr>
    </w:p>
    <w:p w14:paraId="72793A33" w14:textId="77777777" w:rsidR="00F25E9B" w:rsidRPr="006F3533" w:rsidRDefault="00F25E9B" w:rsidP="00077D42">
      <w:pPr>
        <w:pStyle w:val="ListParagraph"/>
        <w:spacing w:line="240" w:lineRule="auto"/>
        <w:ind w:left="0"/>
        <w:jc w:val="both"/>
        <w:rPr>
          <w:rFonts w:eastAsia="Times New Roman" w:cs="Times New Roman"/>
          <w:szCs w:val="24"/>
          <w:lang w:val="bg-BG"/>
        </w:rPr>
      </w:pPr>
    </w:p>
    <w:p w14:paraId="2F809D31" w14:textId="26D62EB8" w:rsidR="006C1DDE" w:rsidRPr="006F3533" w:rsidRDefault="006C1DDE" w:rsidP="00077D42">
      <w:pPr>
        <w:pStyle w:val="ListParagraph"/>
        <w:spacing w:line="240" w:lineRule="auto"/>
        <w:ind w:left="0"/>
        <w:jc w:val="both"/>
        <w:rPr>
          <w:rFonts w:eastAsia="Times New Roman" w:cs="Times New Roman"/>
          <w:b/>
          <w:bCs/>
          <w:i/>
          <w:iCs/>
          <w:color w:val="0070C0"/>
          <w:szCs w:val="24"/>
          <w:lang w:val="bg-BG"/>
        </w:rPr>
      </w:pPr>
    </w:p>
    <w:sectPr w:rsidR="006C1DDE" w:rsidRPr="006F3533" w:rsidSect="00D27BA3">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83E829" w14:textId="77777777" w:rsidR="007733D4" w:rsidRDefault="007733D4" w:rsidP="00125A5D">
      <w:pPr>
        <w:spacing w:after="0" w:line="240" w:lineRule="auto"/>
      </w:pPr>
      <w:r>
        <w:separator/>
      </w:r>
    </w:p>
  </w:endnote>
  <w:endnote w:type="continuationSeparator" w:id="0">
    <w:p w14:paraId="414C9DA1" w14:textId="77777777" w:rsidR="007733D4" w:rsidRDefault="007733D4" w:rsidP="00125A5D">
      <w:pPr>
        <w:spacing w:after="0" w:line="240" w:lineRule="auto"/>
      </w:pPr>
      <w:r>
        <w:continuationSeparator/>
      </w:r>
    </w:p>
  </w:endnote>
  <w:endnote w:type="continuationNotice" w:id="1">
    <w:p w14:paraId="6E18EF26" w14:textId="77777777" w:rsidR="007733D4" w:rsidRDefault="007733D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5244509"/>
      <w:docPartObj>
        <w:docPartGallery w:val="Page Numbers (Bottom of Page)"/>
        <w:docPartUnique/>
      </w:docPartObj>
    </w:sdtPr>
    <w:sdtEndPr>
      <w:rPr>
        <w:noProof/>
      </w:rPr>
    </w:sdtEndPr>
    <w:sdtContent>
      <w:p w14:paraId="43C51E2F" w14:textId="691387C1" w:rsidR="00B572B1" w:rsidRDefault="00B572B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0817137" w14:textId="77777777" w:rsidR="00B572B1" w:rsidRDefault="00B572B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701895789"/>
      <w:docPartObj>
        <w:docPartGallery w:val="Page Numbers (Bottom of Page)"/>
        <w:docPartUnique/>
      </w:docPartObj>
    </w:sdtPr>
    <w:sdtEndPr>
      <w:rPr>
        <w:noProof/>
      </w:rPr>
    </w:sdtEndPr>
    <w:sdtContent>
      <w:p w14:paraId="4DE8D644" w14:textId="49A33AA5" w:rsidR="0046389C" w:rsidRPr="00C50A96" w:rsidRDefault="0046389C">
        <w:pPr>
          <w:pStyle w:val="Footer"/>
          <w:jc w:val="right"/>
          <w:rPr>
            <w:rFonts w:ascii="Times New Roman" w:hAnsi="Times New Roman" w:cs="Times New Roman"/>
          </w:rPr>
        </w:pPr>
        <w:r w:rsidRPr="00C50A96">
          <w:rPr>
            <w:rFonts w:ascii="Times New Roman" w:hAnsi="Times New Roman" w:cs="Times New Roman"/>
          </w:rPr>
          <w:fldChar w:fldCharType="begin"/>
        </w:r>
        <w:r w:rsidRPr="00C50A96">
          <w:rPr>
            <w:rFonts w:ascii="Times New Roman" w:hAnsi="Times New Roman" w:cs="Times New Roman"/>
          </w:rPr>
          <w:instrText xml:space="preserve"> PAGE   \* MERGEFORMAT </w:instrText>
        </w:r>
        <w:r w:rsidRPr="00C50A96">
          <w:rPr>
            <w:rFonts w:ascii="Times New Roman" w:hAnsi="Times New Roman" w:cs="Times New Roman"/>
          </w:rPr>
          <w:fldChar w:fldCharType="separate"/>
        </w:r>
        <w:r w:rsidR="00CD747B">
          <w:rPr>
            <w:rFonts w:ascii="Times New Roman" w:hAnsi="Times New Roman" w:cs="Times New Roman"/>
            <w:noProof/>
          </w:rPr>
          <w:t>15</w:t>
        </w:r>
        <w:r w:rsidRPr="00C50A96">
          <w:rPr>
            <w:rFonts w:ascii="Times New Roman" w:hAnsi="Times New Roman" w:cs="Times New Roman"/>
            <w:noProof/>
          </w:rPr>
          <w:fldChar w:fldCharType="end"/>
        </w:r>
      </w:p>
    </w:sdtContent>
  </w:sdt>
  <w:p w14:paraId="6B51DCE4" w14:textId="77777777" w:rsidR="0046389C" w:rsidRDefault="004638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9505A6" w14:textId="77777777" w:rsidR="007733D4" w:rsidRDefault="007733D4" w:rsidP="00125A5D">
      <w:pPr>
        <w:spacing w:after="0" w:line="240" w:lineRule="auto"/>
      </w:pPr>
      <w:r>
        <w:separator/>
      </w:r>
    </w:p>
  </w:footnote>
  <w:footnote w:type="continuationSeparator" w:id="0">
    <w:p w14:paraId="3AC35AC0" w14:textId="77777777" w:rsidR="007733D4" w:rsidRDefault="007733D4" w:rsidP="00125A5D">
      <w:pPr>
        <w:spacing w:after="0" w:line="240" w:lineRule="auto"/>
      </w:pPr>
      <w:r>
        <w:continuationSeparator/>
      </w:r>
    </w:p>
  </w:footnote>
  <w:footnote w:type="continuationNotice" w:id="1">
    <w:p w14:paraId="289ECBD1" w14:textId="77777777" w:rsidR="007733D4" w:rsidRDefault="007733D4">
      <w:pPr>
        <w:spacing w:after="0" w:line="240" w:lineRule="auto"/>
      </w:pPr>
    </w:p>
  </w:footnote>
  <w:footnote w:id="2">
    <w:p w14:paraId="01CD2D62"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 5, т. 29 от Допълнителните разпоредби на Закона за устройство на територията.</w:t>
      </w:r>
    </w:p>
  </w:footnote>
  <w:footnote w:id="3">
    <w:p w14:paraId="3752C286"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,,Разгъната застроена площ“ е сборът от застроените площи на всички надземни етажи на основното и допълващото застрояване - § 5, т. 18 от Допълнителните разпоредби на Закона за устройство на територията.</w:t>
      </w:r>
    </w:p>
  </w:footnote>
  <w:footnote w:id="4">
    <w:p w14:paraId="7CFD51D0"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w:t>
      </w:r>
      <w:hyperlink r:id="rId1" w:history="1">
        <w:r w:rsidRPr="00370914">
          <w:rPr>
            <w:rStyle w:val="Hyperlink"/>
            <w:rFonts w:ascii="Cambria" w:hAnsi="Cambria"/>
            <w:sz w:val="18"/>
            <w:szCs w:val="18"/>
            <w:lang w:val="bg-BG"/>
          </w:rPr>
          <w:t>Методология</w:t>
        </w:r>
      </w:hyperlink>
      <w:r w:rsidRPr="00370914">
        <w:rPr>
          <w:rFonts w:ascii="Cambria" w:hAnsi="Cambria"/>
          <w:sz w:val="18"/>
          <w:szCs w:val="18"/>
          <w:lang w:val="bg-BG"/>
        </w:rPr>
        <w:t xml:space="preserve"> на изследване ,,Жилища и жилищни сгради в страната“, НСИ.</w:t>
      </w:r>
    </w:p>
  </w:footnote>
  <w:footnote w:id="5">
    <w:p w14:paraId="1D38A62E"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Нискоетажна (от един до три етажа) жилищна сграда (свободно стояща, „на калкан“ или „близнаци“, терасовидна, редова и др.), при която всяко от жилищата има собствен вход директно от прилежащия терен. Тук се включват и сградите до три етажа с по едно жилище на етаж и общ вход от улица/двор. Тук се включват и къщите за гости и семейните хотели, в които поне 60% от площта се използва за обичайно пребиваване на лица и отговарят на определението за къща.</w:t>
      </w:r>
    </w:p>
  </w:footnote>
  <w:footnote w:id="6">
    <w:p w14:paraId="214BF1E1"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Сграда с ниска (2 или 3 етажа), средна (4 и 5 етажа) или висока (6 и повече етажа) етажност и с един или повече входове с общо стълбище към отделните жилища в съответния вход. Тук се отнасят и сградите на два или три етажа с две и повече жилища на етаж. Жилищни блокове, които имат повече от един вход, и тези, които са строени по секции (стъпаловидно), се приемат за една сграда. Тук се включват и къщите за гости и семейните хотели, в които поне 60% от площта се използва за обичайно пребиваване на лица и отговарят на определението за „Жилищен блок, кооперация“.</w:t>
      </w:r>
    </w:p>
  </w:footnote>
  <w:footnote w:id="7">
    <w:p w14:paraId="798AFCEE"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Сгради, в които повече от 60% от разгънатата застроена площ се използва за жилищни цели, а по-малко от 40% от площта - за нежилищни цели (търговски, административни и др.).</w:t>
      </w:r>
    </w:p>
  </w:footnote>
  <w:footnote w:id="8">
    <w:p w14:paraId="64163F81"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Жилищна сграда, предназначена за временно задоволяване на жилищните нужди на студенти, докторанти и специализанти или работници/служители</w:t>
      </w:r>
    </w:p>
  </w:footnote>
  <w:footnote w:id="9">
    <w:p w14:paraId="448F1A3F"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Сгради, които се намират в регулирани или нерегулирани вилни зони, частни имоти (лозя, градини) и др. и които по първоначално изграждане са предназначени за задоволяване на специфични нужди на населението - отдих, сезонно или временно жилище.</w:t>
      </w:r>
    </w:p>
  </w:footnote>
  <w:footnote w:id="10">
    <w:p w14:paraId="40EEA952" w14:textId="77777777" w:rsidR="00E6313A" w:rsidRPr="00370914" w:rsidRDefault="00E6313A" w:rsidP="00E6313A">
      <w:pPr>
        <w:pStyle w:val="FootnoteText"/>
        <w:jc w:val="both"/>
        <w:rPr>
          <w:lang w:val="bg-BG"/>
        </w:rPr>
      </w:pPr>
      <w:r w:rsidRPr="00370914">
        <w:rPr>
          <w:rStyle w:val="FootnoteReference"/>
          <w:lang w:val="bg-BG"/>
        </w:rPr>
        <w:footnoteRef/>
      </w:r>
      <w:r w:rsidRPr="00370914">
        <w:rPr>
          <w:lang w:val="bg-BG"/>
        </w:rPr>
        <w:t xml:space="preserve"> </w:t>
      </w:r>
      <w:r w:rsidRPr="00370914">
        <w:rPr>
          <w:rFonts w:ascii="Cambria" w:hAnsi="Cambria"/>
          <w:sz w:val="18"/>
          <w:szCs w:val="18"/>
          <w:lang w:val="bg-BG"/>
        </w:rPr>
        <w:t>Лятна кухня, когато е отделна постройка, е сграда от допълващо застрояване, чиито помещения се ползват от домакинство, постоянно живеещо в жилищната сграда, към която принадлежи лятната кухня.</w:t>
      </w:r>
      <w:r w:rsidRPr="00370914">
        <w:rPr>
          <w:lang w:val="bg-BG"/>
        </w:rPr>
        <w:t xml:space="preserve"> </w:t>
      </w:r>
      <w:r w:rsidRPr="00370914">
        <w:rPr>
          <w:rFonts w:ascii="Cambria" w:hAnsi="Cambria"/>
          <w:sz w:val="18"/>
          <w:szCs w:val="18"/>
          <w:lang w:val="bg-BG"/>
        </w:rPr>
        <w:t>За тази сграда не се събира информация за жилище и данните за това жилище се отнасят към основното жилище.</w:t>
      </w:r>
    </w:p>
  </w:footnote>
  <w:footnote w:id="11">
    <w:p w14:paraId="1EE27EBD"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Интернати, пансиони, манастири, домове за отглеждане на деца, домове за стари хора, затвори и други подобни, в които живеят колективни домакинства.</w:t>
      </w:r>
    </w:p>
  </w:footnote>
  <w:footnote w:id="12">
    <w:p w14:paraId="7224EB3A"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Чл. 17, ал. 6 от Наредба № РД-02-20-3 от 9.11.2022 г. за техническите изисквания към енергийните характеристики на сгради. В сила от 18.11.2022 г</w:t>
      </w:r>
    </w:p>
  </w:footnote>
  <w:footnote w:id="13">
    <w:p w14:paraId="0D6116B8" w14:textId="77777777" w:rsidR="00E6313A" w:rsidRPr="00370914" w:rsidRDefault="00E6313A" w:rsidP="00E6313A">
      <w:pPr>
        <w:pStyle w:val="FootnoteText"/>
        <w:jc w:val="both"/>
        <w:rPr>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Наредба № Е-РД-04-2 от 16 декември 2022 г. за обследване за енергийна ефективност, сертифициране и оценка на енергийните спестявания на сгради.</w:t>
      </w:r>
    </w:p>
  </w:footnote>
  <w:footnote w:id="14">
    <w:p w14:paraId="60B1540E" w14:textId="77777777" w:rsidR="00E6313A" w:rsidRPr="00370914" w:rsidRDefault="00E6313A" w:rsidP="00E6313A">
      <w:pPr>
        <w:pStyle w:val="FootnoteText"/>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Член 32, ал.4 от Закона за енергийната ефективност.  </w:t>
      </w:r>
    </w:p>
  </w:footnote>
  <w:footnote w:id="15">
    <w:p w14:paraId="0DF2744E" w14:textId="77777777" w:rsidR="00E6313A" w:rsidRPr="00370914" w:rsidRDefault="00E6313A" w:rsidP="00E6313A">
      <w:pPr>
        <w:pStyle w:val="FootnoteText"/>
        <w:jc w:val="both"/>
        <w:rPr>
          <w:lang w:val="bg-BG"/>
        </w:rPr>
      </w:pPr>
      <w:r w:rsidRPr="00370914">
        <w:rPr>
          <w:rFonts w:ascii="Cambria" w:hAnsi="Cambria"/>
          <w:sz w:val="18"/>
          <w:szCs w:val="18"/>
          <w:vertAlign w:val="superscript"/>
          <w:lang w:val="bg-BG"/>
        </w:rPr>
        <w:footnoteRef/>
      </w:r>
      <w:r w:rsidRPr="00370914">
        <w:rPr>
          <w:rFonts w:ascii="Cambria" w:hAnsi="Cambria"/>
          <w:sz w:val="18"/>
          <w:szCs w:val="18"/>
          <w:vertAlign w:val="superscript"/>
          <w:lang w:val="bg-BG"/>
        </w:rPr>
        <w:t xml:space="preserve"> </w:t>
      </w:r>
      <w:r w:rsidRPr="00370914">
        <w:rPr>
          <w:rFonts w:ascii="Cambria" w:hAnsi="Cambria"/>
          <w:sz w:val="18"/>
          <w:szCs w:val="18"/>
          <w:lang w:val="bg-BG"/>
        </w:rPr>
        <w:t>,,Жилище“ е съвкупност от помещения, покрити и/или открити пространства, обединени функционално и пространствено в едно цяло за задоволяване на жилищни нужди (§ 5, т. 30 от Допълнителните разпоредби на ЗУТ).</w:t>
      </w:r>
    </w:p>
  </w:footnote>
  <w:footnote w:id="16">
    <w:p w14:paraId="2964984C" w14:textId="77777777" w:rsidR="00E6313A" w:rsidRPr="00370914" w:rsidRDefault="00E6313A" w:rsidP="00E6313A">
      <w:pPr>
        <w:pStyle w:val="FootnoteText"/>
        <w:jc w:val="both"/>
        <w:rPr>
          <w:lang w:val="bg-BG"/>
        </w:rPr>
      </w:pPr>
      <w:r w:rsidRPr="00370914">
        <w:rPr>
          <w:rFonts w:ascii="Cambria" w:hAnsi="Cambria"/>
          <w:sz w:val="18"/>
          <w:szCs w:val="18"/>
          <w:vertAlign w:val="superscript"/>
          <w:lang w:val="bg-BG"/>
        </w:rPr>
        <w:footnoteRef/>
      </w:r>
      <w:r w:rsidRPr="00370914">
        <w:rPr>
          <w:rFonts w:ascii="Cambria" w:hAnsi="Cambria"/>
          <w:sz w:val="18"/>
          <w:szCs w:val="18"/>
          <w:vertAlign w:val="superscript"/>
          <w:lang w:val="bg-BG"/>
        </w:rPr>
        <w:t xml:space="preserve"> </w:t>
      </w:r>
      <w:r w:rsidRPr="00370914">
        <w:rPr>
          <w:rFonts w:ascii="Cambria" w:hAnsi="Cambria"/>
          <w:sz w:val="18"/>
          <w:szCs w:val="18"/>
          <w:lang w:val="bg-BG"/>
        </w:rPr>
        <w:t>,,Полезната площ“ на жилището представлява сума от жилищната и спомагателната площ. Жилищната площ включва площта на стаите и кухните с площ 4 и повече квадратни метри. В състава на спомагателната площ се включва площта на спомагателните помещения, стаите и кухните с площ, по-малка от 4 кв.м, вестибюлите с портал и друга преграда, коридорите, антретата, баните, тоалетните, килерите, дрешниците, другите спомагателни помещения (сушилни, перални, балкони и лоджии) независимо от големината на площта им (</w:t>
      </w:r>
      <w:hyperlink r:id="rId2" w:history="1">
        <w:r w:rsidRPr="00370914">
          <w:rPr>
            <w:rStyle w:val="Hyperlink"/>
            <w:rFonts w:ascii="Cambria" w:hAnsi="Cambria"/>
            <w:sz w:val="18"/>
            <w:szCs w:val="18"/>
            <w:lang w:val="bg-BG"/>
          </w:rPr>
          <w:t>Методология</w:t>
        </w:r>
      </w:hyperlink>
      <w:r w:rsidRPr="00370914">
        <w:rPr>
          <w:rFonts w:ascii="Cambria" w:hAnsi="Cambria"/>
          <w:sz w:val="18"/>
          <w:szCs w:val="18"/>
          <w:lang w:val="bg-BG"/>
        </w:rPr>
        <w:t xml:space="preserve"> на изследване ,,Жилища и жилищни сгради в страната“, НСИ). </w:t>
      </w:r>
    </w:p>
  </w:footnote>
  <w:footnote w:id="17">
    <w:p w14:paraId="13336BC9" w14:textId="77777777" w:rsidR="00E6313A" w:rsidRPr="00370914" w:rsidRDefault="00E6313A" w:rsidP="00E6313A">
      <w:pPr>
        <w:pStyle w:val="FootnoteText"/>
        <w:jc w:val="both"/>
        <w:rPr>
          <w:lang w:val="bg-BG"/>
        </w:rPr>
      </w:pPr>
      <w:r w:rsidRPr="00370914">
        <w:rPr>
          <w:rFonts w:ascii="Cambria" w:hAnsi="Cambria"/>
          <w:sz w:val="18"/>
          <w:szCs w:val="18"/>
          <w:vertAlign w:val="superscript"/>
          <w:lang w:val="bg-BG"/>
        </w:rPr>
        <w:footnoteRef/>
      </w:r>
      <w:r w:rsidRPr="00370914">
        <w:rPr>
          <w:rFonts w:ascii="Cambria" w:hAnsi="Cambria"/>
          <w:sz w:val="18"/>
          <w:szCs w:val="18"/>
          <w:vertAlign w:val="superscript"/>
          <w:lang w:val="bg-BG"/>
        </w:rPr>
        <w:t xml:space="preserve"> </w:t>
      </w:r>
      <w:r w:rsidRPr="00370914">
        <w:rPr>
          <w:rFonts w:ascii="Cambria" w:hAnsi="Cambria"/>
          <w:sz w:val="18"/>
          <w:szCs w:val="18"/>
          <w:lang w:val="bg-BG"/>
        </w:rPr>
        <w:t>Когато в жилищната сграда живее постоянно поне едно домакинство или лице, сградата се счита за обитавана. Сградата се счита за необитавана, ако в нея няма нито едно обитавано жилище, т.е. в нея не живеят постоянно домакинства и лица, но е годна за живеене. Годна за живеене е тази сграда, на която подът, стените и покривът са здрави и устойчиви, прозорците са остъклени и има врати (</w:t>
      </w:r>
      <w:hyperlink r:id="rId3" w:history="1">
        <w:r w:rsidRPr="00370914">
          <w:rPr>
            <w:rStyle w:val="Hyperlink"/>
            <w:rFonts w:ascii="Cambria" w:hAnsi="Cambria"/>
            <w:sz w:val="18"/>
            <w:szCs w:val="18"/>
            <w:lang w:val="bg-BG"/>
          </w:rPr>
          <w:t>Методология</w:t>
        </w:r>
      </w:hyperlink>
      <w:r w:rsidRPr="00370914">
        <w:rPr>
          <w:rFonts w:ascii="Cambria" w:hAnsi="Cambria"/>
          <w:sz w:val="18"/>
          <w:szCs w:val="18"/>
          <w:lang w:val="bg-BG"/>
        </w:rPr>
        <w:t xml:space="preserve"> на изследване ,,Жилища и жилищни сгради в страната“, НСИ). </w:t>
      </w:r>
    </w:p>
  </w:footnote>
  <w:footnote w:id="18">
    <w:p w14:paraId="36BABF22" w14:textId="77777777" w:rsidR="00E6313A" w:rsidRPr="00370914" w:rsidRDefault="00E6313A" w:rsidP="00E6313A">
      <w:pPr>
        <w:pStyle w:val="FootnoteText"/>
        <w:jc w:val="both"/>
        <w:rPr>
          <w:rFonts w:ascii="Cambria" w:hAnsi="Cambria"/>
          <w:sz w:val="18"/>
          <w:szCs w:val="18"/>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След 2021 г. по данни на НСИ са въведени в експлоатация нови 19 710 сгради с 80 0599  жилища с обща полезна площ 7 887 145 кв.м. Жилищните сгради са изградени в съответствие с приложимата (актуалната) нормативна уредба за ЕЕ и не попадат в обхвата на настоящия доклад.</w:t>
      </w:r>
    </w:p>
  </w:footnote>
  <w:footnote w:id="19">
    <w:p w14:paraId="35434F46" w14:textId="77777777" w:rsidR="00E6313A" w:rsidRPr="00370914" w:rsidRDefault="00E6313A" w:rsidP="00E6313A">
      <w:pPr>
        <w:pStyle w:val="FootnoteText"/>
        <w:jc w:val="both"/>
        <w:rPr>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В таблицата не са включени данни за сградите, въведени в експлоатация в периода 2022-2025 г.</w:t>
      </w:r>
    </w:p>
  </w:footnote>
  <w:footnote w:id="20">
    <w:p w14:paraId="7244F4B0" w14:textId="77777777" w:rsidR="00E6313A" w:rsidRPr="00370914" w:rsidRDefault="00E6313A" w:rsidP="00E6313A">
      <w:pPr>
        <w:pStyle w:val="FootnoteText"/>
        <w:jc w:val="both"/>
        <w:rPr>
          <w:rFonts w:ascii="Cambria" w:hAnsi="Cambria" w:cs="Times New Roman"/>
          <w:sz w:val="18"/>
          <w:szCs w:val="18"/>
          <w:lang w:val="bg-BG"/>
        </w:rPr>
      </w:pPr>
      <w:r w:rsidRPr="00370914">
        <w:rPr>
          <w:rStyle w:val="FootnoteReference"/>
          <w:rFonts w:ascii="Cambria" w:hAnsi="Cambria" w:cs="Times New Roman"/>
          <w:sz w:val="18"/>
          <w:szCs w:val="18"/>
          <w:lang w:val="bg-BG"/>
        </w:rPr>
        <w:footnoteRef/>
      </w:r>
      <w:r w:rsidRPr="00370914">
        <w:rPr>
          <w:rFonts w:ascii="Cambria" w:hAnsi="Cambria" w:cs="Times New Roman"/>
          <w:sz w:val="18"/>
          <w:szCs w:val="18"/>
          <w:lang w:val="bg-BG"/>
        </w:rPr>
        <w:t xml:space="preserve"> Панелни сгради са тези, които са изградени изцяло от предварително изготвени стоманобетонови панели </w:t>
      </w:r>
      <w:bookmarkStart w:id="40" w:name="_Hlk27374491"/>
      <w:r w:rsidRPr="00370914">
        <w:rPr>
          <w:rFonts w:ascii="Cambria" w:hAnsi="Cambria" w:cs="Times New Roman"/>
          <w:sz w:val="18"/>
          <w:szCs w:val="18"/>
          <w:lang w:val="bg-BG"/>
        </w:rPr>
        <w:t>(стени, подови плочи, покрив)</w:t>
      </w:r>
      <w:bookmarkEnd w:id="40"/>
      <w:r w:rsidRPr="00370914">
        <w:rPr>
          <w:rFonts w:ascii="Cambria" w:hAnsi="Cambria" w:cs="Times New Roman"/>
          <w:sz w:val="18"/>
          <w:szCs w:val="18"/>
          <w:lang w:val="bg-BG"/>
        </w:rPr>
        <w:t xml:space="preserve"> - </w:t>
      </w:r>
      <w:r w:rsidRPr="00370914">
        <w:rPr>
          <w:rFonts w:ascii="Cambria" w:hAnsi="Cambria"/>
          <w:sz w:val="18"/>
          <w:szCs w:val="18"/>
          <w:lang w:val="bg-BG"/>
        </w:rPr>
        <w:t>(</w:t>
      </w:r>
      <w:hyperlink r:id="rId4" w:history="1">
        <w:r w:rsidRPr="00370914">
          <w:rPr>
            <w:rStyle w:val="Hyperlink"/>
            <w:rFonts w:ascii="Cambria" w:hAnsi="Cambria"/>
            <w:sz w:val="18"/>
            <w:szCs w:val="18"/>
            <w:lang w:val="bg-BG"/>
          </w:rPr>
          <w:t>Методология</w:t>
        </w:r>
      </w:hyperlink>
      <w:r w:rsidRPr="00370914">
        <w:rPr>
          <w:rFonts w:ascii="Cambria" w:hAnsi="Cambria"/>
          <w:sz w:val="18"/>
          <w:szCs w:val="18"/>
          <w:lang w:val="bg-BG"/>
        </w:rPr>
        <w:t xml:space="preserve"> на изследване ,,Жилища и жилищни сгради в страната“, НСИ).</w:t>
      </w:r>
    </w:p>
  </w:footnote>
  <w:footnote w:id="21">
    <w:p w14:paraId="5A6BEFFC" w14:textId="77777777" w:rsidR="00E6313A" w:rsidRPr="00370914" w:rsidRDefault="00E6313A" w:rsidP="00E6313A">
      <w:pPr>
        <w:pStyle w:val="FootnoteText"/>
        <w:jc w:val="both"/>
        <w:rPr>
          <w:rFonts w:ascii="Cambria" w:hAnsi="Cambria" w:cs="Times New Roman"/>
          <w:sz w:val="18"/>
          <w:szCs w:val="18"/>
          <w:lang w:val="bg-BG"/>
        </w:rPr>
      </w:pPr>
      <w:r w:rsidRPr="00370914">
        <w:rPr>
          <w:rStyle w:val="FootnoteReference"/>
          <w:rFonts w:ascii="Cambria" w:hAnsi="Cambria" w:cs="Times New Roman"/>
          <w:sz w:val="18"/>
          <w:szCs w:val="18"/>
          <w:lang w:val="bg-BG"/>
        </w:rPr>
        <w:footnoteRef/>
      </w:r>
      <w:r w:rsidRPr="00370914">
        <w:rPr>
          <w:rFonts w:ascii="Cambria" w:hAnsi="Cambria" w:cs="Times New Roman"/>
          <w:sz w:val="18"/>
          <w:szCs w:val="18"/>
          <w:lang w:val="bg-BG"/>
        </w:rPr>
        <w:t xml:space="preserve"> Стоманобетонни сгради са тези, при които носещият скелет и подовите конструкции са изградени от стоманобетон, а стените са от панели, тухлена зидария или друг материал </w:t>
      </w:r>
      <w:bookmarkStart w:id="41" w:name="_Hlk215139231"/>
      <w:r w:rsidRPr="00370914">
        <w:rPr>
          <w:rFonts w:ascii="Cambria" w:hAnsi="Cambria" w:cs="Times New Roman"/>
          <w:sz w:val="18"/>
          <w:szCs w:val="18"/>
          <w:lang w:val="bg-BG"/>
        </w:rPr>
        <w:t>(Пак там).</w:t>
      </w:r>
      <w:bookmarkEnd w:id="41"/>
    </w:p>
  </w:footnote>
  <w:footnote w:id="22">
    <w:p w14:paraId="79E26DAF" w14:textId="77777777" w:rsidR="00E6313A" w:rsidRPr="00370914" w:rsidRDefault="00E6313A" w:rsidP="00E6313A">
      <w:pPr>
        <w:pStyle w:val="FootnoteText"/>
        <w:jc w:val="both"/>
        <w:rPr>
          <w:rFonts w:ascii="Cambria" w:hAnsi="Cambria" w:cs="Times New Roman"/>
          <w:sz w:val="18"/>
          <w:szCs w:val="18"/>
          <w:lang w:val="bg-BG"/>
        </w:rPr>
      </w:pPr>
      <w:r w:rsidRPr="00370914">
        <w:rPr>
          <w:rStyle w:val="FootnoteReference"/>
          <w:rFonts w:ascii="Cambria" w:hAnsi="Cambria" w:cs="Times New Roman"/>
          <w:sz w:val="18"/>
          <w:szCs w:val="18"/>
          <w:lang w:val="bg-BG"/>
        </w:rPr>
        <w:footnoteRef/>
      </w:r>
      <w:r w:rsidRPr="00370914">
        <w:rPr>
          <w:rFonts w:ascii="Cambria" w:hAnsi="Cambria" w:cs="Times New Roman"/>
          <w:sz w:val="18"/>
          <w:szCs w:val="18"/>
          <w:lang w:val="bg-BG"/>
        </w:rPr>
        <w:t xml:space="preserve"> Масивни сгради са тези, носещите стени на които са от тухлена или каменна зидария, а поясите, гредите и подовата конструкция са изградени от стоманобетон, но нямат стоманобетонни колони (Пак там).</w:t>
      </w:r>
    </w:p>
  </w:footnote>
  <w:footnote w:id="23">
    <w:p w14:paraId="7E96DC4A" w14:textId="77777777" w:rsidR="00E6313A" w:rsidRPr="00370914" w:rsidRDefault="00E6313A" w:rsidP="00E6313A">
      <w:pPr>
        <w:pStyle w:val="FootnoteText"/>
        <w:jc w:val="both"/>
        <w:rPr>
          <w:rFonts w:ascii="Cambria" w:hAnsi="Cambria" w:cs="Times New Roman"/>
          <w:sz w:val="18"/>
          <w:szCs w:val="18"/>
          <w:lang w:val="bg-BG"/>
        </w:rPr>
      </w:pPr>
      <w:r w:rsidRPr="00370914">
        <w:rPr>
          <w:rStyle w:val="FootnoteReference"/>
          <w:rFonts w:ascii="Cambria" w:hAnsi="Cambria" w:cs="Times New Roman"/>
          <w:sz w:val="18"/>
          <w:szCs w:val="18"/>
          <w:lang w:val="bg-BG"/>
        </w:rPr>
        <w:footnoteRef/>
      </w:r>
      <w:r w:rsidRPr="00370914">
        <w:rPr>
          <w:rFonts w:ascii="Cambria" w:hAnsi="Cambria" w:cs="Times New Roman"/>
          <w:sz w:val="18"/>
          <w:szCs w:val="18"/>
          <w:lang w:val="bg-BG"/>
        </w:rPr>
        <w:t xml:space="preserve"> Полумасивни сгради (тухлени сгради с гредоред) са тези, носещите стени на които са от тухлена или каменна зидария, а поясите, гредите и подовата конструкция са изградени от дървени елементи</w:t>
      </w:r>
      <w:r w:rsidRPr="00370914">
        <w:rPr>
          <w:lang w:val="bg-BG"/>
        </w:rPr>
        <w:t xml:space="preserve"> </w:t>
      </w:r>
      <w:r w:rsidRPr="00370914">
        <w:rPr>
          <w:rFonts w:ascii="Cambria" w:hAnsi="Cambria" w:cs="Times New Roman"/>
          <w:sz w:val="18"/>
          <w:szCs w:val="18"/>
          <w:lang w:val="bg-BG"/>
        </w:rPr>
        <w:t>(Пак там).</w:t>
      </w:r>
    </w:p>
  </w:footnote>
  <w:footnote w:id="24">
    <w:p w14:paraId="7C8DFDB0" w14:textId="77777777" w:rsidR="00E6313A" w:rsidRPr="00370914" w:rsidRDefault="00E6313A" w:rsidP="00E6313A">
      <w:pPr>
        <w:pStyle w:val="FootnoteText"/>
        <w:jc w:val="both"/>
        <w:rPr>
          <w:rFonts w:ascii="Times New Roman" w:hAnsi="Times New Roman" w:cs="Times New Roman"/>
          <w:lang w:val="bg-BG"/>
        </w:rPr>
      </w:pPr>
      <w:r w:rsidRPr="00370914">
        <w:rPr>
          <w:rStyle w:val="FootnoteReference"/>
          <w:rFonts w:ascii="Cambria" w:hAnsi="Cambria"/>
          <w:sz w:val="18"/>
          <w:szCs w:val="18"/>
          <w:lang w:val="bg-BG"/>
        </w:rPr>
        <w:footnoteRef/>
      </w:r>
      <w:r w:rsidRPr="00370914">
        <w:rPr>
          <w:rFonts w:ascii="Cambria" w:hAnsi="Cambria"/>
          <w:sz w:val="18"/>
          <w:szCs w:val="18"/>
          <w:lang w:val="bg-BG"/>
        </w:rPr>
        <w:t xml:space="preserve"> </w:t>
      </w:r>
      <w:r w:rsidRPr="00370914">
        <w:rPr>
          <w:rFonts w:ascii="Cambria" w:hAnsi="Cambria" w:cs="Times New Roman"/>
          <w:sz w:val="18"/>
          <w:szCs w:val="18"/>
          <w:lang w:val="bg-BG"/>
        </w:rPr>
        <w:t>Към групата „други“ са включени сгради, построени от кирпич (сурови тухли), дърво и други материали</w:t>
      </w:r>
      <w:r w:rsidRPr="00370914">
        <w:rPr>
          <w:lang w:val="bg-BG"/>
        </w:rPr>
        <w:t xml:space="preserve"> </w:t>
      </w:r>
      <w:r w:rsidRPr="00370914">
        <w:rPr>
          <w:rFonts w:ascii="Cambria" w:hAnsi="Cambria" w:cs="Times New Roman"/>
          <w:sz w:val="18"/>
          <w:szCs w:val="18"/>
          <w:lang w:val="bg-BG"/>
        </w:rPr>
        <w:t>(Пак там).</w:t>
      </w:r>
    </w:p>
  </w:footnote>
  <w:footnote w:id="25">
    <w:p w14:paraId="6E4A3E0C" w14:textId="77777777" w:rsidR="00E6313A" w:rsidRPr="00370914" w:rsidRDefault="00E6313A" w:rsidP="00E6313A">
      <w:pPr>
        <w:pStyle w:val="FootnoteText"/>
        <w:jc w:val="both"/>
        <w:rPr>
          <w:rFonts w:ascii="Cambria" w:hAnsi="Cambria"/>
          <w:lang w:val="bg-BG"/>
        </w:rPr>
      </w:pPr>
      <w:r w:rsidRPr="00370914">
        <w:rPr>
          <w:rStyle w:val="FootnoteReference"/>
          <w:rFonts w:ascii="Cambria" w:hAnsi="Cambria"/>
          <w:lang w:val="bg-BG"/>
        </w:rPr>
        <w:footnoteRef/>
      </w:r>
      <w:r w:rsidRPr="00370914">
        <w:rPr>
          <w:rFonts w:ascii="Cambria" w:hAnsi="Cambria"/>
          <w:lang w:val="bg-BG"/>
        </w:rPr>
        <w:t xml:space="preserve"> Външна изолация са плоскости или друг вид материали с изолационни качества, поставени върху външните стени, които допринасят за повишаване на вътрешната температура на жилището и за намаляване на разходите за отопление и/или охлаждане – НСИ, методология за провеждане на преброяване на населението и жилищния фонд в Р България през 2021 г. </w:t>
      </w:r>
    </w:p>
  </w:footnote>
  <w:footnote w:id="26">
    <w:p w14:paraId="313B4EF7" w14:textId="77777777" w:rsidR="00E6313A" w:rsidRPr="00370914" w:rsidRDefault="00E6313A" w:rsidP="00E6313A">
      <w:pPr>
        <w:pStyle w:val="FootnoteText"/>
        <w:jc w:val="both"/>
        <w:rPr>
          <w:rFonts w:ascii="Cambria" w:hAnsi="Cambria"/>
          <w:lang w:val="bg-BG"/>
        </w:rPr>
      </w:pPr>
      <w:r w:rsidRPr="00370914">
        <w:rPr>
          <w:rStyle w:val="FootnoteReference"/>
          <w:rFonts w:ascii="Cambria" w:hAnsi="Cambria"/>
          <w:lang w:val="bg-BG"/>
        </w:rPr>
        <w:footnoteRef/>
      </w:r>
      <w:r w:rsidRPr="00370914">
        <w:rPr>
          <w:rFonts w:ascii="Cambria" w:hAnsi="Cambria"/>
          <w:lang w:val="bg-BG"/>
        </w:rPr>
        <w:t xml:space="preserve"> Енергоспестяваща дограма е всяка разновидност на дограма (PVC, алуминий и дърво), която има по-висок коефициент на топлоизолация и допринася за намаляване на разходите за отопление или охлаждане – НСИ, методология за провеждане на преброяване на населението и жилищния фонд в Р България през 2021 г.</w:t>
      </w:r>
    </w:p>
  </w:footnote>
  <w:footnote w:id="27">
    <w:p w14:paraId="4B513644" w14:textId="77777777" w:rsidR="00E6313A" w:rsidRPr="00370914" w:rsidRDefault="00E6313A" w:rsidP="00E6313A">
      <w:pPr>
        <w:pStyle w:val="FootnoteText"/>
        <w:jc w:val="both"/>
        <w:rPr>
          <w:rFonts w:ascii="Cambria" w:hAnsi="Cambria"/>
          <w:lang w:val="bg-BG"/>
        </w:rPr>
      </w:pPr>
      <w:r w:rsidRPr="00370914">
        <w:rPr>
          <w:rStyle w:val="FootnoteReference"/>
          <w:rFonts w:ascii="Cambria" w:hAnsi="Cambria"/>
          <w:lang w:val="bg-BG"/>
        </w:rPr>
        <w:footnoteRef/>
      </w:r>
      <w:r w:rsidRPr="00370914">
        <w:rPr>
          <w:rFonts w:ascii="Cambria" w:hAnsi="Cambria"/>
          <w:lang w:val="bg-BG"/>
        </w:rPr>
        <w:t xml:space="preserve"> При събиране на информацията респондентите са имали възможност да посочват повече от един отговор.</w:t>
      </w:r>
    </w:p>
  </w:footnote>
  <w:footnote w:id="28">
    <w:p w14:paraId="059BB50F" w14:textId="77777777" w:rsidR="00E6313A" w:rsidRPr="00370914" w:rsidRDefault="00E6313A" w:rsidP="00E6313A">
      <w:pPr>
        <w:pStyle w:val="FootnoteText"/>
        <w:jc w:val="both"/>
        <w:rPr>
          <w:lang w:val="bg-BG"/>
        </w:rPr>
      </w:pPr>
      <w:r w:rsidRPr="00370914">
        <w:rPr>
          <w:rStyle w:val="FootnoteReference"/>
          <w:lang w:val="bg-BG"/>
        </w:rPr>
        <w:footnoteRef/>
      </w:r>
      <w:r w:rsidRPr="00370914">
        <w:rPr>
          <w:lang w:val="bg-BG"/>
        </w:rPr>
        <w:t xml:space="preserve"> "Икономическо развитие и политики в България 2024: оценки и очаквания. Тема на фокус: Енергийната бедност в България – развитие и политики" от Института за икономически изследвания при БАН.</w:t>
      </w:r>
    </w:p>
  </w:footnote>
  <w:footnote w:id="29">
    <w:p w14:paraId="7C84F1B3" w14:textId="77777777" w:rsidR="000F16D5" w:rsidRPr="00370914" w:rsidRDefault="000F16D5" w:rsidP="000F16D5">
      <w:pPr>
        <w:pStyle w:val="FootnoteText"/>
        <w:rPr>
          <w:rFonts w:ascii="Times New Roman" w:hAnsi="Times New Roman" w:cs="Times New Roman"/>
          <w:sz w:val="18"/>
          <w:szCs w:val="18"/>
          <w:lang w:val="bg-BG"/>
        </w:rPr>
      </w:pPr>
      <w:r w:rsidRPr="00370914">
        <w:rPr>
          <w:rStyle w:val="FootnoteReference"/>
          <w:rFonts w:ascii="Times New Roman" w:hAnsi="Times New Roman" w:cs="Times New Roman"/>
          <w:sz w:val="18"/>
          <w:szCs w:val="18"/>
          <w:lang w:val="bg-BG"/>
        </w:rPr>
        <w:footnoteRef/>
      </w:r>
      <w:r w:rsidRPr="00370914">
        <w:rPr>
          <w:rFonts w:ascii="Times New Roman" w:hAnsi="Times New Roman" w:cs="Times New Roman"/>
          <w:sz w:val="18"/>
          <w:szCs w:val="18"/>
          <w:lang w:val="bg-BG"/>
        </w:rPr>
        <w:t xml:space="preserve"> Mandatory</w:t>
      </w:r>
    </w:p>
  </w:footnote>
  <w:footnote w:id="30">
    <w:p w14:paraId="133964F4" w14:textId="77777777" w:rsidR="000F16D5" w:rsidRPr="00370914" w:rsidRDefault="000F16D5" w:rsidP="000F16D5">
      <w:pPr>
        <w:pStyle w:val="FootnoteText"/>
        <w:rPr>
          <w:sz w:val="18"/>
          <w:szCs w:val="18"/>
          <w:lang w:val="bg-BG"/>
        </w:rPr>
      </w:pPr>
      <w:r w:rsidRPr="00370914">
        <w:rPr>
          <w:rStyle w:val="FootnoteReference"/>
          <w:rFonts w:ascii="Times New Roman" w:hAnsi="Times New Roman" w:cs="Times New Roman"/>
          <w:sz w:val="18"/>
          <w:szCs w:val="18"/>
          <w:lang w:val="bg-BG"/>
        </w:rPr>
        <w:footnoteRef/>
      </w:r>
      <w:r w:rsidRPr="00370914">
        <w:rPr>
          <w:rFonts w:ascii="Times New Roman" w:hAnsi="Times New Roman" w:cs="Times New Roman"/>
          <w:sz w:val="18"/>
          <w:szCs w:val="18"/>
          <w:lang w:val="bg-BG"/>
        </w:rPr>
        <w:t xml:space="preserve"> Mandatory if available</w:t>
      </w:r>
    </w:p>
  </w:footnote>
  <w:footnote w:id="31">
    <w:p w14:paraId="1BE2A11C" w14:textId="77777777" w:rsidR="000F16D5" w:rsidRPr="00370914" w:rsidRDefault="000F16D5" w:rsidP="000F16D5">
      <w:pPr>
        <w:pStyle w:val="FootnoteText"/>
        <w:rPr>
          <w:sz w:val="18"/>
          <w:szCs w:val="18"/>
          <w:lang w:val="bg-BG"/>
        </w:rPr>
      </w:pPr>
      <w:r w:rsidRPr="00370914">
        <w:rPr>
          <w:rStyle w:val="FootnoteReference"/>
          <w:sz w:val="18"/>
          <w:szCs w:val="18"/>
          <w:lang w:val="bg-BG"/>
        </w:rPr>
        <w:footnoteRef/>
      </w:r>
      <w:r w:rsidRPr="00370914">
        <w:rPr>
          <w:rStyle w:val="FootnoteReference"/>
          <w:sz w:val="18"/>
          <w:szCs w:val="18"/>
          <w:lang w:val="bg-BG"/>
        </w:rPr>
        <w:t xml:space="preserve"> </w:t>
      </w:r>
      <w:r w:rsidRPr="00370914">
        <w:rPr>
          <w:rFonts w:ascii="Times New Roman" w:hAnsi="Times New Roman" w:cs="Times New Roman"/>
          <w:sz w:val="18"/>
          <w:szCs w:val="18"/>
          <w:lang w:val="bg-BG"/>
        </w:rPr>
        <w:t>As defined in the BSO: Apartment buildings = large multi-family &gt;4 floors; Multi-family buildings = small multi-family with up to 4 floors.</w:t>
      </w:r>
    </w:p>
  </w:footnote>
  <w:footnote w:id="32">
    <w:p w14:paraId="604B790D" w14:textId="77777777" w:rsidR="000F16D5" w:rsidRPr="00370914" w:rsidRDefault="000F16D5" w:rsidP="000F16D5">
      <w:pPr>
        <w:pStyle w:val="FootnoteText"/>
        <w:rPr>
          <w:lang w:val="bg-BG"/>
        </w:rPr>
      </w:pPr>
      <w:r w:rsidRPr="00370914">
        <w:rPr>
          <w:rStyle w:val="FootnoteReference"/>
          <w:sz w:val="18"/>
          <w:szCs w:val="18"/>
          <w:lang w:val="bg-BG"/>
        </w:rPr>
        <w:footnoteRef/>
      </w:r>
      <w:r w:rsidRPr="00370914">
        <w:rPr>
          <w:rStyle w:val="FootnoteReference"/>
          <w:sz w:val="18"/>
          <w:szCs w:val="18"/>
          <w:lang w:val="bg-BG"/>
        </w:rPr>
        <w:t xml:space="preserve"> </w:t>
      </w:r>
      <w:r w:rsidRPr="00370914">
        <w:rPr>
          <w:rFonts w:ascii="Times New Roman" w:hAnsi="Times New Roman" w:cs="Times New Roman"/>
          <w:sz w:val="18"/>
          <w:szCs w:val="18"/>
          <w:lang w:val="bg-BG"/>
        </w:rPr>
        <w:t>Article 2(18)</w:t>
      </w:r>
      <w:r w:rsidRPr="00370914">
        <w:rPr>
          <w:rFonts w:ascii="Times New Roman" w:hAnsi="Times New Roman" w:cs="Times New Roman"/>
          <w:lang w:val="bg-BG"/>
        </w:rPr>
        <w:t xml:space="preserve"> </w:t>
      </w:r>
    </w:p>
  </w:footnote>
  <w:footnote w:id="33">
    <w:p w14:paraId="4A6FC54F" w14:textId="77777777" w:rsidR="000F16D5" w:rsidRPr="00370914" w:rsidRDefault="000F16D5" w:rsidP="000F16D5">
      <w:pPr>
        <w:pStyle w:val="FootnoteText"/>
        <w:rPr>
          <w:lang w:val="bg-BG"/>
        </w:rPr>
      </w:pPr>
      <w:r w:rsidRPr="00370914">
        <w:rPr>
          <w:rStyle w:val="FootnoteReference"/>
          <w:lang w:val="bg-BG"/>
        </w:rPr>
        <w:footnoteRef/>
      </w:r>
      <w:r w:rsidRPr="00370914">
        <w:rPr>
          <w:lang w:val="bg-BG"/>
        </w:rPr>
        <w:t xml:space="preserve"> </w:t>
      </w:r>
      <w:r w:rsidRPr="00370914">
        <w:rPr>
          <w:rFonts w:ascii="Times New Roman" w:hAnsi="Times New Roman" w:cs="Times New Roman"/>
          <w:sz w:val="18"/>
          <w:szCs w:val="18"/>
          <w:lang w:val="bg-BG"/>
        </w:rPr>
        <w:t>Specify whether reported as buildings or building units</w:t>
      </w:r>
    </w:p>
  </w:footnote>
  <w:footnote w:id="34">
    <w:p w14:paraId="61CC6342" w14:textId="50444357" w:rsidR="00567099" w:rsidRPr="00370914" w:rsidRDefault="00567099">
      <w:pPr>
        <w:pStyle w:val="FootnoteText"/>
        <w:rPr>
          <w:lang w:val="bg-BG"/>
        </w:rPr>
      </w:pPr>
      <w:r w:rsidRPr="00370914">
        <w:rPr>
          <w:rStyle w:val="FootnoteReference"/>
          <w:lang w:val="bg-BG"/>
        </w:rPr>
        <w:footnoteRef/>
      </w:r>
      <w:r w:rsidRPr="00370914">
        <w:rPr>
          <w:lang w:val="bg-BG"/>
        </w:rPr>
        <w:t xml:space="preserve"> Подробен анализ е наличен в отделна секция на плана. </w:t>
      </w:r>
    </w:p>
  </w:footnote>
  <w:footnote w:id="35">
    <w:p w14:paraId="4D1E5EC8" w14:textId="77777777" w:rsidR="00681B74" w:rsidRPr="00370914" w:rsidRDefault="00681B74" w:rsidP="00681B74">
      <w:pPr>
        <w:pStyle w:val="FootnoteText"/>
        <w:rPr>
          <w:lang w:val="bg-BG"/>
        </w:rPr>
      </w:pPr>
      <w:r w:rsidRPr="00370914">
        <w:rPr>
          <w:rStyle w:val="FootnoteReference"/>
          <w:lang w:val="bg-BG"/>
        </w:rPr>
        <w:footnoteRef/>
      </w:r>
      <w:r w:rsidRPr="00370914">
        <w:rPr>
          <w:lang w:val="bg-BG"/>
        </w:rPr>
        <w:t xml:space="preserve"> КСБ (2025) Икономически отчет на строителния сектор за 2024 г. Налично на: </w:t>
      </w:r>
      <w:hyperlink r:id="rId5" w:history="1">
        <w:r w:rsidRPr="00370914">
          <w:rPr>
            <w:rStyle w:val="Hyperlink"/>
            <w:lang w:val="bg-BG"/>
          </w:rPr>
          <w:t>https://ksb.bg/deynosti/analizi-i-prouchvaniya/</w:t>
        </w:r>
      </w:hyperlink>
      <w:r w:rsidRPr="00370914">
        <w:rPr>
          <w:lang w:val="bg-BG"/>
        </w:rPr>
        <w:t xml:space="preserve">. </w:t>
      </w:r>
    </w:p>
  </w:footnote>
  <w:footnote w:id="36">
    <w:p w14:paraId="21270815" w14:textId="77777777" w:rsidR="00681B74" w:rsidRPr="00370914" w:rsidRDefault="00681B74" w:rsidP="00681B74">
      <w:pPr>
        <w:pStyle w:val="FootnoteText"/>
        <w:rPr>
          <w:lang w:val="bg-BG"/>
        </w:rPr>
      </w:pPr>
      <w:r w:rsidRPr="00370914">
        <w:rPr>
          <w:rStyle w:val="FootnoteReference"/>
          <w:lang w:val="bg-BG"/>
        </w:rPr>
        <w:footnoteRef/>
      </w:r>
      <w:r w:rsidRPr="00370914">
        <w:rPr>
          <w:lang w:val="bg-BG"/>
        </w:rPr>
        <w:t xml:space="preserve"> Анализ на съществуващото положение по проект BUILD UP Skills Bulgaria 2030</w:t>
      </w:r>
    </w:p>
  </w:footnote>
  <w:footnote w:id="37">
    <w:p w14:paraId="716DD6E8" w14:textId="77777777" w:rsidR="00681B74" w:rsidRPr="00370914" w:rsidRDefault="00681B74" w:rsidP="00681B74">
      <w:pPr>
        <w:pStyle w:val="FootnoteText"/>
        <w:rPr>
          <w:lang w:val="bg-BG"/>
        </w:rPr>
      </w:pPr>
      <w:r w:rsidRPr="00370914">
        <w:rPr>
          <w:rStyle w:val="FootnoteReference"/>
          <w:lang w:val="bg-BG"/>
        </w:rPr>
        <w:footnoteRef/>
      </w:r>
      <w:r w:rsidRPr="00370914">
        <w:rPr>
          <w:lang w:val="bg-BG"/>
        </w:rPr>
        <w:t xml:space="preserve"> </w:t>
      </w:r>
      <w:r w:rsidRPr="00370914">
        <w:rPr>
          <w:b/>
          <w:bCs/>
          <w:lang w:val="bg-BG"/>
        </w:rPr>
        <w:t>„Икономически отчет на строителния сектор 2024 г.“</w:t>
      </w:r>
      <w:r w:rsidRPr="00370914">
        <w:rPr>
          <w:lang w:val="bg-BG"/>
        </w:rPr>
        <w:t xml:space="preserve">, Камара на строителите в България (КСБ), София, 2024. </w:t>
      </w:r>
      <w:r w:rsidRPr="00370914">
        <w:rPr>
          <w:b/>
          <w:bCs/>
          <w:lang w:val="bg-BG"/>
        </w:rPr>
        <w:t>Раздел: „Структура на пазара и източници на финансиране“</w:t>
      </w:r>
      <w:r w:rsidRPr="00370914">
        <w:rPr>
          <w:lang w:val="bg-BG"/>
        </w:rPr>
        <w:t>, стр. 21–22.</w:t>
      </w:r>
    </w:p>
  </w:footnote>
  <w:footnote w:id="38">
    <w:p w14:paraId="1DDA74D9" w14:textId="77777777" w:rsidR="00681B74" w:rsidRPr="00370914" w:rsidRDefault="00681B74" w:rsidP="00681B74">
      <w:pPr>
        <w:pStyle w:val="FootnoteText"/>
        <w:rPr>
          <w:lang w:val="bg-BG"/>
        </w:rPr>
      </w:pPr>
      <w:r w:rsidRPr="00370914">
        <w:rPr>
          <w:rStyle w:val="FootnoteReference"/>
          <w:lang w:val="bg-BG"/>
        </w:rPr>
        <w:footnoteRef/>
      </w:r>
      <w:r w:rsidRPr="00370914">
        <w:rPr>
          <w:lang w:val="bg-BG"/>
        </w:rPr>
        <w:t xml:space="preserve"> </w:t>
      </w:r>
      <w:r w:rsidRPr="00370914">
        <w:rPr>
          <w:b/>
          <w:bCs/>
          <w:lang w:val="bg-BG"/>
        </w:rPr>
        <w:t>„BUILD UP Skills Bulgaria 2030 – Ситуационен анализ на строителния сектор“ (Deliverable D3.4, 2021)</w:t>
      </w:r>
      <w:r w:rsidRPr="00370914">
        <w:rPr>
          <w:lang w:val="bg-BG"/>
        </w:rPr>
        <w:t>, ЕнЕфект, Камара на строителите в България, АУЕР, НАПОО, БАИС.</w:t>
      </w:r>
      <w:r w:rsidRPr="00370914">
        <w:rPr>
          <w:lang w:val="bg-BG"/>
        </w:rPr>
        <w:br/>
      </w:r>
      <w:r w:rsidRPr="00370914">
        <w:rPr>
          <w:b/>
          <w:bCs/>
          <w:lang w:val="bg-BG"/>
        </w:rPr>
        <w:t>Раздел: „Дигитализация и иновации в строителството“</w:t>
      </w:r>
      <w:r w:rsidRPr="00370914">
        <w:rPr>
          <w:lang w:val="bg-BG"/>
        </w:rPr>
        <w:t>, стр. 37–39.</w:t>
      </w:r>
    </w:p>
  </w:footnote>
  <w:footnote w:id="39">
    <w:p w14:paraId="60C17854" w14:textId="77777777" w:rsidR="00681B74" w:rsidRPr="00370914" w:rsidRDefault="00681B74" w:rsidP="00681B74">
      <w:pPr>
        <w:pStyle w:val="FootnoteText"/>
        <w:rPr>
          <w:lang w:val="bg-BG"/>
        </w:rPr>
      </w:pPr>
      <w:r w:rsidRPr="00370914">
        <w:rPr>
          <w:rStyle w:val="FootnoteReference"/>
          <w:lang w:val="bg-BG"/>
        </w:rPr>
        <w:footnoteRef/>
      </w:r>
      <w:r w:rsidRPr="00370914">
        <w:rPr>
          <w:lang w:val="bg-BG"/>
        </w:rPr>
        <w:t xml:space="preserve"> BUILD UP Skills Bulgaria 2030 – Ситуационен анализ на строителния сектор</w:t>
      </w:r>
    </w:p>
  </w:footnote>
  <w:footnote w:id="40">
    <w:p w14:paraId="79322400" w14:textId="77777777" w:rsidR="00681B74" w:rsidRPr="00370914" w:rsidRDefault="00681B74" w:rsidP="00681B74">
      <w:pPr>
        <w:pStyle w:val="FootnoteText"/>
        <w:rPr>
          <w:lang w:val="bg-BG"/>
        </w:rPr>
      </w:pPr>
      <w:r w:rsidRPr="00370914">
        <w:rPr>
          <w:rStyle w:val="FootnoteReference"/>
          <w:lang w:val="bg-BG"/>
        </w:rPr>
        <w:footnoteRef/>
      </w:r>
      <w:r w:rsidRPr="00370914">
        <w:rPr>
          <w:lang w:val="bg-BG"/>
        </w:rPr>
        <w:t xml:space="preserve"> BUILD UP Skills Bulgaria 2030 – Национална пътна карта за развитие на уменията в строителния сектор до 2030 г.</w:t>
      </w:r>
    </w:p>
  </w:footnote>
  <w:footnote w:id="41">
    <w:p w14:paraId="139C0D03" w14:textId="461F54D1" w:rsidR="00681B74" w:rsidRPr="00370914" w:rsidRDefault="00681B74" w:rsidP="00681B74">
      <w:pPr>
        <w:pStyle w:val="FootnoteText"/>
        <w:rPr>
          <w:lang w:val="bg-BG"/>
        </w:rPr>
      </w:pPr>
      <w:r w:rsidRPr="00370914">
        <w:rPr>
          <w:rStyle w:val="FootnoteReference"/>
          <w:lang w:val="bg-BG"/>
        </w:rPr>
        <w:footnoteRef/>
      </w:r>
      <w:r w:rsidRPr="00370914">
        <w:rPr>
          <w:lang w:val="bg-BG"/>
        </w:rPr>
        <w:t xml:space="preserve"> </w:t>
      </w:r>
      <w:r w:rsidR="00560454" w:rsidRPr="00370914">
        <w:rPr>
          <w:lang w:val="bg-BG"/>
        </w:rPr>
        <w:t xml:space="preserve">МРРБ (2023) Националната стратегия за цифрова трансформация на строителния сектор 2030 г. Налична на: </w:t>
      </w:r>
      <w:hyperlink r:id="rId6" w:history="1">
        <w:r w:rsidRPr="00370914">
          <w:rPr>
            <w:rStyle w:val="Hyperlink"/>
            <w:lang w:val="bg-BG"/>
          </w:rPr>
          <w:t>https://www.mrrb.bg/bg/proekti-nbsp-nbsp-br-po-npvu/investicii-po-npvu/cifrova-transformaciya-na-bulgarskiya-stroitelen-sektor/</w:t>
        </w:r>
      </w:hyperlink>
      <w:r w:rsidRPr="00370914">
        <w:rPr>
          <w:lang w:val="bg-BG"/>
        </w:rPr>
        <w:t xml:space="preserve"> </w:t>
      </w:r>
    </w:p>
  </w:footnote>
  <w:footnote w:id="42">
    <w:p w14:paraId="64ABED0D" w14:textId="77777777" w:rsidR="00681B74" w:rsidRPr="00370914" w:rsidRDefault="00681B74" w:rsidP="00681B74">
      <w:pPr>
        <w:pStyle w:val="FootnoteText"/>
        <w:rPr>
          <w:lang w:val="bg-BG"/>
        </w:rPr>
      </w:pPr>
      <w:r w:rsidRPr="00370914">
        <w:rPr>
          <w:rStyle w:val="FootnoteReference"/>
          <w:lang w:val="bg-BG"/>
        </w:rPr>
        <w:footnoteRef/>
      </w:r>
      <w:r w:rsidRPr="00370914">
        <w:rPr>
          <w:lang w:val="bg-BG"/>
        </w:rPr>
        <w:t xml:space="preserve"> </w:t>
      </w:r>
      <w:hyperlink r:id="rId7" w:history="1">
        <w:r w:rsidRPr="00370914">
          <w:rPr>
            <w:rStyle w:val="Hyperlink"/>
            <w:lang w:val="bg-BG"/>
          </w:rPr>
          <w:t>https://www.edih-construction.bg/</w:t>
        </w:r>
      </w:hyperlink>
      <w:r w:rsidRPr="00370914">
        <w:rPr>
          <w:lang w:val="bg-BG"/>
        </w:rPr>
        <w:t xml:space="preserve"> </w:t>
      </w:r>
    </w:p>
  </w:footnote>
  <w:footnote w:id="43">
    <w:p w14:paraId="17D8A7EA" w14:textId="77777777" w:rsidR="004B18B0" w:rsidRPr="00370914" w:rsidRDefault="004B18B0" w:rsidP="00925FB6">
      <w:pPr>
        <w:spacing w:line="240" w:lineRule="auto"/>
        <w:jc w:val="both"/>
        <w:rPr>
          <w:sz w:val="20"/>
          <w:szCs w:val="20"/>
          <w:lang w:val="bg-BG"/>
        </w:rPr>
      </w:pPr>
      <w:r w:rsidRPr="00370914">
        <w:rPr>
          <w:rStyle w:val="FootnoteReference"/>
          <w:lang w:val="bg-BG"/>
        </w:rPr>
        <w:footnoteRef/>
      </w:r>
      <w:r w:rsidRPr="00370914">
        <w:rPr>
          <w:sz w:val="20"/>
          <w:szCs w:val="20"/>
          <w:lang w:val="bg-BG"/>
        </w:rPr>
        <w:t xml:space="preserve"> Наредба за критериите, условията и реда за определяне на статут на домакинствата в положение на енергийна бедност и на статут на уязвими клиенти за снабдяване с електрическа енергия (ДПЕБУКСЕЕ)</w:t>
      </w:r>
    </w:p>
  </w:footnote>
  <w:footnote w:id="44">
    <w:p w14:paraId="5ED8C0AB" w14:textId="14F69C74" w:rsidR="00C439CC" w:rsidRPr="00370914" w:rsidRDefault="00C439CC">
      <w:pPr>
        <w:pStyle w:val="FootnoteText"/>
        <w:rPr>
          <w:lang w:val="bg-BG"/>
        </w:rPr>
      </w:pPr>
      <w:r w:rsidRPr="00370914">
        <w:rPr>
          <w:rStyle w:val="FootnoteReference"/>
          <w:lang w:val="bg-BG"/>
        </w:rPr>
        <w:footnoteRef/>
      </w:r>
      <w:r w:rsidRPr="00370914">
        <w:rPr>
          <w:lang w:val="bg-BG"/>
        </w:rPr>
        <w:t xml:space="preserve"> </w:t>
      </w:r>
      <w:r w:rsidR="00624BA9" w:rsidRPr="00370914">
        <w:rPr>
          <w:rFonts w:ascii="Times New Roman" w:hAnsi="Times New Roman" w:cs="Times New Roman"/>
          <w:sz w:val="18"/>
          <w:szCs w:val="18"/>
          <w:lang w:val="bg-BG"/>
        </w:rPr>
        <w:t xml:space="preserve">Among wall, </w:t>
      </w:r>
      <w:r w:rsidR="00F61593" w:rsidRPr="00370914">
        <w:rPr>
          <w:rFonts w:ascii="Times New Roman" w:hAnsi="Times New Roman" w:cs="Times New Roman"/>
          <w:sz w:val="18"/>
          <w:szCs w:val="18"/>
          <w:lang w:val="bg-BG"/>
        </w:rPr>
        <w:t xml:space="preserve">roof, floor, </w:t>
      </w:r>
      <w:r w:rsidR="000B2E61" w:rsidRPr="00370914">
        <w:rPr>
          <w:rFonts w:ascii="Times New Roman" w:hAnsi="Times New Roman" w:cs="Times New Roman"/>
          <w:sz w:val="18"/>
          <w:szCs w:val="18"/>
          <w:lang w:val="bg-BG"/>
        </w:rPr>
        <w:t>window, other</w:t>
      </w:r>
    </w:p>
  </w:footnote>
  <w:footnote w:id="45">
    <w:p w14:paraId="031F7B57" w14:textId="77777777" w:rsidR="00D15956" w:rsidRPr="00370914" w:rsidRDefault="00D15956" w:rsidP="00D15956">
      <w:pPr>
        <w:pStyle w:val="FootnoteText"/>
        <w:jc w:val="both"/>
        <w:rPr>
          <w:lang w:val="bg-BG"/>
        </w:rPr>
      </w:pPr>
      <w:r w:rsidRPr="00370914">
        <w:rPr>
          <w:rStyle w:val="FootnoteReference"/>
          <w:lang w:val="bg-BG"/>
        </w:rPr>
        <w:footnoteRef/>
      </w:r>
      <w:r w:rsidRPr="00370914">
        <w:rPr>
          <w:lang w:val="bg-BG"/>
        </w:rPr>
        <w:t xml:space="preserve"> Финансова подкрепа за собствениците по проекта: 20% от стойността на строително-ремонтните дейности за обновяване на отделните жилища и 100% от стойността на обновителните работи по общите части от сградата. </w:t>
      </w:r>
    </w:p>
  </w:footnote>
  <w:footnote w:id="46">
    <w:p w14:paraId="69CB578C" w14:textId="77777777" w:rsidR="00D15956" w:rsidRPr="00370914" w:rsidRDefault="00D15956" w:rsidP="00D15956">
      <w:pPr>
        <w:pStyle w:val="FootnoteText"/>
        <w:rPr>
          <w:lang w:val="bg-BG"/>
        </w:rPr>
      </w:pPr>
      <w:r w:rsidRPr="00370914">
        <w:rPr>
          <w:rStyle w:val="FootnoteReference"/>
          <w:lang w:val="bg-BG"/>
        </w:rPr>
        <w:footnoteRef/>
      </w:r>
      <w:r w:rsidRPr="00370914">
        <w:rPr>
          <w:lang w:val="bg-BG"/>
        </w:rPr>
        <w:t xml:space="preserve"> Изпълняван на основание на сключен договор между МРРБ и „Корпоративна търговска банка“ АД (КТБ).</w:t>
      </w:r>
    </w:p>
  </w:footnote>
  <w:footnote w:id="47">
    <w:p w14:paraId="38EA96BD" w14:textId="77777777" w:rsidR="00D15956" w:rsidRPr="00370914" w:rsidRDefault="00D15956" w:rsidP="00D15956">
      <w:pPr>
        <w:pStyle w:val="FootnoteText"/>
        <w:jc w:val="both"/>
        <w:rPr>
          <w:lang w:val="bg-BG"/>
        </w:rPr>
      </w:pPr>
      <w:r w:rsidRPr="00370914">
        <w:rPr>
          <w:rStyle w:val="FootnoteReference"/>
          <w:lang w:val="bg-BG"/>
        </w:rPr>
        <w:footnoteRef/>
      </w:r>
      <w:r w:rsidRPr="00370914">
        <w:rPr>
          <w:lang w:val="bg-BG"/>
        </w:rPr>
        <w:t xml:space="preserve"> В периода на изпълнение на проекта към КТБ са подадени 67 искания за кредит от физически лица, одобрени са едва 18 кредита.</w:t>
      </w:r>
    </w:p>
  </w:footnote>
  <w:footnote w:id="48">
    <w:p w14:paraId="1AA5AB53" w14:textId="77777777" w:rsidR="00D15956" w:rsidRPr="00370914" w:rsidRDefault="00D15956" w:rsidP="00D15956">
      <w:pPr>
        <w:pStyle w:val="FootnoteText"/>
        <w:jc w:val="both"/>
        <w:rPr>
          <w:lang w:val="bg-BG"/>
        </w:rPr>
      </w:pPr>
      <w:r w:rsidRPr="00370914">
        <w:rPr>
          <w:rStyle w:val="FootnoteReference"/>
          <w:lang w:val="bg-BG"/>
        </w:rPr>
        <w:footnoteRef/>
      </w:r>
      <w:r w:rsidRPr="00370914">
        <w:rPr>
          <w:lang w:val="bg-BG"/>
        </w:rPr>
        <w:t xml:space="preserve"> Целева финансова помощ за собствениците в неравностойно социално положение е предвидено по проекта (чрез ПМС № 103/2013 г) да бъде предоставяна на централно ниво. Одобрение за получаване на помощта се осъществява от назначена от Министъра на МРРБ комисия за оценка на постъпили заявления за предоставяне на допълнителна финансова помощ по проекта в изпълнение на ПМС № 103/2013 г. В комисията са включени служители на МТСП, МЗ, МРРБ и те извършват дейността си в съответствие с утвърдени Вътрешни правила за работа на комисията. Към комисията са подадени 51 заявления за финансиране. Във връзка с изискването за подаване и разглеждане на конкретен набор от документи и процес на административна преценка на заявленията, след събиране на финансова и социална информация от обемен характер, са разгледани 19 заявления на собственици за отпускане на такава помощ. Положителни становища за финансиране са дадени на 15 от тях, с обща стойност на одобреното финансиране 45 165,49 лв. Подписани са 4 договора за предоставяне на допълнителна финансова помощ. Фактически финансова помощ не е отпусната на нито един от собствениците, във връзка с преминаването към 100% БФП.</w:t>
      </w:r>
    </w:p>
  </w:footnote>
  <w:footnote w:id="49">
    <w:p w14:paraId="60AA60BF" w14:textId="77777777" w:rsidR="00D15956" w:rsidRPr="00370914" w:rsidRDefault="00D15956" w:rsidP="00D15956">
      <w:pPr>
        <w:pStyle w:val="FootnoteText"/>
        <w:jc w:val="both"/>
        <w:rPr>
          <w:lang w:val="bg-BG"/>
        </w:rPr>
      </w:pPr>
      <w:r w:rsidRPr="00370914">
        <w:rPr>
          <w:rStyle w:val="FootnoteReference"/>
          <w:lang w:val="bg-BG"/>
        </w:rPr>
        <w:footnoteRef/>
      </w:r>
      <w:r w:rsidRPr="00370914">
        <w:rPr>
          <w:lang w:val="bg-BG"/>
        </w:rPr>
        <w:t xml:space="preserve"> Финансиран по Програмата за научни изследвания и иновации на Европейския съюз „Хоризонт 2020“, по споразумение за безвъзмездна помощ № 890473.</w:t>
      </w:r>
    </w:p>
  </w:footnote>
  <w:footnote w:id="50">
    <w:p w14:paraId="034E782D" w14:textId="77777777" w:rsidR="00D15956" w:rsidRPr="00370914" w:rsidRDefault="00D15956" w:rsidP="00D15956">
      <w:pPr>
        <w:pStyle w:val="FootnoteText"/>
        <w:rPr>
          <w:lang w:val="bg-BG"/>
        </w:rPr>
      </w:pPr>
      <w:r w:rsidRPr="00370914">
        <w:rPr>
          <w:rStyle w:val="FootnoteReference"/>
          <w:lang w:val="bg-BG"/>
        </w:rPr>
        <w:footnoteRef/>
      </w:r>
      <w:r w:rsidRPr="00370914">
        <w:rPr>
          <w:lang w:val="bg-BG"/>
        </w:rPr>
        <w:t xml:space="preserve"> Финансиран по Програмата на Европейския съюз за околна среда и действия в областта на климата (LIFE), по споразумение за безвъзмездна помощ № 101120740.</w:t>
      </w:r>
    </w:p>
  </w:footnote>
  <w:footnote w:id="51">
    <w:p w14:paraId="74650254" w14:textId="77777777" w:rsidR="00D15956" w:rsidRPr="00370914" w:rsidRDefault="00D15956" w:rsidP="00D15956">
      <w:pPr>
        <w:spacing w:line="240" w:lineRule="auto"/>
        <w:jc w:val="both"/>
        <w:rPr>
          <w:lang w:val="bg-BG"/>
        </w:rPr>
      </w:pPr>
      <w:r w:rsidRPr="00370914">
        <w:rPr>
          <w:rStyle w:val="FootnoteReference"/>
          <w:lang w:val="bg-BG"/>
        </w:rPr>
        <w:footnoteRef/>
      </w:r>
      <w:r w:rsidRPr="00370914">
        <w:rPr>
          <w:lang w:val="bg-BG"/>
        </w:rPr>
        <w:t xml:space="preserve"> </w:t>
      </w:r>
      <w:r w:rsidRPr="00370914">
        <w:rPr>
          <w:sz w:val="20"/>
          <w:szCs w:val="20"/>
          <w:lang w:val="bg-BG"/>
        </w:rPr>
        <w:t>Финансиран по Програмата на Европейския съюз за околна среда и действия в областта на климата (LIFE), по споразумение за безвъзмездна помощ № 101120723.</w:t>
      </w:r>
    </w:p>
  </w:footnote>
  <w:footnote w:id="52">
    <w:p w14:paraId="62174242" w14:textId="77777777" w:rsidR="00D15956" w:rsidRPr="00370914" w:rsidRDefault="00D15956" w:rsidP="00D15956">
      <w:pPr>
        <w:pStyle w:val="FootnoteText"/>
        <w:jc w:val="both"/>
        <w:rPr>
          <w:lang w:val="bg-BG"/>
        </w:rPr>
      </w:pPr>
      <w:r w:rsidRPr="00370914">
        <w:rPr>
          <w:rStyle w:val="FootnoteReference"/>
          <w:lang w:val="bg-BG"/>
        </w:rPr>
        <w:footnoteRef/>
      </w:r>
      <w:r w:rsidRPr="00370914">
        <w:rPr>
          <w:lang w:val="bg-BG"/>
        </w:rPr>
        <w:t xml:space="preserve"> Оценка на жилищния сектор - Окончателен доклад. Изготвен за Министерство на регионалното развитие и благоустройството от Световната банка. Юни 2017 г.</w:t>
      </w:r>
    </w:p>
  </w:footnote>
  <w:footnote w:id="53">
    <w:p w14:paraId="3155C48E" w14:textId="77777777" w:rsidR="00D15956" w:rsidRPr="00370914" w:rsidRDefault="00D15956" w:rsidP="00D15956">
      <w:pPr>
        <w:pStyle w:val="FootnoteText"/>
        <w:jc w:val="both"/>
        <w:rPr>
          <w:lang w:val="bg-BG"/>
        </w:rPr>
      </w:pPr>
      <w:r w:rsidRPr="00370914">
        <w:rPr>
          <w:rStyle w:val="FootnoteReference"/>
          <w:lang w:val="bg-BG"/>
        </w:rPr>
        <w:footnoteRef/>
      </w:r>
      <w:r w:rsidRPr="00370914">
        <w:rPr>
          <w:lang w:val="bg-BG"/>
        </w:rPr>
        <w:t xml:space="preserve"> Посочената РЗП е само за 42 броя от обновените сгради, тъй като за останалите 177 не са представени в АУЕР сертификати за енергийни характеристики на сградите, респективно не присъстват в масива от данни предоставен от агенцията за целите на настоящи документ.  </w:t>
      </w:r>
    </w:p>
  </w:footnote>
  <w:footnote w:id="54">
    <w:p w14:paraId="4262489D" w14:textId="77777777" w:rsidR="00D15956" w:rsidRPr="00370914" w:rsidRDefault="00D15956" w:rsidP="00D15956">
      <w:pPr>
        <w:pStyle w:val="FootnoteText"/>
        <w:jc w:val="both"/>
        <w:rPr>
          <w:lang w:val="bg-BG"/>
        </w:rPr>
      </w:pPr>
      <w:r w:rsidRPr="00370914">
        <w:rPr>
          <w:rStyle w:val="FootnoteReference"/>
          <w:lang w:val="bg-BG"/>
        </w:rPr>
        <w:footnoteRef/>
      </w:r>
      <w:r w:rsidRPr="00370914">
        <w:rPr>
          <w:lang w:val="bg-BG"/>
        </w:rPr>
        <w:t xml:space="preserve"> Посочената РЗП е само за 185 броя от обновените сгради, тъй като за останалите 389 не са представени в АУЕР сертификати за енергийни характеристики на сградите, респективно не присъстват в масива от данни предоставен от агенцията за целите на настоящи документ.  </w:t>
      </w:r>
    </w:p>
  </w:footnote>
  <w:footnote w:id="55">
    <w:p w14:paraId="3C68D179" w14:textId="2C97846F" w:rsidR="00432A81" w:rsidRPr="00370914" w:rsidRDefault="00432A81">
      <w:pPr>
        <w:pStyle w:val="FootnoteText"/>
        <w:rPr>
          <w:lang w:val="bg-BG"/>
        </w:rPr>
      </w:pPr>
      <w:r w:rsidRPr="00370914">
        <w:rPr>
          <w:rStyle w:val="FootnoteReference"/>
          <w:lang w:val="bg-BG"/>
        </w:rPr>
        <w:footnoteRef/>
      </w:r>
      <w:r w:rsidRPr="00370914">
        <w:rPr>
          <w:lang w:val="bg-BG"/>
        </w:rPr>
        <w:t xml:space="preserve"> АУЕР (2021) Дългосрочна национална стратегия за подпомагане обновяването на националния фонд от жилищни и нежилищни сгради 2021-2050 г.</w:t>
      </w:r>
    </w:p>
  </w:footnote>
  <w:footnote w:id="56">
    <w:p w14:paraId="551C44CF" w14:textId="77777777" w:rsidR="00B572B1" w:rsidRPr="00370914" w:rsidRDefault="00B572B1" w:rsidP="00B572B1">
      <w:pPr>
        <w:pStyle w:val="FootnoteText"/>
        <w:rPr>
          <w:lang w:val="bg-BG"/>
        </w:rPr>
      </w:pPr>
      <w:r w:rsidRPr="00370914">
        <w:rPr>
          <w:rStyle w:val="FootnoteReference"/>
          <w:lang w:val="bg-BG"/>
        </w:rPr>
        <w:footnoteRef/>
      </w:r>
      <w:r w:rsidRPr="00370914">
        <w:rPr>
          <w:lang w:val="bg-BG"/>
        </w:rPr>
        <w:t xml:space="preserve"> </w:t>
      </w:r>
      <w:hyperlink r:id="rId8" w:history="1">
        <w:r w:rsidRPr="00370914">
          <w:rPr>
            <w:rStyle w:val="Hyperlink"/>
            <w:lang w:val="bg-BG"/>
          </w:rPr>
          <w:t>https://eur-lex.europa.eu/legal-content/BG/TXT/HTML/?uri=OJ:L_202502152</w:t>
        </w:r>
      </w:hyperlink>
      <w:r w:rsidRPr="00370914">
        <w:rPr>
          <w:lang w:val="bg-BG"/>
        </w:rPr>
        <w:t xml:space="preserve">; </w:t>
      </w:r>
      <w:hyperlink r:id="rId9" w:history="1">
        <w:r w:rsidRPr="00370914">
          <w:rPr>
            <w:rStyle w:val="Hyperlink"/>
            <w:lang w:val="bg-BG"/>
          </w:rPr>
          <w:t>https://eur-lex.europa.eu/legal-content/BG/TXT/HTML/?uri=OJ:L_202502150</w:t>
        </w:r>
      </w:hyperlink>
      <w:r w:rsidRPr="00370914">
        <w:rPr>
          <w:lang w:val="bg-BG"/>
        </w:rPr>
        <w:t xml:space="preserve">; </w:t>
      </w:r>
      <w:hyperlink r:id="rId10" w:history="1">
        <w:r w:rsidRPr="00370914">
          <w:rPr>
            <w:rStyle w:val="Hyperlink"/>
            <w:lang w:val="bg-BG"/>
          </w:rPr>
          <w:t>https://eur-lex.europa.eu/legal-content/BG/TXT/HTML/?uri=OJ:L_202502151</w:t>
        </w:r>
      </w:hyperlink>
      <w:r w:rsidRPr="00370914">
        <w:rPr>
          <w:lang w:val="bg-BG"/>
        </w:rPr>
        <w:t xml:space="preserve"> </w:t>
      </w:r>
    </w:p>
  </w:footnote>
  <w:footnote w:id="57">
    <w:p w14:paraId="03C59E23" w14:textId="131A5D68" w:rsidR="00F94E93" w:rsidRPr="00370914" w:rsidRDefault="00F94E93" w:rsidP="00F94E93">
      <w:pPr>
        <w:pStyle w:val="FootnoteText"/>
        <w:rPr>
          <w:i/>
          <w:iCs/>
          <w:lang w:val="bg-BG"/>
        </w:rPr>
      </w:pPr>
      <w:r w:rsidRPr="00370914">
        <w:rPr>
          <w:rStyle w:val="FootnoteReference"/>
          <w:lang w:val="bg-BG"/>
        </w:rPr>
        <w:footnoteRef/>
      </w:r>
      <w:r w:rsidRPr="00370914">
        <w:rPr>
          <w:lang w:val="bg-BG"/>
        </w:rPr>
        <w:t xml:space="preserve"> </w:t>
      </w:r>
      <w:r w:rsidRPr="00370914">
        <w:rPr>
          <w:i/>
          <w:iCs/>
          <w:lang w:val="bg-BG"/>
        </w:rPr>
        <w:t>Индикаторът за интелигентна готовност на сградите (Smart Readiness Indicator) е инструмент за оценка на способността на сградата или сградната единица да използва интелигентни технологии и системи за автоматизация и управление, с цел адаптиране на функционирането ѝ към нуждите на обитателите, подобряване на енергийната ефективност и енергийните характеристики и улесняване на гъвкавото взаимодействие с енергийната мрежа, включително чрез реакция на външни сигнали и оптимизиране на енергийното потребление.</w:t>
      </w:r>
    </w:p>
  </w:footnote>
  <w:footnote w:id="58">
    <w:p w14:paraId="572A1E73" w14:textId="77777777" w:rsidR="001A1208" w:rsidRPr="00370914" w:rsidRDefault="001A1208" w:rsidP="001A1208">
      <w:pPr>
        <w:pStyle w:val="FootnoteText"/>
        <w:jc w:val="both"/>
        <w:rPr>
          <w:rFonts w:asciiTheme="minorHAnsi" w:hAnsiTheme="minorHAnsi"/>
          <w:lang w:val="bg-BG"/>
        </w:rPr>
      </w:pPr>
      <w:r w:rsidRPr="00370914">
        <w:rPr>
          <w:rStyle w:val="FootnoteReference"/>
          <w:lang w:val="bg-BG"/>
        </w:rPr>
        <w:footnoteRef/>
      </w:r>
      <w:r w:rsidRPr="00370914">
        <w:rPr>
          <w:lang w:val="bg-BG"/>
        </w:rPr>
        <w:t xml:space="preserve"> Национален статистически институт (НСИ) (2024). Нови жилища по начин на строителство. </w:t>
      </w:r>
    </w:p>
    <w:p w14:paraId="05DF1253" w14:textId="77777777" w:rsidR="001A1208" w:rsidRPr="00370914" w:rsidRDefault="001A1208" w:rsidP="001A1208">
      <w:pPr>
        <w:pStyle w:val="FootnoteText"/>
        <w:jc w:val="both"/>
        <w:rPr>
          <w:lang w:val="bg-BG"/>
        </w:rPr>
      </w:pPr>
      <w:r w:rsidRPr="00370914">
        <w:rPr>
          <w:lang w:val="bg-BG"/>
        </w:rPr>
        <w:t>Таблица: STR301. https://www.nsi.bg/</w:t>
      </w:r>
    </w:p>
  </w:footnote>
  <w:footnote w:id="59">
    <w:p w14:paraId="59CEA6E2" w14:textId="77777777" w:rsidR="001A1208" w:rsidRPr="00370914" w:rsidRDefault="001A1208" w:rsidP="001A1208">
      <w:pPr>
        <w:pStyle w:val="FootnoteText"/>
        <w:jc w:val="both"/>
        <w:rPr>
          <w:lang w:val="bg-BG"/>
        </w:rPr>
      </w:pPr>
      <w:r w:rsidRPr="00370914">
        <w:rPr>
          <w:rStyle w:val="FootnoteReference"/>
          <w:lang w:val="bg-BG"/>
        </w:rPr>
        <w:footnoteRef/>
      </w:r>
      <w:r w:rsidRPr="00370914">
        <w:rPr>
          <w:lang w:val="bg-BG"/>
        </w:rPr>
        <w:t xml:space="preserve"> Energiesprong (2024). Deep Energy Renovation Programmes. https://www.energiesprong.org/</w:t>
      </w:r>
    </w:p>
  </w:footnote>
  <w:footnote w:id="60">
    <w:p w14:paraId="67E516CC" w14:textId="77777777" w:rsidR="001A1208" w:rsidRPr="00370914" w:rsidRDefault="001A1208" w:rsidP="001A1208">
      <w:pPr>
        <w:pStyle w:val="FootnoteText"/>
        <w:jc w:val="both"/>
        <w:rPr>
          <w:lang w:val="bg-BG"/>
        </w:rPr>
      </w:pPr>
      <w:r w:rsidRPr="00370914">
        <w:rPr>
          <w:rStyle w:val="FootnoteReference"/>
          <w:lang w:val="bg-BG"/>
        </w:rPr>
        <w:footnoteRef/>
      </w:r>
      <w:r w:rsidRPr="00370914">
        <w:rPr>
          <w:lang w:val="bg-BG"/>
        </w:rPr>
        <w:t xml:space="preserve"> Национален статистически институт (НСИ) (2024). Статистика на пазара на труда и професионална мобилност. https://www.nsi.bg/</w:t>
      </w:r>
    </w:p>
  </w:footnote>
  <w:footnote w:id="61">
    <w:p w14:paraId="5AA8831F" w14:textId="77777777" w:rsidR="001A1208" w:rsidRPr="00370914" w:rsidRDefault="001A1208" w:rsidP="001A1208">
      <w:pPr>
        <w:pStyle w:val="FootnoteText"/>
        <w:jc w:val="both"/>
        <w:rPr>
          <w:lang w:val="bg-BG"/>
        </w:rPr>
      </w:pPr>
      <w:r w:rsidRPr="00370914">
        <w:rPr>
          <w:rStyle w:val="FootnoteReference"/>
          <w:lang w:val="bg-BG"/>
        </w:rPr>
        <w:footnoteRef/>
      </w:r>
      <w:r w:rsidRPr="00370914">
        <w:rPr>
          <w:lang w:val="bg-BG"/>
        </w:rPr>
        <w:t xml:space="preserve"> Министерство на труда и социалната политика (2024). Доклад за пазара на труда и професионална подготовка. https://www.mlsp.government.bg/</w:t>
      </w:r>
    </w:p>
  </w:footnote>
  <w:footnote w:id="62">
    <w:p w14:paraId="0DBB3580" w14:textId="77777777" w:rsidR="001A1208" w:rsidRPr="00370914" w:rsidRDefault="001A1208" w:rsidP="001A1208">
      <w:pPr>
        <w:pStyle w:val="FootnoteText"/>
        <w:jc w:val="both"/>
        <w:rPr>
          <w:lang w:val="bg-BG"/>
        </w:rPr>
      </w:pPr>
      <w:r w:rsidRPr="00370914">
        <w:rPr>
          <w:rStyle w:val="FootnoteReference"/>
          <w:lang w:val="bg-BG"/>
        </w:rPr>
        <w:footnoteRef/>
      </w:r>
      <w:r w:rsidRPr="00370914">
        <w:rPr>
          <w:lang w:val="bg-BG"/>
        </w:rPr>
        <w:t xml:space="preserve"> Директива (ЕС) 2024/1275 на Парламента и на Съвета от 10 април 2024 г. относно енергийните характеристики на сградите. Официален вестник на Европейския съюз, L 158, 10.6.2024.</w:t>
      </w:r>
    </w:p>
  </w:footnote>
  <w:footnote w:id="63">
    <w:p w14:paraId="62001EEE" w14:textId="77777777" w:rsidR="001A1208" w:rsidRPr="00370914" w:rsidRDefault="001A1208" w:rsidP="001A1208">
      <w:pPr>
        <w:pStyle w:val="FootnoteText"/>
        <w:jc w:val="both"/>
        <w:rPr>
          <w:lang w:val="bg-BG"/>
        </w:rPr>
      </w:pPr>
      <w:r w:rsidRPr="00370914">
        <w:rPr>
          <w:rStyle w:val="FootnoteReference"/>
          <w:lang w:val="bg-BG"/>
        </w:rPr>
        <w:footnoteRef/>
      </w:r>
      <w:r w:rsidRPr="00370914">
        <w:rPr>
          <w:lang w:val="bg-BG"/>
        </w:rPr>
        <w:t xml:space="preserve"> EN 1990:2002/A1:2005. Еврокод 0: Основи на проектирането на строителни конструкции. Европейски комитет по стандартизация (CEN).</w:t>
      </w:r>
    </w:p>
  </w:footnote>
  <w:footnote w:id="64">
    <w:p w14:paraId="16D604E0" w14:textId="77777777" w:rsidR="001A1208" w:rsidRPr="00370914" w:rsidRDefault="001A1208" w:rsidP="001A1208">
      <w:pPr>
        <w:jc w:val="both"/>
        <w:rPr>
          <w:lang w:val="bg-BG"/>
        </w:rPr>
      </w:pPr>
      <w:r w:rsidRPr="00480D32">
        <w:rPr>
          <w:rStyle w:val="FootnoteReference"/>
          <w:sz w:val="20"/>
          <w:szCs w:val="18"/>
          <w:lang w:val="bg-BG"/>
        </w:rPr>
        <w:footnoteRef/>
      </w:r>
      <w:r w:rsidRPr="00480D32">
        <w:rPr>
          <w:sz w:val="20"/>
          <w:szCs w:val="18"/>
          <w:lang w:val="bg-BG"/>
        </w:rPr>
        <w:t xml:space="preserve"> Наредба № РД-02-20-3 от 9 ноември 2022 г. относно енергийните характеристики на сградите. Държавен вестник, брой 88.</w:t>
      </w:r>
    </w:p>
  </w:footnote>
  <w:footnote w:id="65">
    <w:p w14:paraId="2B85D181" w14:textId="77777777" w:rsidR="001A1208" w:rsidRPr="00370914" w:rsidRDefault="001A1208" w:rsidP="001A1208">
      <w:pPr>
        <w:pStyle w:val="FootnoteText"/>
        <w:jc w:val="both"/>
        <w:rPr>
          <w:lang w:val="bg-BG"/>
        </w:rPr>
      </w:pPr>
      <w:r w:rsidRPr="00370914">
        <w:rPr>
          <w:rStyle w:val="FootnoteReference"/>
          <w:lang w:val="bg-BG"/>
        </w:rPr>
        <w:footnoteRef/>
      </w:r>
      <w:r w:rsidRPr="00370914">
        <w:rPr>
          <w:lang w:val="bg-BG"/>
        </w:rPr>
        <w:t xml:space="preserve"> Европейски комитет по стандартизация (CEN) (2023). EN ISO series and Eurocode standards for building construction. https://www.cen.eu/</w:t>
      </w:r>
    </w:p>
  </w:footnote>
  <w:footnote w:id="66">
    <w:p w14:paraId="47C30A52" w14:textId="77777777" w:rsidR="001A1208" w:rsidRPr="00370914" w:rsidRDefault="001A1208" w:rsidP="001A1208">
      <w:pPr>
        <w:pStyle w:val="FootnoteText"/>
        <w:jc w:val="both"/>
        <w:rPr>
          <w:lang w:val="bg-BG"/>
        </w:rPr>
      </w:pPr>
      <w:r w:rsidRPr="00370914">
        <w:rPr>
          <w:rStyle w:val="FootnoteReference"/>
          <w:lang w:val="bg-BG"/>
        </w:rPr>
        <w:footnoteRef/>
      </w:r>
      <w:r w:rsidRPr="00370914">
        <w:rPr>
          <w:lang w:val="bg-BG"/>
        </w:rPr>
        <w:t xml:space="preserve"> Регламент (ЕС) 305/2011 на Парламента и на Съвета от 9 март 2011 г. относно установяването на хармонизирани условия за маркиране и реклама на строителни продукти. Официален вестник на Европейския съюз, L 88, 4.4.2011.</w:t>
      </w:r>
    </w:p>
  </w:footnote>
  <w:footnote w:id="67">
    <w:p w14:paraId="206FB811" w14:textId="77777777" w:rsidR="001A1208" w:rsidRPr="00370914" w:rsidRDefault="001A1208" w:rsidP="001A1208">
      <w:pPr>
        <w:pStyle w:val="FootnoteText"/>
        <w:jc w:val="both"/>
        <w:rPr>
          <w:lang w:val="bg-BG"/>
        </w:rPr>
      </w:pPr>
      <w:r w:rsidRPr="00370914">
        <w:rPr>
          <w:rStyle w:val="FootnoteReference"/>
          <w:lang w:val="bg-BG"/>
        </w:rPr>
        <w:footnoteRef/>
      </w:r>
      <w:r w:rsidRPr="00370914">
        <w:rPr>
          <w:lang w:val="bg-BG"/>
        </w:rPr>
        <w:t xml:space="preserve"> Директива (ЕС) 2014/24 на Парламента и на Съвета от 26 февруари 2014 г. относно обществените поръчки. Официален вестник на Европейския съюз, L 94, 28.3.2014.</w:t>
      </w:r>
    </w:p>
  </w:footnote>
  <w:footnote w:id="68">
    <w:p w14:paraId="78F53A91" w14:textId="77777777" w:rsidR="001A1208" w:rsidRPr="00370914" w:rsidRDefault="001A1208" w:rsidP="001A1208">
      <w:pPr>
        <w:pStyle w:val="FootnoteText"/>
        <w:jc w:val="both"/>
        <w:rPr>
          <w:lang w:val="bg-BG"/>
        </w:rPr>
      </w:pPr>
      <w:r w:rsidRPr="00370914">
        <w:rPr>
          <w:rStyle w:val="FootnoteReference"/>
          <w:lang w:val="bg-BG"/>
        </w:rPr>
        <w:footnoteRef/>
      </w:r>
      <w:r w:rsidRPr="00370914">
        <w:rPr>
          <w:lang w:val="bg-BG"/>
        </w:rPr>
        <w:t xml:space="preserve"> БДС EN ISO 52010-1:2017. Енергийни характеристики на сгради. Външни климатични условия. Част 1: Преобразуване на климатичните данни за енергийни изчисления. Български институт за стандартизация.</w:t>
      </w:r>
    </w:p>
  </w:footnote>
  <w:footnote w:id="69">
    <w:p w14:paraId="1A61D7F7" w14:textId="77777777" w:rsidR="00DC2D62" w:rsidRPr="00370914" w:rsidRDefault="00DC2D62" w:rsidP="00DC2D62">
      <w:pPr>
        <w:pStyle w:val="FootnoteText"/>
        <w:rPr>
          <w:lang w:val="bg-BG"/>
        </w:rPr>
      </w:pPr>
      <w:r w:rsidRPr="00370914">
        <w:rPr>
          <w:rStyle w:val="FootnoteReference"/>
          <w:lang w:val="bg-BG"/>
        </w:rPr>
        <w:footnoteRef/>
      </w:r>
      <w:r w:rsidRPr="00370914">
        <w:rPr>
          <w:lang w:val="bg-BG"/>
        </w:rPr>
        <w:t xml:space="preserve"> EIB (2023) Bulgarian National Decarbonisation Fund. Final Completion Report. Налично на </w:t>
      </w:r>
      <w:hyperlink r:id="rId11" w:history="1">
        <w:r w:rsidRPr="00370914">
          <w:rPr>
            <w:rStyle w:val="Hyperlink"/>
            <w:lang w:val="bg-BG"/>
          </w:rPr>
          <w:t>https://me.government.bg/uploads/manager/source/FINAL%20REPORT_EIB%20BG%20NDF_Deliverable%207%20Final%20Technical_Report_09012023_1.pdf</w:t>
        </w:r>
      </w:hyperlink>
      <w:r w:rsidRPr="00370914">
        <w:rPr>
          <w:lang w:val="bg-BG"/>
        </w:rPr>
        <w:t xml:space="preserve">. </w:t>
      </w:r>
    </w:p>
  </w:footnote>
  <w:footnote w:id="70">
    <w:p w14:paraId="0C60BE3F" w14:textId="79B932B3" w:rsidR="003F78BF" w:rsidRPr="00370914" w:rsidRDefault="003F78BF">
      <w:pPr>
        <w:pStyle w:val="FootnoteText"/>
        <w:rPr>
          <w:lang w:val="bg-BG"/>
        </w:rPr>
      </w:pPr>
      <w:r w:rsidRPr="00370914">
        <w:rPr>
          <w:rStyle w:val="FootnoteReference"/>
          <w:lang w:val="bg-BG"/>
        </w:rPr>
        <w:footnoteRef/>
      </w:r>
      <w:r w:rsidRPr="00370914">
        <w:rPr>
          <w:lang w:val="bg-BG"/>
        </w:rPr>
        <w:t xml:space="preserve"> Марко Марков (2025) До 70 млн. лв. пропуснати ползи годишно заради бавене на Фонда за декарбонизация. Налично на: </w:t>
      </w:r>
      <w:hyperlink r:id="rId12" w:anchor=":~:text=70%20%D0%BC%D0%BB%D0%BD.,%D0%BD%D0%B0%20%D0%A4%D0%BE%D0%BD%D0%B4%D0%B0%20%D0%B7%D0%B0%20%D0%B4%D0%B5%D0%BA%D0%B0%D1%80%D0%B1%D0%BE%D0%BD%D0%B8%D0%B7%D0%B0%D1%86%D0%B8%D1%8F%20%7C%20%D0%9A%D0%BB%D0%B8%D0%BC%D0%B0%D1%82%D0%B5%D0%BA%D0%B0" w:history="1">
        <w:r w:rsidRPr="00370914">
          <w:rPr>
            <w:rStyle w:val="Hyperlink"/>
            <w:lang w:val="bg-BG"/>
          </w:rPr>
          <w:t>https://www.climateka.bg/bavene-fond-decarbonizatia/#:~:text=70%20%D0%BC%D0%BB%D0%BD.,%D0%BD%D0%B0%20%D0%A4%D0%BE%D0%BD%D0%B4%D0%B0%20%D0%B7%D0%B0%20%D0%B4%D0%B5%D0%BA%D0%B0%D1%80%D0%B1%D0%BE%D0%BD%D0%B8%D0%B7%D0%B0%D1%86%D0%B8%D1%8F%20%7C%20%D0%9A%D0%BB%D0%B8%D0%BC%D0%B0%D1%82%D0%B5%D0%BA%D0%B0</w:t>
        </w:r>
      </w:hyperlink>
      <w:r w:rsidRPr="00370914">
        <w:rPr>
          <w:lang w:val="bg-BG"/>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97C42"/>
    <w:multiLevelType w:val="multilevel"/>
    <w:tmpl w:val="00A97C42"/>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0FA2BFD"/>
    <w:multiLevelType w:val="hybridMultilevel"/>
    <w:tmpl w:val="83386CD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01B369EE"/>
    <w:multiLevelType w:val="multilevel"/>
    <w:tmpl w:val="2CEA9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C44F43"/>
    <w:multiLevelType w:val="multilevel"/>
    <w:tmpl w:val="2CC85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1749DB"/>
    <w:multiLevelType w:val="multilevel"/>
    <w:tmpl w:val="303E1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6A41FB"/>
    <w:multiLevelType w:val="multilevel"/>
    <w:tmpl w:val="066A41FB"/>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088A4A82"/>
    <w:multiLevelType w:val="multilevel"/>
    <w:tmpl w:val="43BE4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C9351E"/>
    <w:multiLevelType w:val="hybridMultilevel"/>
    <w:tmpl w:val="06F8DB66"/>
    <w:lvl w:ilvl="0" w:tplc="04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8" w15:restartNumberingAfterBreak="0">
    <w:nsid w:val="08E20832"/>
    <w:multiLevelType w:val="multilevel"/>
    <w:tmpl w:val="24F89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A2A123D"/>
    <w:multiLevelType w:val="multilevel"/>
    <w:tmpl w:val="A2703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365830"/>
    <w:multiLevelType w:val="multilevel"/>
    <w:tmpl w:val="DBFCD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9930B3"/>
    <w:multiLevelType w:val="hybridMultilevel"/>
    <w:tmpl w:val="9A60E9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0C705F7A"/>
    <w:multiLevelType w:val="multilevel"/>
    <w:tmpl w:val="1994C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C9A30E6"/>
    <w:multiLevelType w:val="multilevel"/>
    <w:tmpl w:val="CCBCFDA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D216981"/>
    <w:multiLevelType w:val="hybridMultilevel"/>
    <w:tmpl w:val="9730964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0DD97137"/>
    <w:multiLevelType w:val="multilevel"/>
    <w:tmpl w:val="49EEA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E1331C1"/>
    <w:multiLevelType w:val="multilevel"/>
    <w:tmpl w:val="D24EA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E8B0D7C"/>
    <w:multiLevelType w:val="multilevel"/>
    <w:tmpl w:val="18BEA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F7538B6"/>
    <w:multiLevelType w:val="multilevel"/>
    <w:tmpl w:val="0F7538B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0F8637FA"/>
    <w:multiLevelType w:val="multilevel"/>
    <w:tmpl w:val="7352B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10B7DB0"/>
    <w:multiLevelType w:val="multilevel"/>
    <w:tmpl w:val="5CFEE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13673DB"/>
    <w:multiLevelType w:val="multilevel"/>
    <w:tmpl w:val="CA62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16B62B9"/>
    <w:multiLevelType w:val="multilevel"/>
    <w:tmpl w:val="48BA7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19948A0"/>
    <w:multiLevelType w:val="multilevel"/>
    <w:tmpl w:val="119948A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4" w15:restartNumberingAfterBreak="0">
    <w:nsid w:val="11DA1924"/>
    <w:multiLevelType w:val="hybridMultilevel"/>
    <w:tmpl w:val="D73836DE"/>
    <w:lvl w:ilvl="0" w:tplc="C6CABB0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3625350"/>
    <w:multiLevelType w:val="multilevel"/>
    <w:tmpl w:val="B4E40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3BC3708"/>
    <w:multiLevelType w:val="multilevel"/>
    <w:tmpl w:val="E4869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43A1E05"/>
    <w:multiLevelType w:val="multilevel"/>
    <w:tmpl w:val="A46AF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5825498"/>
    <w:multiLevelType w:val="multilevel"/>
    <w:tmpl w:val="028C0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6045F16"/>
    <w:multiLevelType w:val="hybridMultilevel"/>
    <w:tmpl w:val="3C80855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30" w15:restartNumberingAfterBreak="0">
    <w:nsid w:val="18105B39"/>
    <w:multiLevelType w:val="multilevel"/>
    <w:tmpl w:val="DEFAC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96157B6"/>
    <w:multiLevelType w:val="multilevel"/>
    <w:tmpl w:val="2DB62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AA73D4A"/>
    <w:multiLevelType w:val="multilevel"/>
    <w:tmpl w:val="14008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D811B9E"/>
    <w:multiLevelType w:val="multilevel"/>
    <w:tmpl w:val="59A8E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E764F26"/>
    <w:multiLevelType w:val="multilevel"/>
    <w:tmpl w:val="4580A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EB36825"/>
    <w:multiLevelType w:val="multilevel"/>
    <w:tmpl w:val="351E1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F1D651E"/>
    <w:multiLevelType w:val="multilevel"/>
    <w:tmpl w:val="066E2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FBB75A5"/>
    <w:multiLevelType w:val="multilevel"/>
    <w:tmpl w:val="1E305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0395792"/>
    <w:multiLevelType w:val="multilevel"/>
    <w:tmpl w:val="77DA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04C4B62"/>
    <w:multiLevelType w:val="multilevel"/>
    <w:tmpl w:val="425417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05F20C9"/>
    <w:multiLevelType w:val="multilevel"/>
    <w:tmpl w:val="0CA09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14E6FB0"/>
    <w:multiLevelType w:val="multilevel"/>
    <w:tmpl w:val="214E6FB0"/>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2" w15:restartNumberingAfterBreak="0">
    <w:nsid w:val="21876FA0"/>
    <w:multiLevelType w:val="multilevel"/>
    <w:tmpl w:val="170A1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18A5278"/>
    <w:multiLevelType w:val="multilevel"/>
    <w:tmpl w:val="06821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1A8629D"/>
    <w:multiLevelType w:val="multilevel"/>
    <w:tmpl w:val="CDE2D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2026694"/>
    <w:multiLevelType w:val="multilevel"/>
    <w:tmpl w:val="26722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2B36F92"/>
    <w:multiLevelType w:val="multilevel"/>
    <w:tmpl w:val="F708A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47842C2"/>
    <w:multiLevelType w:val="hybridMultilevel"/>
    <w:tmpl w:val="8788FFC8"/>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8" w15:restartNumberingAfterBreak="0">
    <w:nsid w:val="24AB60CC"/>
    <w:multiLevelType w:val="hybridMultilevel"/>
    <w:tmpl w:val="FB8EFD02"/>
    <w:lvl w:ilvl="0" w:tplc="0402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251E1A0B"/>
    <w:multiLevelType w:val="multilevel"/>
    <w:tmpl w:val="AB126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676281D"/>
    <w:multiLevelType w:val="hybridMultilevel"/>
    <w:tmpl w:val="585AE08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15:restartNumberingAfterBreak="0">
    <w:nsid w:val="272031E3"/>
    <w:multiLevelType w:val="multilevel"/>
    <w:tmpl w:val="0EFEA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7731FF0"/>
    <w:multiLevelType w:val="multilevel"/>
    <w:tmpl w:val="E30A9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7B579CF"/>
    <w:multiLevelType w:val="multilevel"/>
    <w:tmpl w:val="ABD46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852162A"/>
    <w:multiLevelType w:val="multilevel"/>
    <w:tmpl w:val="DB700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8C71A9C"/>
    <w:multiLevelType w:val="multilevel"/>
    <w:tmpl w:val="24AE9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9932D94"/>
    <w:multiLevelType w:val="multilevel"/>
    <w:tmpl w:val="90580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A385BC3"/>
    <w:multiLevelType w:val="multilevel"/>
    <w:tmpl w:val="287C6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ABA63A0"/>
    <w:multiLevelType w:val="multilevel"/>
    <w:tmpl w:val="95E28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AE55492"/>
    <w:multiLevelType w:val="hybridMultilevel"/>
    <w:tmpl w:val="37B6B27C"/>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0" w15:restartNumberingAfterBreak="0">
    <w:nsid w:val="2B2A22AC"/>
    <w:multiLevelType w:val="hybridMultilevel"/>
    <w:tmpl w:val="9A00898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1" w15:restartNumberingAfterBreak="0">
    <w:nsid w:val="2BDB387D"/>
    <w:multiLevelType w:val="multilevel"/>
    <w:tmpl w:val="BC8A9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BE65474"/>
    <w:multiLevelType w:val="multilevel"/>
    <w:tmpl w:val="6B6EC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C62733D"/>
    <w:multiLevelType w:val="multilevel"/>
    <w:tmpl w:val="732A7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D3225A9"/>
    <w:multiLevelType w:val="hybridMultilevel"/>
    <w:tmpl w:val="0DA0FB2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15:restartNumberingAfterBreak="0">
    <w:nsid w:val="3015410F"/>
    <w:multiLevelType w:val="multilevel"/>
    <w:tmpl w:val="3015410F"/>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66" w15:restartNumberingAfterBreak="0">
    <w:nsid w:val="315959FD"/>
    <w:multiLevelType w:val="multilevel"/>
    <w:tmpl w:val="FEB27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1E31348"/>
    <w:multiLevelType w:val="multilevel"/>
    <w:tmpl w:val="DB3C1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1EF624D"/>
    <w:multiLevelType w:val="multilevel"/>
    <w:tmpl w:val="31EF624D"/>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9" w15:restartNumberingAfterBreak="0">
    <w:nsid w:val="32052C52"/>
    <w:multiLevelType w:val="hybridMultilevel"/>
    <w:tmpl w:val="72C0B0C0"/>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0" w15:restartNumberingAfterBreak="0">
    <w:nsid w:val="32D711BA"/>
    <w:multiLevelType w:val="multilevel"/>
    <w:tmpl w:val="81121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5780BB5"/>
    <w:multiLevelType w:val="multilevel"/>
    <w:tmpl w:val="35780BB5"/>
    <w:lvl w:ilvl="0">
      <w:start w:val="1"/>
      <w:numFmt w:val="bullet"/>
      <w:lvlText w:val=""/>
      <w:lvlJc w:val="left"/>
      <w:pPr>
        <w:ind w:left="1068"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5995E5B"/>
    <w:multiLevelType w:val="multilevel"/>
    <w:tmpl w:val="2B667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727054A"/>
    <w:multiLevelType w:val="multilevel"/>
    <w:tmpl w:val="496AC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99A051E"/>
    <w:multiLevelType w:val="multilevel"/>
    <w:tmpl w:val="FD38D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9A660A9"/>
    <w:multiLevelType w:val="multilevel"/>
    <w:tmpl w:val="128E3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9F81B76"/>
    <w:multiLevelType w:val="multilevel"/>
    <w:tmpl w:val="4DA4E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AA33BDD"/>
    <w:multiLevelType w:val="multilevel"/>
    <w:tmpl w:val="B64E5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AAD4FF2"/>
    <w:multiLevelType w:val="multilevel"/>
    <w:tmpl w:val="715C5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E394990"/>
    <w:multiLevelType w:val="multilevel"/>
    <w:tmpl w:val="A13E5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122647F"/>
    <w:multiLevelType w:val="hybridMultilevel"/>
    <w:tmpl w:val="4EE06DCE"/>
    <w:lvl w:ilvl="0" w:tplc="0402000F">
      <w:start w:val="1"/>
      <w:numFmt w:val="decimal"/>
      <w:lvlText w:val="%1."/>
      <w:lvlJc w:val="left"/>
      <w:pPr>
        <w:ind w:left="360" w:hanging="360"/>
      </w:p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81" w15:restartNumberingAfterBreak="0">
    <w:nsid w:val="41B87D32"/>
    <w:multiLevelType w:val="multilevel"/>
    <w:tmpl w:val="989E56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20A411A"/>
    <w:multiLevelType w:val="multilevel"/>
    <w:tmpl w:val="A27E3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2C37E3E"/>
    <w:multiLevelType w:val="multilevel"/>
    <w:tmpl w:val="E4065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2E05795"/>
    <w:multiLevelType w:val="multilevel"/>
    <w:tmpl w:val="8BDE3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3746F21"/>
    <w:multiLevelType w:val="multilevel"/>
    <w:tmpl w:val="43746F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3782353"/>
    <w:multiLevelType w:val="multilevel"/>
    <w:tmpl w:val="CCD0E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52E2A02"/>
    <w:multiLevelType w:val="multilevel"/>
    <w:tmpl w:val="8034E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57E2AFD"/>
    <w:multiLevelType w:val="multilevel"/>
    <w:tmpl w:val="A7D66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9DE0985"/>
    <w:multiLevelType w:val="multilevel"/>
    <w:tmpl w:val="B16C3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9F9145D"/>
    <w:multiLevelType w:val="multilevel"/>
    <w:tmpl w:val="F5845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BB528A6"/>
    <w:multiLevelType w:val="hybridMultilevel"/>
    <w:tmpl w:val="4610476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2" w15:restartNumberingAfterBreak="0">
    <w:nsid w:val="4C966A85"/>
    <w:multiLevelType w:val="multilevel"/>
    <w:tmpl w:val="995CD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4E7806EF"/>
    <w:multiLevelType w:val="multilevel"/>
    <w:tmpl w:val="6AEE8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50A74D6D"/>
    <w:multiLevelType w:val="multilevel"/>
    <w:tmpl w:val="17AEE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2793148"/>
    <w:multiLevelType w:val="multilevel"/>
    <w:tmpl w:val="CCB6F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37744C2"/>
    <w:multiLevelType w:val="multilevel"/>
    <w:tmpl w:val="29B0A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3AE0DAD"/>
    <w:multiLevelType w:val="multilevel"/>
    <w:tmpl w:val="981E6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53B1780C"/>
    <w:multiLevelType w:val="hybridMultilevel"/>
    <w:tmpl w:val="5FC6BBFA"/>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9" w15:restartNumberingAfterBreak="0">
    <w:nsid w:val="54D23482"/>
    <w:multiLevelType w:val="multilevel"/>
    <w:tmpl w:val="3CFE4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5235D2A"/>
    <w:multiLevelType w:val="multilevel"/>
    <w:tmpl w:val="A816F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56BA7796"/>
    <w:multiLevelType w:val="multilevel"/>
    <w:tmpl w:val="F2A8A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7DA1936"/>
    <w:multiLevelType w:val="multilevel"/>
    <w:tmpl w:val="C5D28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7E77FC7"/>
    <w:multiLevelType w:val="hybridMultilevel"/>
    <w:tmpl w:val="93DCC3C6"/>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104" w15:restartNumberingAfterBreak="0">
    <w:nsid w:val="585F0C11"/>
    <w:multiLevelType w:val="multilevel"/>
    <w:tmpl w:val="564E4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9B40546"/>
    <w:multiLevelType w:val="hybridMultilevel"/>
    <w:tmpl w:val="15747E5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6" w15:restartNumberingAfterBreak="0">
    <w:nsid w:val="5B84104F"/>
    <w:multiLevelType w:val="multilevel"/>
    <w:tmpl w:val="5B84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BA76B0F"/>
    <w:multiLevelType w:val="multilevel"/>
    <w:tmpl w:val="DFBC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5BDD6D3B"/>
    <w:multiLevelType w:val="multilevel"/>
    <w:tmpl w:val="9D38E2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F731A49"/>
    <w:multiLevelType w:val="multilevel"/>
    <w:tmpl w:val="2FF08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FA63951"/>
    <w:multiLevelType w:val="multilevel"/>
    <w:tmpl w:val="2BB65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5FA74EE2"/>
    <w:multiLevelType w:val="multilevel"/>
    <w:tmpl w:val="D598C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5FE939B6"/>
    <w:multiLevelType w:val="multilevel"/>
    <w:tmpl w:val="88861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04A4107"/>
    <w:multiLevelType w:val="multilevel"/>
    <w:tmpl w:val="D902C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1536F95"/>
    <w:multiLevelType w:val="hybridMultilevel"/>
    <w:tmpl w:val="98C89E8C"/>
    <w:lvl w:ilvl="0" w:tplc="332220E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5" w15:restartNumberingAfterBreak="0">
    <w:nsid w:val="62496563"/>
    <w:multiLevelType w:val="multilevel"/>
    <w:tmpl w:val="62496563"/>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6" w15:restartNumberingAfterBreak="0">
    <w:nsid w:val="6323023C"/>
    <w:multiLevelType w:val="multilevel"/>
    <w:tmpl w:val="F5A20AD2"/>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7" w15:restartNumberingAfterBreak="0">
    <w:nsid w:val="6424724B"/>
    <w:multiLevelType w:val="multilevel"/>
    <w:tmpl w:val="E1EE1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4525B01"/>
    <w:multiLevelType w:val="multilevel"/>
    <w:tmpl w:val="D7A21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46070C0"/>
    <w:multiLevelType w:val="multilevel"/>
    <w:tmpl w:val="76A6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649E3F7B"/>
    <w:multiLevelType w:val="multilevel"/>
    <w:tmpl w:val="0C429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64CE7961"/>
    <w:multiLevelType w:val="multilevel"/>
    <w:tmpl w:val="B93A9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65E683F"/>
    <w:multiLevelType w:val="multilevel"/>
    <w:tmpl w:val="F3F47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716146A"/>
    <w:multiLevelType w:val="multilevel"/>
    <w:tmpl w:val="A6081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8525D86"/>
    <w:multiLevelType w:val="multilevel"/>
    <w:tmpl w:val="6AAA8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8F85170"/>
    <w:multiLevelType w:val="multilevel"/>
    <w:tmpl w:val="FA58B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6A575326"/>
    <w:multiLevelType w:val="multilevel"/>
    <w:tmpl w:val="2AD81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B10099C"/>
    <w:multiLevelType w:val="multilevel"/>
    <w:tmpl w:val="B6FEA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6B7F2CFE"/>
    <w:multiLevelType w:val="multilevel"/>
    <w:tmpl w:val="6BAE6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6C0C63F5"/>
    <w:multiLevelType w:val="multilevel"/>
    <w:tmpl w:val="1778A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6E296631"/>
    <w:multiLevelType w:val="multilevel"/>
    <w:tmpl w:val="4CE0B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6E3834F2"/>
    <w:multiLevelType w:val="multilevel"/>
    <w:tmpl w:val="A98E1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F8633F4"/>
    <w:multiLevelType w:val="multilevel"/>
    <w:tmpl w:val="AA88C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6FC9325A"/>
    <w:multiLevelType w:val="multilevel"/>
    <w:tmpl w:val="B4B03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70610C29"/>
    <w:multiLevelType w:val="multilevel"/>
    <w:tmpl w:val="6092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07D2950"/>
    <w:multiLevelType w:val="multilevel"/>
    <w:tmpl w:val="707D2950"/>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6" w15:restartNumberingAfterBreak="0">
    <w:nsid w:val="738A474D"/>
    <w:multiLevelType w:val="multilevel"/>
    <w:tmpl w:val="2A3CA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3E564E3"/>
    <w:multiLevelType w:val="multilevel"/>
    <w:tmpl w:val="3EFCC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59C2365"/>
    <w:multiLevelType w:val="multilevel"/>
    <w:tmpl w:val="38C8A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5E81FEF"/>
    <w:multiLevelType w:val="multilevel"/>
    <w:tmpl w:val="9A36B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760167F0"/>
    <w:multiLevelType w:val="multilevel"/>
    <w:tmpl w:val="76EA8D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7633501D"/>
    <w:multiLevelType w:val="hybridMultilevel"/>
    <w:tmpl w:val="7094508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2" w15:restartNumberingAfterBreak="0">
    <w:nsid w:val="7A281448"/>
    <w:multiLevelType w:val="multilevel"/>
    <w:tmpl w:val="758CD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7AF8504A"/>
    <w:multiLevelType w:val="multilevel"/>
    <w:tmpl w:val="7AF850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7E3C1A79"/>
    <w:multiLevelType w:val="multilevel"/>
    <w:tmpl w:val="A5486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E997A06"/>
    <w:multiLevelType w:val="multilevel"/>
    <w:tmpl w:val="37BA6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3"/>
  </w:num>
  <w:num w:numId="2">
    <w:abstractNumId w:val="74"/>
  </w:num>
  <w:num w:numId="3">
    <w:abstractNumId w:val="47"/>
  </w:num>
  <w:num w:numId="4">
    <w:abstractNumId w:val="7"/>
  </w:num>
  <w:num w:numId="5">
    <w:abstractNumId w:val="98"/>
  </w:num>
  <w:num w:numId="6">
    <w:abstractNumId w:val="114"/>
  </w:num>
  <w:num w:numId="7">
    <w:abstractNumId w:val="109"/>
  </w:num>
  <w:num w:numId="8">
    <w:abstractNumId w:val="126"/>
  </w:num>
  <w:num w:numId="9">
    <w:abstractNumId w:val="133"/>
  </w:num>
  <w:num w:numId="10">
    <w:abstractNumId w:val="84"/>
  </w:num>
  <w:num w:numId="11">
    <w:abstractNumId w:val="21"/>
  </w:num>
  <w:num w:numId="12">
    <w:abstractNumId w:val="100"/>
  </w:num>
  <w:num w:numId="13">
    <w:abstractNumId w:val="55"/>
  </w:num>
  <w:num w:numId="14">
    <w:abstractNumId w:val="142"/>
  </w:num>
  <w:num w:numId="15">
    <w:abstractNumId w:val="39"/>
  </w:num>
  <w:num w:numId="16">
    <w:abstractNumId w:val="103"/>
  </w:num>
  <w:num w:numId="17">
    <w:abstractNumId w:val="29"/>
  </w:num>
  <w:num w:numId="18">
    <w:abstractNumId w:val="96"/>
  </w:num>
  <w:num w:numId="19">
    <w:abstractNumId w:val="111"/>
  </w:num>
  <w:num w:numId="20">
    <w:abstractNumId w:val="13"/>
  </w:num>
  <w:num w:numId="21">
    <w:abstractNumId w:val="27"/>
  </w:num>
  <w:num w:numId="22">
    <w:abstractNumId w:val="127"/>
  </w:num>
  <w:num w:numId="23">
    <w:abstractNumId w:val="144"/>
  </w:num>
  <w:num w:numId="24">
    <w:abstractNumId w:val="20"/>
  </w:num>
  <w:num w:numId="25">
    <w:abstractNumId w:val="136"/>
  </w:num>
  <w:num w:numId="26">
    <w:abstractNumId w:val="140"/>
  </w:num>
  <w:num w:numId="27">
    <w:abstractNumId w:val="76"/>
  </w:num>
  <w:num w:numId="28">
    <w:abstractNumId w:val="130"/>
  </w:num>
  <w:num w:numId="29">
    <w:abstractNumId w:val="102"/>
  </w:num>
  <w:num w:numId="30">
    <w:abstractNumId w:val="37"/>
  </w:num>
  <w:num w:numId="31">
    <w:abstractNumId w:val="132"/>
  </w:num>
  <w:num w:numId="32">
    <w:abstractNumId w:val="118"/>
  </w:num>
  <w:num w:numId="33">
    <w:abstractNumId w:val="8"/>
  </w:num>
  <w:num w:numId="34">
    <w:abstractNumId w:val="90"/>
  </w:num>
  <w:num w:numId="35">
    <w:abstractNumId w:val="119"/>
  </w:num>
  <w:num w:numId="36">
    <w:abstractNumId w:val="15"/>
  </w:num>
  <w:num w:numId="37">
    <w:abstractNumId w:val="66"/>
  </w:num>
  <w:num w:numId="38">
    <w:abstractNumId w:val="120"/>
  </w:num>
  <w:num w:numId="39">
    <w:abstractNumId w:val="19"/>
  </w:num>
  <w:num w:numId="40">
    <w:abstractNumId w:val="38"/>
  </w:num>
  <w:num w:numId="41">
    <w:abstractNumId w:val="134"/>
  </w:num>
  <w:num w:numId="42">
    <w:abstractNumId w:val="25"/>
  </w:num>
  <w:num w:numId="43">
    <w:abstractNumId w:val="139"/>
  </w:num>
  <w:num w:numId="44">
    <w:abstractNumId w:val="40"/>
  </w:num>
  <w:num w:numId="45">
    <w:abstractNumId w:val="57"/>
  </w:num>
  <w:num w:numId="46">
    <w:abstractNumId w:val="99"/>
  </w:num>
  <w:num w:numId="47">
    <w:abstractNumId w:val="117"/>
  </w:num>
  <w:num w:numId="48">
    <w:abstractNumId w:val="51"/>
  </w:num>
  <w:num w:numId="49">
    <w:abstractNumId w:val="125"/>
  </w:num>
  <w:num w:numId="50">
    <w:abstractNumId w:val="77"/>
  </w:num>
  <w:num w:numId="51">
    <w:abstractNumId w:val="101"/>
  </w:num>
  <w:num w:numId="52">
    <w:abstractNumId w:val="10"/>
  </w:num>
  <w:num w:numId="53">
    <w:abstractNumId w:val="62"/>
  </w:num>
  <w:num w:numId="54">
    <w:abstractNumId w:val="26"/>
  </w:num>
  <w:num w:numId="55">
    <w:abstractNumId w:val="128"/>
  </w:num>
  <w:num w:numId="56">
    <w:abstractNumId w:val="12"/>
  </w:num>
  <w:num w:numId="57">
    <w:abstractNumId w:val="124"/>
  </w:num>
  <w:num w:numId="58">
    <w:abstractNumId w:val="34"/>
  </w:num>
  <w:num w:numId="59">
    <w:abstractNumId w:val="94"/>
  </w:num>
  <w:num w:numId="60">
    <w:abstractNumId w:val="6"/>
  </w:num>
  <w:num w:numId="61">
    <w:abstractNumId w:val="121"/>
  </w:num>
  <w:num w:numId="62">
    <w:abstractNumId w:val="89"/>
  </w:num>
  <w:num w:numId="63">
    <w:abstractNumId w:val="116"/>
  </w:num>
  <w:num w:numId="64">
    <w:abstractNumId w:val="82"/>
  </w:num>
  <w:num w:numId="65">
    <w:abstractNumId w:val="53"/>
  </w:num>
  <w:num w:numId="66">
    <w:abstractNumId w:val="97"/>
  </w:num>
  <w:num w:numId="67">
    <w:abstractNumId w:val="56"/>
  </w:num>
  <w:num w:numId="68">
    <w:abstractNumId w:val="83"/>
  </w:num>
  <w:num w:numId="69">
    <w:abstractNumId w:val="110"/>
  </w:num>
  <w:num w:numId="70">
    <w:abstractNumId w:val="42"/>
  </w:num>
  <w:num w:numId="71">
    <w:abstractNumId w:val="46"/>
  </w:num>
  <w:num w:numId="72">
    <w:abstractNumId w:val="145"/>
  </w:num>
  <w:num w:numId="73">
    <w:abstractNumId w:val="88"/>
  </w:num>
  <w:num w:numId="74">
    <w:abstractNumId w:val="43"/>
  </w:num>
  <w:num w:numId="75">
    <w:abstractNumId w:val="61"/>
  </w:num>
  <w:num w:numId="76">
    <w:abstractNumId w:val="138"/>
  </w:num>
  <w:num w:numId="77">
    <w:abstractNumId w:val="58"/>
  </w:num>
  <w:num w:numId="78">
    <w:abstractNumId w:val="44"/>
  </w:num>
  <w:num w:numId="79">
    <w:abstractNumId w:val="86"/>
  </w:num>
  <w:num w:numId="80">
    <w:abstractNumId w:val="122"/>
  </w:num>
  <w:num w:numId="81">
    <w:abstractNumId w:val="63"/>
  </w:num>
  <w:num w:numId="82">
    <w:abstractNumId w:val="67"/>
  </w:num>
  <w:num w:numId="83">
    <w:abstractNumId w:val="69"/>
  </w:num>
  <w:num w:numId="84">
    <w:abstractNumId w:val="105"/>
  </w:num>
  <w:num w:numId="85">
    <w:abstractNumId w:val="1"/>
  </w:num>
  <w:num w:numId="86">
    <w:abstractNumId w:val="107"/>
  </w:num>
  <w:num w:numId="87">
    <w:abstractNumId w:val="75"/>
  </w:num>
  <w:num w:numId="88">
    <w:abstractNumId w:val="30"/>
  </w:num>
  <w:num w:numId="89">
    <w:abstractNumId w:val="49"/>
  </w:num>
  <w:num w:numId="90">
    <w:abstractNumId w:val="112"/>
  </w:num>
  <w:num w:numId="91">
    <w:abstractNumId w:val="93"/>
  </w:num>
  <w:num w:numId="92">
    <w:abstractNumId w:val="131"/>
  </w:num>
  <w:num w:numId="93">
    <w:abstractNumId w:val="81"/>
  </w:num>
  <w:num w:numId="94">
    <w:abstractNumId w:val="78"/>
  </w:num>
  <w:num w:numId="95">
    <w:abstractNumId w:val="108"/>
  </w:num>
  <w:num w:numId="96">
    <w:abstractNumId w:val="35"/>
  </w:num>
  <w:num w:numId="97">
    <w:abstractNumId w:val="123"/>
  </w:num>
  <w:num w:numId="98">
    <w:abstractNumId w:val="28"/>
  </w:num>
  <w:num w:numId="99">
    <w:abstractNumId w:val="45"/>
  </w:num>
  <w:num w:numId="100">
    <w:abstractNumId w:val="79"/>
  </w:num>
  <w:num w:numId="101">
    <w:abstractNumId w:val="72"/>
  </w:num>
  <w:num w:numId="102">
    <w:abstractNumId w:val="73"/>
  </w:num>
  <w:num w:numId="103">
    <w:abstractNumId w:val="52"/>
  </w:num>
  <w:num w:numId="104">
    <w:abstractNumId w:val="16"/>
  </w:num>
  <w:num w:numId="105">
    <w:abstractNumId w:val="143"/>
  </w:num>
  <w:num w:numId="106">
    <w:abstractNumId w:val="68"/>
  </w:num>
  <w:num w:numId="107">
    <w:abstractNumId w:val="5"/>
  </w:num>
  <w:num w:numId="108">
    <w:abstractNumId w:val="135"/>
  </w:num>
  <w:num w:numId="109">
    <w:abstractNumId w:val="65"/>
  </w:num>
  <w:num w:numId="110">
    <w:abstractNumId w:val="71"/>
  </w:num>
  <w:num w:numId="111">
    <w:abstractNumId w:val="23"/>
  </w:num>
  <w:num w:numId="112">
    <w:abstractNumId w:val="41"/>
  </w:num>
  <w:num w:numId="113">
    <w:abstractNumId w:val="18"/>
  </w:num>
  <w:num w:numId="114">
    <w:abstractNumId w:val="0"/>
  </w:num>
  <w:num w:numId="115">
    <w:abstractNumId w:val="115"/>
  </w:num>
  <w:num w:numId="116">
    <w:abstractNumId w:val="106"/>
  </w:num>
  <w:num w:numId="117">
    <w:abstractNumId w:val="85"/>
  </w:num>
  <w:num w:numId="118">
    <w:abstractNumId w:val="24"/>
  </w:num>
  <w:num w:numId="119">
    <w:abstractNumId w:val="11"/>
  </w:num>
  <w:num w:numId="120">
    <w:abstractNumId w:val="50"/>
  </w:num>
  <w:num w:numId="121">
    <w:abstractNumId w:val="59"/>
  </w:num>
  <w:num w:numId="122">
    <w:abstractNumId w:val="91"/>
  </w:num>
  <w:num w:numId="123">
    <w:abstractNumId w:val="14"/>
  </w:num>
  <w:num w:numId="124">
    <w:abstractNumId w:val="60"/>
  </w:num>
  <w:num w:numId="125">
    <w:abstractNumId w:val="64"/>
  </w:num>
  <w:num w:numId="126">
    <w:abstractNumId w:val="80"/>
  </w:num>
  <w:num w:numId="127">
    <w:abstractNumId w:val="137"/>
  </w:num>
  <w:num w:numId="128">
    <w:abstractNumId w:val="54"/>
  </w:num>
  <w:num w:numId="129">
    <w:abstractNumId w:val="2"/>
  </w:num>
  <w:num w:numId="130">
    <w:abstractNumId w:val="3"/>
  </w:num>
  <w:num w:numId="131">
    <w:abstractNumId w:val="17"/>
  </w:num>
  <w:num w:numId="132">
    <w:abstractNumId w:val="9"/>
  </w:num>
  <w:num w:numId="133">
    <w:abstractNumId w:val="33"/>
  </w:num>
  <w:num w:numId="134">
    <w:abstractNumId w:val="87"/>
  </w:num>
  <w:num w:numId="135">
    <w:abstractNumId w:val="70"/>
  </w:num>
  <w:num w:numId="136">
    <w:abstractNumId w:val="36"/>
  </w:num>
  <w:num w:numId="137">
    <w:abstractNumId w:val="31"/>
  </w:num>
  <w:num w:numId="138">
    <w:abstractNumId w:val="22"/>
  </w:num>
  <w:num w:numId="139">
    <w:abstractNumId w:val="4"/>
  </w:num>
  <w:num w:numId="140">
    <w:abstractNumId w:val="95"/>
  </w:num>
  <w:num w:numId="141">
    <w:abstractNumId w:val="32"/>
  </w:num>
  <w:num w:numId="142">
    <w:abstractNumId w:val="129"/>
  </w:num>
  <w:num w:numId="143">
    <w:abstractNumId w:val="92"/>
  </w:num>
  <w:num w:numId="144">
    <w:abstractNumId w:val="104"/>
  </w:num>
  <w:num w:numId="145">
    <w:abstractNumId w:val="48"/>
  </w:num>
  <w:num w:numId="146">
    <w:abstractNumId w:val="141"/>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W_DocType" w:val="NORMAL"/>
  </w:docVars>
  <w:rsids>
    <w:rsidRoot w:val="00125A5D"/>
    <w:rsid w:val="00000033"/>
    <w:rsid w:val="000002EC"/>
    <w:rsid w:val="00001189"/>
    <w:rsid w:val="000013C6"/>
    <w:rsid w:val="00001436"/>
    <w:rsid w:val="000015AE"/>
    <w:rsid w:val="000016DE"/>
    <w:rsid w:val="00001991"/>
    <w:rsid w:val="00001C7F"/>
    <w:rsid w:val="000022DA"/>
    <w:rsid w:val="000023CA"/>
    <w:rsid w:val="0000249E"/>
    <w:rsid w:val="00002AE6"/>
    <w:rsid w:val="0000326D"/>
    <w:rsid w:val="000034E3"/>
    <w:rsid w:val="0000357D"/>
    <w:rsid w:val="00003704"/>
    <w:rsid w:val="00003B94"/>
    <w:rsid w:val="000054BC"/>
    <w:rsid w:val="00005BF2"/>
    <w:rsid w:val="000061E5"/>
    <w:rsid w:val="000065E0"/>
    <w:rsid w:val="0000680C"/>
    <w:rsid w:val="00006AAC"/>
    <w:rsid w:val="0000732E"/>
    <w:rsid w:val="000073B5"/>
    <w:rsid w:val="000075FC"/>
    <w:rsid w:val="0001059A"/>
    <w:rsid w:val="000111E8"/>
    <w:rsid w:val="000116B1"/>
    <w:rsid w:val="00011DE8"/>
    <w:rsid w:val="00011EED"/>
    <w:rsid w:val="00012996"/>
    <w:rsid w:val="00012D78"/>
    <w:rsid w:val="000131F1"/>
    <w:rsid w:val="000134CB"/>
    <w:rsid w:val="00013568"/>
    <w:rsid w:val="000135B6"/>
    <w:rsid w:val="00013A9C"/>
    <w:rsid w:val="00014145"/>
    <w:rsid w:val="00014EE9"/>
    <w:rsid w:val="0001627D"/>
    <w:rsid w:val="00016B1A"/>
    <w:rsid w:val="00016D4A"/>
    <w:rsid w:val="000170B2"/>
    <w:rsid w:val="000176D7"/>
    <w:rsid w:val="00017CF2"/>
    <w:rsid w:val="00020789"/>
    <w:rsid w:val="00020D30"/>
    <w:rsid w:val="0002122D"/>
    <w:rsid w:val="000219B7"/>
    <w:rsid w:val="00021C70"/>
    <w:rsid w:val="00021CE5"/>
    <w:rsid w:val="0002232E"/>
    <w:rsid w:val="0002265A"/>
    <w:rsid w:val="000231DF"/>
    <w:rsid w:val="000237A4"/>
    <w:rsid w:val="00023B73"/>
    <w:rsid w:val="00023C49"/>
    <w:rsid w:val="0002428C"/>
    <w:rsid w:val="0002430D"/>
    <w:rsid w:val="000244E9"/>
    <w:rsid w:val="00024A61"/>
    <w:rsid w:val="00024AED"/>
    <w:rsid w:val="00024BF9"/>
    <w:rsid w:val="00025638"/>
    <w:rsid w:val="000256CA"/>
    <w:rsid w:val="00026757"/>
    <w:rsid w:val="00027705"/>
    <w:rsid w:val="00027A79"/>
    <w:rsid w:val="0003203D"/>
    <w:rsid w:val="0003222D"/>
    <w:rsid w:val="0003283A"/>
    <w:rsid w:val="00032A4F"/>
    <w:rsid w:val="000331F5"/>
    <w:rsid w:val="00034184"/>
    <w:rsid w:val="000345F9"/>
    <w:rsid w:val="000346C7"/>
    <w:rsid w:val="00035115"/>
    <w:rsid w:val="0003521E"/>
    <w:rsid w:val="00035635"/>
    <w:rsid w:val="0003575C"/>
    <w:rsid w:val="000364F0"/>
    <w:rsid w:val="0003663E"/>
    <w:rsid w:val="00037CCF"/>
    <w:rsid w:val="00037D96"/>
    <w:rsid w:val="00040085"/>
    <w:rsid w:val="0004029F"/>
    <w:rsid w:val="0004054A"/>
    <w:rsid w:val="00040603"/>
    <w:rsid w:val="00040800"/>
    <w:rsid w:val="000409B3"/>
    <w:rsid w:val="000413CB"/>
    <w:rsid w:val="000413D0"/>
    <w:rsid w:val="00042549"/>
    <w:rsid w:val="0004287D"/>
    <w:rsid w:val="00043211"/>
    <w:rsid w:val="0004324D"/>
    <w:rsid w:val="00043A9D"/>
    <w:rsid w:val="00043A9E"/>
    <w:rsid w:val="000441D7"/>
    <w:rsid w:val="00044343"/>
    <w:rsid w:val="00044BBC"/>
    <w:rsid w:val="00044FEB"/>
    <w:rsid w:val="000450D5"/>
    <w:rsid w:val="0004547E"/>
    <w:rsid w:val="0004549A"/>
    <w:rsid w:val="000461CA"/>
    <w:rsid w:val="00046C34"/>
    <w:rsid w:val="00047083"/>
    <w:rsid w:val="000477BD"/>
    <w:rsid w:val="00047BE7"/>
    <w:rsid w:val="000508D6"/>
    <w:rsid w:val="000512E7"/>
    <w:rsid w:val="00051554"/>
    <w:rsid w:val="00051C24"/>
    <w:rsid w:val="00051D9D"/>
    <w:rsid w:val="00051FBD"/>
    <w:rsid w:val="00052B2A"/>
    <w:rsid w:val="00052F98"/>
    <w:rsid w:val="0005330B"/>
    <w:rsid w:val="000533E3"/>
    <w:rsid w:val="0005394C"/>
    <w:rsid w:val="00054B22"/>
    <w:rsid w:val="00054B73"/>
    <w:rsid w:val="00054F6E"/>
    <w:rsid w:val="0005522E"/>
    <w:rsid w:val="0005528D"/>
    <w:rsid w:val="000552BC"/>
    <w:rsid w:val="00055910"/>
    <w:rsid w:val="00055D6C"/>
    <w:rsid w:val="00056158"/>
    <w:rsid w:val="000561AB"/>
    <w:rsid w:val="0005652A"/>
    <w:rsid w:val="00056795"/>
    <w:rsid w:val="00056DF0"/>
    <w:rsid w:val="000571CA"/>
    <w:rsid w:val="00057E71"/>
    <w:rsid w:val="00060DD4"/>
    <w:rsid w:val="00061143"/>
    <w:rsid w:val="000612B7"/>
    <w:rsid w:val="000617BA"/>
    <w:rsid w:val="00063A5A"/>
    <w:rsid w:val="00063BB7"/>
    <w:rsid w:val="00064228"/>
    <w:rsid w:val="00064F67"/>
    <w:rsid w:val="00065FEB"/>
    <w:rsid w:val="00066009"/>
    <w:rsid w:val="0006603B"/>
    <w:rsid w:val="00066089"/>
    <w:rsid w:val="000660E5"/>
    <w:rsid w:val="000661AA"/>
    <w:rsid w:val="000661B5"/>
    <w:rsid w:val="00066362"/>
    <w:rsid w:val="00066446"/>
    <w:rsid w:val="0006658E"/>
    <w:rsid w:val="00066DE1"/>
    <w:rsid w:val="00067447"/>
    <w:rsid w:val="00067962"/>
    <w:rsid w:val="00067FBB"/>
    <w:rsid w:val="00070179"/>
    <w:rsid w:val="000706F2"/>
    <w:rsid w:val="000723FA"/>
    <w:rsid w:val="00072588"/>
    <w:rsid w:val="00072709"/>
    <w:rsid w:val="0007452A"/>
    <w:rsid w:val="00074B76"/>
    <w:rsid w:val="00074CF9"/>
    <w:rsid w:val="000751DC"/>
    <w:rsid w:val="00075620"/>
    <w:rsid w:val="000763CD"/>
    <w:rsid w:val="000771E5"/>
    <w:rsid w:val="00077A46"/>
    <w:rsid w:val="00077A94"/>
    <w:rsid w:val="00077D42"/>
    <w:rsid w:val="00077FD2"/>
    <w:rsid w:val="00080317"/>
    <w:rsid w:val="00080D40"/>
    <w:rsid w:val="00081593"/>
    <w:rsid w:val="0008260D"/>
    <w:rsid w:val="00084ED3"/>
    <w:rsid w:val="000853DC"/>
    <w:rsid w:val="0008675A"/>
    <w:rsid w:val="000867C3"/>
    <w:rsid w:val="00086BA0"/>
    <w:rsid w:val="00086EC6"/>
    <w:rsid w:val="00086F5A"/>
    <w:rsid w:val="00087036"/>
    <w:rsid w:val="00087293"/>
    <w:rsid w:val="00087F83"/>
    <w:rsid w:val="0009025F"/>
    <w:rsid w:val="0009070B"/>
    <w:rsid w:val="000908EC"/>
    <w:rsid w:val="000909D2"/>
    <w:rsid w:val="00090AC3"/>
    <w:rsid w:val="000920A9"/>
    <w:rsid w:val="00092666"/>
    <w:rsid w:val="0009279B"/>
    <w:rsid w:val="00092C7B"/>
    <w:rsid w:val="0009316C"/>
    <w:rsid w:val="00093485"/>
    <w:rsid w:val="00093CFE"/>
    <w:rsid w:val="00093E98"/>
    <w:rsid w:val="000940D0"/>
    <w:rsid w:val="000946E0"/>
    <w:rsid w:val="00094F70"/>
    <w:rsid w:val="00095FDD"/>
    <w:rsid w:val="000960A2"/>
    <w:rsid w:val="0009617E"/>
    <w:rsid w:val="000965ED"/>
    <w:rsid w:val="0009665E"/>
    <w:rsid w:val="00096667"/>
    <w:rsid w:val="00097015"/>
    <w:rsid w:val="000975AD"/>
    <w:rsid w:val="00097979"/>
    <w:rsid w:val="00097AA7"/>
    <w:rsid w:val="000A0540"/>
    <w:rsid w:val="000A0719"/>
    <w:rsid w:val="000A1C8C"/>
    <w:rsid w:val="000A21B3"/>
    <w:rsid w:val="000A288B"/>
    <w:rsid w:val="000A2C3A"/>
    <w:rsid w:val="000A2D2C"/>
    <w:rsid w:val="000A3CB0"/>
    <w:rsid w:val="000A45C9"/>
    <w:rsid w:val="000A52E4"/>
    <w:rsid w:val="000A534B"/>
    <w:rsid w:val="000A5BBB"/>
    <w:rsid w:val="000A5BF3"/>
    <w:rsid w:val="000A5E30"/>
    <w:rsid w:val="000A5FF9"/>
    <w:rsid w:val="000A6037"/>
    <w:rsid w:val="000A7382"/>
    <w:rsid w:val="000A79CC"/>
    <w:rsid w:val="000A7C30"/>
    <w:rsid w:val="000A7EBC"/>
    <w:rsid w:val="000B116A"/>
    <w:rsid w:val="000B15A5"/>
    <w:rsid w:val="000B161D"/>
    <w:rsid w:val="000B18AA"/>
    <w:rsid w:val="000B18FC"/>
    <w:rsid w:val="000B2280"/>
    <w:rsid w:val="000B2316"/>
    <w:rsid w:val="000B2E61"/>
    <w:rsid w:val="000B2FEB"/>
    <w:rsid w:val="000B3749"/>
    <w:rsid w:val="000B387A"/>
    <w:rsid w:val="000B3AC0"/>
    <w:rsid w:val="000B43B8"/>
    <w:rsid w:val="000B47EB"/>
    <w:rsid w:val="000B488B"/>
    <w:rsid w:val="000B4EEB"/>
    <w:rsid w:val="000B5005"/>
    <w:rsid w:val="000B54C0"/>
    <w:rsid w:val="000B5D8C"/>
    <w:rsid w:val="000B6940"/>
    <w:rsid w:val="000B6B6B"/>
    <w:rsid w:val="000B72E1"/>
    <w:rsid w:val="000B76B2"/>
    <w:rsid w:val="000C00E0"/>
    <w:rsid w:val="000C06BC"/>
    <w:rsid w:val="000C073B"/>
    <w:rsid w:val="000C09E1"/>
    <w:rsid w:val="000C0C46"/>
    <w:rsid w:val="000C0F89"/>
    <w:rsid w:val="000C12C1"/>
    <w:rsid w:val="000C140E"/>
    <w:rsid w:val="000C18D9"/>
    <w:rsid w:val="000C1A5B"/>
    <w:rsid w:val="000C1C8A"/>
    <w:rsid w:val="000C293C"/>
    <w:rsid w:val="000C34FA"/>
    <w:rsid w:val="000C3A78"/>
    <w:rsid w:val="000C44D1"/>
    <w:rsid w:val="000C49A6"/>
    <w:rsid w:val="000C513C"/>
    <w:rsid w:val="000C56C9"/>
    <w:rsid w:val="000C5C1C"/>
    <w:rsid w:val="000C61EE"/>
    <w:rsid w:val="000C637F"/>
    <w:rsid w:val="000C6A20"/>
    <w:rsid w:val="000C6F65"/>
    <w:rsid w:val="000C727D"/>
    <w:rsid w:val="000C74F5"/>
    <w:rsid w:val="000D0899"/>
    <w:rsid w:val="000D0F40"/>
    <w:rsid w:val="000D1E07"/>
    <w:rsid w:val="000D201F"/>
    <w:rsid w:val="000D236A"/>
    <w:rsid w:val="000D27B3"/>
    <w:rsid w:val="000D2870"/>
    <w:rsid w:val="000D2ABF"/>
    <w:rsid w:val="000D38E5"/>
    <w:rsid w:val="000D463D"/>
    <w:rsid w:val="000D4B65"/>
    <w:rsid w:val="000D509E"/>
    <w:rsid w:val="000D5150"/>
    <w:rsid w:val="000D5176"/>
    <w:rsid w:val="000D52B9"/>
    <w:rsid w:val="000D5CCA"/>
    <w:rsid w:val="000D5FDC"/>
    <w:rsid w:val="000D60B0"/>
    <w:rsid w:val="000D690A"/>
    <w:rsid w:val="000D788F"/>
    <w:rsid w:val="000E0351"/>
    <w:rsid w:val="000E07CB"/>
    <w:rsid w:val="000E1348"/>
    <w:rsid w:val="000E1761"/>
    <w:rsid w:val="000E186D"/>
    <w:rsid w:val="000E1A27"/>
    <w:rsid w:val="000E22E7"/>
    <w:rsid w:val="000E2C17"/>
    <w:rsid w:val="000E2D32"/>
    <w:rsid w:val="000E2F53"/>
    <w:rsid w:val="000E30AD"/>
    <w:rsid w:val="000E35D7"/>
    <w:rsid w:val="000E3969"/>
    <w:rsid w:val="000E3CA2"/>
    <w:rsid w:val="000E3EFD"/>
    <w:rsid w:val="000E3FA2"/>
    <w:rsid w:val="000E43E3"/>
    <w:rsid w:val="000E4C15"/>
    <w:rsid w:val="000E4FEE"/>
    <w:rsid w:val="000E53B6"/>
    <w:rsid w:val="000E5653"/>
    <w:rsid w:val="000E61AE"/>
    <w:rsid w:val="000E6242"/>
    <w:rsid w:val="000E7467"/>
    <w:rsid w:val="000F014F"/>
    <w:rsid w:val="000F07B6"/>
    <w:rsid w:val="000F088A"/>
    <w:rsid w:val="000F0B8B"/>
    <w:rsid w:val="000F0BAA"/>
    <w:rsid w:val="000F137F"/>
    <w:rsid w:val="000F1565"/>
    <w:rsid w:val="000F16D5"/>
    <w:rsid w:val="000F1D38"/>
    <w:rsid w:val="000F2C9C"/>
    <w:rsid w:val="000F356B"/>
    <w:rsid w:val="000F3656"/>
    <w:rsid w:val="000F3F50"/>
    <w:rsid w:val="000F44A9"/>
    <w:rsid w:val="000F5013"/>
    <w:rsid w:val="000F566B"/>
    <w:rsid w:val="000F73EA"/>
    <w:rsid w:val="000F75E8"/>
    <w:rsid w:val="000F7ECA"/>
    <w:rsid w:val="00100AC9"/>
    <w:rsid w:val="001012BB"/>
    <w:rsid w:val="00101FEF"/>
    <w:rsid w:val="00102405"/>
    <w:rsid w:val="00102581"/>
    <w:rsid w:val="00103060"/>
    <w:rsid w:val="00103185"/>
    <w:rsid w:val="00103598"/>
    <w:rsid w:val="0010361E"/>
    <w:rsid w:val="00103B33"/>
    <w:rsid w:val="00103B52"/>
    <w:rsid w:val="001041E9"/>
    <w:rsid w:val="00104276"/>
    <w:rsid w:val="00104601"/>
    <w:rsid w:val="001047A0"/>
    <w:rsid w:val="001058D5"/>
    <w:rsid w:val="00105DB9"/>
    <w:rsid w:val="00105E63"/>
    <w:rsid w:val="0010665E"/>
    <w:rsid w:val="00106E28"/>
    <w:rsid w:val="00107604"/>
    <w:rsid w:val="0010772A"/>
    <w:rsid w:val="00107B32"/>
    <w:rsid w:val="00107DE9"/>
    <w:rsid w:val="0011002E"/>
    <w:rsid w:val="001103CE"/>
    <w:rsid w:val="001105DE"/>
    <w:rsid w:val="00110C8A"/>
    <w:rsid w:val="00111053"/>
    <w:rsid w:val="00111262"/>
    <w:rsid w:val="001112AF"/>
    <w:rsid w:val="00111A44"/>
    <w:rsid w:val="00112833"/>
    <w:rsid w:val="00112AD1"/>
    <w:rsid w:val="00112B31"/>
    <w:rsid w:val="0011313C"/>
    <w:rsid w:val="00113C00"/>
    <w:rsid w:val="00114507"/>
    <w:rsid w:val="00114533"/>
    <w:rsid w:val="001148CD"/>
    <w:rsid w:val="00114C97"/>
    <w:rsid w:val="00114D8F"/>
    <w:rsid w:val="00114E3A"/>
    <w:rsid w:val="00114EB5"/>
    <w:rsid w:val="0011565D"/>
    <w:rsid w:val="00115928"/>
    <w:rsid w:val="00116477"/>
    <w:rsid w:val="00116994"/>
    <w:rsid w:val="00116B10"/>
    <w:rsid w:val="00120E20"/>
    <w:rsid w:val="001214D9"/>
    <w:rsid w:val="00121EE6"/>
    <w:rsid w:val="00122151"/>
    <w:rsid w:val="0012238D"/>
    <w:rsid w:val="00122832"/>
    <w:rsid w:val="00122963"/>
    <w:rsid w:val="001229E7"/>
    <w:rsid w:val="00122AB9"/>
    <w:rsid w:val="00122B2D"/>
    <w:rsid w:val="00122E60"/>
    <w:rsid w:val="0012319F"/>
    <w:rsid w:val="001238C9"/>
    <w:rsid w:val="001239C8"/>
    <w:rsid w:val="00123C02"/>
    <w:rsid w:val="00123C75"/>
    <w:rsid w:val="00123E44"/>
    <w:rsid w:val="00123EB2"/>
    <w:rsid w:val="001247AD"/>
    <w:rsid w:val="001249EF"/>
    <w:rsid w:val="00124C80"/>
    <w:rsid w:val="0012572E"/>
    <w:rsid w:val="00125A56"/>
    <w:rsid w:val="00125A5D"/>
    <w:rsid w:val="00125B2E"/>
    <w:rsid w:val="00126617"/>
    <w:rsid w:val="00126EA8"/>
    <w:rsid w:val="001272A5"/>
    <w:rsid w:val="00127819"/>
    <w:rsid w:val="001301E3"/>
    <w:rsid w:val="00130418"/>
    <w:rsid w:val="0013052A"/>
    <w:rsid w:val="00130B85"/>
    <w:rsid w:val="0013164E"/>
    <w:rsid w:val="00131BC0"/>
    <w:rsid w:val="00133B9A"/>
    <w:rsid w:val="00133BF1"/>
    <w:rsid w:val="001346C4"/>
    <w:rsid w:val="00134778"/>
    <w:rsid w:val="00134975"/>
    <w:rsid w:val="00134B5D"/>
    <w:rsid w:val="00134CC7"/>
    <w:rsid w:val="00136219"/>
    <w:rsid w:val="00136F76"/>
    <w:rsid w:val="001372C4"/>
    <w:rsid w:val="001373DF"/>
    <w:rsid w:val="0013771A"/>
    <w:rsid w:val="00140225"/>
    <w:rsid w:val="00140299"/>
    <w:rsid w:val="001402C6"/>
    <w:rsid w:val="001402E2"/>
    <w:rsid w:val="001403BA"/>
    <w:rsid w:val="00140627"/>
    <w:rsid w:val="00140EB6"/>
    <w:rsid w:val="00141998"/>
    <w:rsid w:val="001419BE"/>
    <w:rsid w:val="00141B37"/>
    <w:rsid w:val="00141C2F"/>
    <w:rsid w:val="001422E7"/>
    <w:rsid w:val="00142334"/>
    <w:rsid w:val="00143018"/>
    <w:rsid w:val="00143414"/>
    <w:rsid w:val="00143F05"/>
    <w:rsid w:val="0014456B"/>
    <w:rsid w:val="00144673"/>
    <w:rsid w:val="0014472E"/>
    <w:rsid w:val="00144994"/>
    <w:rsid w:val="00144B58"/>
    <w:rsid w:val="00144C62"/>
    <w:rsid w:val="00144F8E"/>
    <w:rsid w:val="00145860"/>
    <w:rsid w:val="00145C2B"/>
    <w:rsid w:val="00146470"/>
    <w:rsid w:val="001469B0"/>
    <w:rsid w:val="001469C3"/>
    <w:rsid w:val="00146F01"/>
    <w:rsid w:val="00147458"/>
    <w:rsid w:val="001477D4"/>
    <w:rsid w:val="00147853"/>
    <w:rsid w:val="00147A8F"/>
    <w:rsid w:val="00150503"/>
    <w:rsid w:val="00150836"/>
    <w:rsid w:val="00150881"/>
    <w:rsid w:val="00150956"/>
    <w:rsid w:val="00150F54"/>
    <w:rsid w:val="00150F9D"/>
    <w:rsid w:val="001514D6"/>
    <w:rsid w:val="00151C41"/>
    <w:rsid w:val="00151C56"/>
    <w:rsid w:val="00153075"/>
    <w:rsid w:val="00153FAC"/>
    <w:rsid w:val="00155D56"/>
    <w:rsid w:val="00155FDB"/>
    <w:rsid w:val="00156794"/>
    <w:rsid w:val="001567A2"/>
    <w:rsid w:val="00157606"/>
    <w:rsid w:val="00157DA7"/>
    <w:rsid w:val="00157DC7"/>
    <w:rsid w:val="00160058"/>
    <w:rsid w:val="00160C67"/>
    <w:rsid w:val="0016142F"/>
    <w:rsid w:val="0016237D"/>
    <w:rsid w:val="001629CE"/>
    <w:rsid w:val="0016344B"/>
    <w:rsid w:val="00163984"/>
    <w:rsid w:val="00163C8B"/>
    <w:rsid w:val="00164158"/>
    <w:rsid w:val="001646B2"/>
    <w:rsid w:val="00164D05"/>
    <w:rsid w:val="00164D17"/>
    <w:rsid w:val="0016527C"/>
    <w:rsid w:val="00165395"/>
    <w:rsid w:val="00165EFE"/>
    <w:rsid w:val="00166008"/>
    <w:rsid w:val="00166884"/>
    <w:rsid w:val="00166939"/>
    <w:rsid w:val="00166E30"/>
    <w:rsid w:val="00167464"/>
    <w:rsid w:val="00167755"/>
    <w:rsid w:val="0017013E"/>
    <w:rsid w:val="00170474"/>
    <w:rsid w:val="00170E2B"/>
    <w:rsid w:val="0017142B"/>
    <w:rsid w:val="00171903"/>
    <w:rsid w:val="00171ADF"/>
    <w:rsid w:val="00171D81"/>
    <w:rsid w:val="00172227"/>
    <w:rsid w:val="00172AA8"/>
    <w:rsid w:val="00172AC3"/>
    <w:rsid w:val="001734B8"/>
    <w:rsid w:val="001735DB"/>
    <w:rsid w:val="00173806"/>
    <w:rsid w:val="001747ED"/>
    <w:rsid w:val="001751F6"/>
    <w:rsid w:val="0017527B"/>
    <w:rsid w:val="00175381"/>
    <w:rsid w:val="0017567C"/>
    <w:rsid w:val="00175C99"/>
    <w:rsid w:val="00175CFE"/>
    <w:rsid w:val="00175D71"/>
    <w:rsid w:val="001766AE"/>
    <w:rsid w:val="001769BA"/>
    <w:rsid w:val="00176CF6"/>
    <w:rsid w:val="00176F39"/>
    <w:rsid w:val="00177F93"/>
    <w:rsid w:val="001810A1"/>
    <w:rsid w:val="00181C5E"/>
    <w:rsid w:val="0018293C"/>
    <w:rsid w:val="00182F30"/>
    <w:rsid w:val="00183DE2"/>
    <w:rsid w:val="001849AD"/>
    <w:rsid w:val="00184B31"/>
    <w:rsid w:val="00185277"/>
    <w:rsid w:val="001856EE"/>
    <w:rsid w:val="0018586C"/>
    <w:rsid w:val="001859B6"/>
    <w:rsid w:val="00185FE1"/>
    <w:rsid w:val="00185FEE"/>
    <w:rsid w:val="00186B6F"/>
    <w:rsid w:val="00186DA9"/>
    <w:rsid w:val="00187D87"/>
    <w:rsid w:val="00187E11"/>
    <w:rsid w:val="0019188C"/>
    <w:rsid w:val="001919CF"/>
    <w:rsid w:val="0019203F"/>
    <w:rsid w:val="001923A4"/>
    <w:rsid w:val="00192529"/>
    <w:rsid w:val="00192A12"/>
    <w:rsid w:val="00192CF1"/>
    <w:rsid w:val="00192E66"/>
    <w:rsid w:val="00192EAA"/>
    <w:rsid w:val="00193173"/>
    <w:rsid w:val="0019335C"/>
    <w:rsid w:val="001935BF"/>
    <w:rsid w:val="001936DF"/>
    <w:rsid w:val="0019463F"/>
    <w:rsid w:val="001947AB"/>
    <w:rsid w:val="00194AD9"/>
    <w:rsid w:val="00195276"/>
    <w:rsid w:val="001955C7"/>
    <w:rsid w:val="00195707"/>
    <w:rsid w:val="00195CAA"/>
    <w:rsid w:val="0019760F"/>
    <w:rsid w:val="00197E52"/>
    <w:rsid w:val="001A011D"/>
    <w:rsid w:val="001A04A3"/>
    <w:rsid w:val="001A06E1"/>
    <w:rsid w:val="001A09F2"/>
    <w:rsid w:val="001A0ABF"/>
    <w:rsid w:val="001A1208"/>
    <w:rsid w:val="001A14A5"/>
    <w:rsid w:val="001A1912"/>
    <w:rsid w:val="001A213B"/>
    <w:rsid w:val="001A274A"/>
    <w:rsid w:val="001A289B"/>
    <w:rsid w:val="001A2D23"/>
    <w:rsid w:val="001A379E"/>
    <w:rsid w:val="001A3D9D"/>
    <w:rsid w:val="001A456F"/>
    <w:rsid w:val="001A45ED"/>
    <w:rsid w:val="001A48C8"/>
    <w:rsid w:val="001A4DD8"/>
    <w:rsid w:val="001A5037"/>
    <w:rsid w:val="001A51FA"/>
    <w:rsid w:val="001A52CD"/>
    <w:rsid w:val="001A5301"/>
    <w:rsid w:val="001A5314"/>
    <w:rsid w:val="001A5334"/>
    <w:rsid w:val="001A540C"/>
    <w:rsid w:val="001A5A33"/>
    <w:rsid w:val="001A5B4F"/>
    <w:rsid w:val="001A6382"/>
    <w:rsid w:val="001A67A8"/>
    <w:rsid w:val="001A73D2"/>
    <w:rsid w:val="001A7EE0"/>
    <w:rsid w:val="001B017F"/>
    <w:rsid w:val="001B0DD0"/>
    <w:rsid w:val="001B1198"/>
    <w:rsid w:val="001B1265"/>
    <w:rsid w:val="001B1D9E"/>
    <w:rsid w:val="001B26BC"/>
    <w:rsid w:val="001B2740"/>
    <w:rsid w:val="001B3341"/>
    <w:rsid w:val="001B3D61"/>
    <w:rsid w:val="001B537D"/>
    <w:rsid w:val="001B6690"/>
    <w:rsid w:val="001C05D6"/>
    <w:rsid w:val="001C1918"/>
    <w:rsid w:val="001C2138"/>
    <w:rsid w:val="001C24D1"/>
    <w:rsid w:val="001C3859"/>
    <w:rsid w:val="001C3C58"/>
    <w:rsid w:val="001C4EAA"/>
    <w:rsid w:val="001C52BB"/>
    <w:rsid w:val="001C538A"/>
    <w:rsid w:val="001C557B"/>
    <w:rsid w:val="001C5690"/>
    <w:rsid w:val="001C5E33"/>
    <w:rsid w:val="001C5F1F"/>
    <w:rsid w:val="001C6675"/>
    <w:rsid w:val="001C6686"/>
    <w:rsid w:val="001C6867"/>
    <w:rsid w:val="001C7248"/>
    <w:rsid w:val="001C72D5"/>
    <w:rsid w:val="001C7A10"/>
    <w:rsid w:val="001C7B05"/>
    <w:rsid w:val="001D000E"/>
    <w:rsid w:val="001D0037"/>
    <w:rsid w:val="001D04B8"/>
    <w:rsid w:val="001D073A"/>
    <w:rsid w:val="001D127D"/>
    <w:rsid w:val="001D18A4"/>
    <w:rsid w:val="001D18C7"/>
    <w:rsid w:val="001D193D"/>
    <w:rsid w:val="001D271D"/>
    <w:rsid w:val="001D2BA2"/>
    <w:rsid w:val="001D3A32"/>
    <w:rsid w:val="001D3C74"/>
    <w:rsid w:val="001D4429"/>
    <w:rsid w:val="001D4571"/>
    <w:rsid w:val="001D4632"/>
    <w:rsid w:val="001D4C89"/>
    <w:rsid w:val="001D504C"/>
    <w:rsid w:val="001D5807"/>
    <w:rsid w:val="001D6816"/>
    <w:rsid w:val="001D6C9D"/>
    <w:rsid w:val="001D6CDC"/>
    <w:rsid w:val="001D6EC3"/>
    <w:rsid w:val="001D79D5"/>
    <w:rsid w:val="001D7C34"/>
    <w:rsid w:val="001E06BE"/>
    <w:rsid w:val="001E0A2C"/>
    <w:rsid w:val="001E1407"/>
    <w:rsid w:val="001E151F"/>
    <w:rsid w:val="001E1842"/>
    <w:rsid w:val="001E1FE5"/>
    <w:rsid w:val="001E1FEB"/>
    <w:rsid w:val="001E2526"/>
    <w:rsid w:val="001E29FD"/>
    <w:rsid w:val="001E2BC1"/>
    <w:rsid w:val="001E2D0F"/>
    <w:rsid w:val="001E35B6"/>
    <w:rsid w:val="001E3EF3"/>
    <w:rsid w:val="001E4413"/>
    <w:rsid w:val="001E45AA"/>
    <w:rsid w:val="001E4896"/>
    <w:rsid w:val="001E49DA"/>
    <w:rsid w:val="001E4DC8"/>
    <w:rsid w:val="001E5249"/>
    <w:rsid w:val="001E5A47"/>
    <w:rsid w:val="001E6F54"/>
    <w:rsid w:val="001E70D0"/>
    <w:rsid w:val="001E75EC"/>
    <w:rsid w:val="001E77C5"/>
    <w:rsid w:val="001E77CB"/>
    <w:rsid w:val="001E7E5B"/>
    <w:rsid w:val="001E7F3C"/>
    <w:rsid w:val="001F04DA"/>
    <w:rsid w:val="001F04F3"/>
    <w:rsid w:val="001F065F"/>
    <w:rsid w:val="001F0F6A"/>
    <w:rsid w:val="001F1491"/>
    <w:rsid w:val="001F1B04"/>
    <w:rsid w:val="001F3018"/>
    <w:rsid w:val="001F329B"/>
    <w:rsid w:val="001F37DA"/>
    <w:rsid w:val="001F3912"/>
    <w:rsid w:val="001F409A"/>
    <w:rsid w:val="001F4735"/>
    <w:rsid w:val="001F490B"/>
    <w:rsid w:val="001F4F6A"/>
    <w:rsid w:val="001F554C"/>
    <w:rsid w:val="001F5AD9"/>
    <w:rsid w:val="001F5F33"/>
    <w:rsid w:val="001F5F3B"/>
    <w:rsid w:val="001F680D"/>
    <w:rsid w:val="001F6D45"/>
    <w:rsid w:val="001F707A"/>
    <w:rsid w:val="001F747C"/>
    <w:rsid w:val="001F7EC8"/>
    <w:rsid w:val="002005BB"/>
    <w:rsid w:val="002015A7"/>
    <w:rsid w:val="0020213B"/>
    <w:rsid w:val="00202158"/>
    <w:rsid w:val="002024CB"/>
    <w:rsid w:val="002029E2"/>
    <w:rsid w:val="00203081"/>
    <w:rsid w:val="002035D0"/>
    <w:rsid w:val="00203726"/>
    <w:rsid w:val="00203775"/>
    <w:rsid w:val="002039DA"/>
    <w:rsid w:val="00203E39"/>
    <w:rsid w:val="00203E76"/>
    <w:rsid w:val="002044A8"/>
    <w:rsid w:val="00204BD8"/>
    <w:rsid w:val="0020539A"/>
    <w:rsid w:val="00205498"/>
    <w:rsid w:val="00205884"/>
    <w:rsid w:val="00205B2C"/>
    <w:rsid w:val="00206A77"/>
    <w:rsid w:val="00206A97"/>
    <w:rsid w:val="00206DC8"/>
    <w:rsid w:val="00207883"/>
    <w:rsid w:val="00207990"/>
    <w:rsid w:val="00207B7B"/>
    <w:rsid w:val="00211C64"/>
    <w:rsid w:val="00212218"/>
    <w:rsid w:val="00212AF9"/>
    <w:rsid w:val="00215079"/>
    <w:rsid w:val="00215928"/>
    <w:rsid w:val="00215C77"/>
    <w:rsid w:val="00215C8E"/>
    <w:rsid w:val="002164ED"/>
    <w:rsid w:val="00216590"/>
    <w:rsid w:val="00216638"/>
    <w:rsid w:val="002168A3"/>
    <w:rsid w:val="00216A34"/>
    <w:rsid w:val="0021747E"/>
    <w:rsid w:val="00220456"/>
    <w:rsid w:val="002204F3"/>
    <w:rsid w:val="00220D75"/>
    <w:rsid w:val="00220F0D"/>
    <w:rsid w:val="00220FF2"/>
    <w:rsid w:val="00221D3B"/>
    <w:rsid w:val="00222076"/>
    <w:rsid w:val="0022242C"/>
    <w:rsid w:val="00222A67"/>
    <w:rsid w:val="002233A5"/>
    <w:rsid w:val="0022342D"/>
    <w:rsid w:val="002234ED"/>
    <w:rsid w:val="00223A9F"/>
    <w:rsid w:val="00224585"/>
    <w:rsid w:val="0022480C"/>
    <w:rsid w:val="00224BA9"/>
    <w:rsid w:val="00224D4E"/>
    <w:rsid w:val="00224FBF"/>
    <w:rsid w:val="0022543E"/>
    <w:rsid w:val="0022545C"/>
    <w:rsid w:val="002257DD"/>
    <w:rsid w:val="00225B9D"/>
    <w:rsid w:val="00225CB0"/>
    <w:rsid w:val="00226031"/>
    <w:rsid w:val="00226621"/>
    <w:rsid w:val="00226778"/>
    <w:rsid w:val="00226841"/>
    <w:rsid w:val="00226EE8"/>
    <w:rsid w:val="00227DF0"/>
    <w:rsid w:val="002309ED"/>
    <w:rsid w:val="0023121E"/>
    <w:rsid w:val="0023152C"/>
    <w:rsid w:val="002331A7"/>
    <w:rsid w:val="002334E8"/>
    <w:rsid w:val="00233B27"/>
    <w:rsid w:val="00233D0A"/>
    <w:rsid w:val="002340D6"/>
    <w:rsid w:val="00234361"/>
    <w:rsid w:val="00234537"/>
    <w:rsid w:val="0023466D"/>
    <w:rsid w:val="002348BC"/>
    <w:rsid w:val="00234C54"/>
    <w:rsid w:val="00235433"/>
    <w:rsid w:val="00235514"/>
    <w:rsid w:val="00235780"/>
    <w:rsid w:val="00235930"/>
    <w:rsid w:val="00235ADC"/>
    <w:rsid w:val="0023668A"/>
    <w:rsid w:val="00236A0C"/>
    <w:rsid w:val="0023705C"/>
    <w:rsid w:val="002371FE"/>
    <w:rsid w:val="00237268"/>
    <w:rsid w:val="002410C2"/>
    <w:rsid w:val="00241B0B"/>
    <w:rsid w:val="00242252"/>
    <w:rsid w:val="0024229B"/>
    <w:rsid w:val="00242703"/>
    <w:rsid w:val="00242C36"/>
    <w:rsid w:val="00242D57"/>
    <w:rsid w:val="0024339D"/>
    <w:rsid w:val="00243440"/>
    <w:rsid w:val="002436F1"/>
    <w:rsid w:val="002437C7"/>
    <w:rsid w:val="002441F8"/>
    <w:rsid w:val="0024473C"/>
    <w:rsid w:val="00244AD3"/>
    <w:rsid w:val="00244B49"/>
    <w:rsid w:val="00244EDF"/>
    <w:rsid w:val="002450E2"/>
    <w:rsid w:val="00245122"/>
    <w:rsid w:val="00245450"/>
    <w:rsid w:val="00245D2C"/>
    <w:rsid w:val="00246678"/>
    <w:rsid w:val="00246C2C"/>
    <w:rsid w:val="00246DE8"/>
    <w:rsid w:val="00246F4C"/>
    <w:rsid w:val="00246F7B"/>
    <w:rsid w:val="00246FD9"/>
    <w:rsid w:val="0024780D"/>
    <w:rsid w:val="0024792A"/>
    <w:rsid w:val="00247ED7"/>
    <w:rsid w:val="00247FCD"/>
    <w:rsid w:val="002500A1"/>
    <w:rsid w:val="00250478"/>
    <w:rsid w:val="00250906"/>
    <w:rsid w:val="00250C64"/>
    <w:rsid w:val="0025173C"/>
    <w:rsid w:val="00251D4B"/>
    <w:rsid w:val="0025249B"/>
    <w:rsid w:val="00252DDE"/>
    <w:rsid w:val="00252E13"/>
    <w:rsid w:val="00253C18"/>
    <w:rsid w:val="00253E92"/>
    <w:rsid w:val="0025408F"/>
    <w:rsid w:val="002547F4"/>
    <w:rsid w:val="00254900"/>
    <w:rsid w:val="00254C08"/>
    <w:rsid w:val="00254CE3"/>
    <w:rsid w:val="00254E36"/>
    <w:rsid w:val="002554F9"/>
    <w:rsid w:val="0025561F"/>
    <w:rsid w:val="00255BC5"/>
    <w:rsid w:val="00256599"/>
    <w:rsid w:val="00257211"/>
    <w:rsid w:val="002576AB"/>
    <w:rsid w:val="00257827"/>
    <w:rsid w:val="0026028A"/>
    <w:rsid w:val="0026042A"/>
    <w:rsid w:val="00260715"/>
    <w:rsid w:val="00260B5C"/>
    <w:rsid w:val="00260F65"/>
    <w:rsid w:val="002611AF"/>
    <w:rsid w:val="0026199D"/>
    <w:rsid w:val="00262838"/>
    <w:rsid w:val="002629CE"/>
    <w:rsid w:val="00262A25"/>
    <w:rsid w:val="00262F5A"/>
    <w:rsid w:val="0026366C"/>
    <w:rsid w:val="002636EA"/>
    <w:rsid w:val="00263B40"/>
    <w:rsid w:val="00263CB7"/>
    <w:rsid w:val="00264137"/>
    <w:rsid w:val="00264B01"/>
    <w:rsid w:val="002653B9"/>
    <w:rsid w:val="0026550A"/>
    <w:rsid w:val="00265EA9"/>
    <w:rsid w:val="0026638F"/>
    <w:rsid w:val="002669AA"/>
    <w:rsid w:val="00266BB8"/>
    <w:rsid w:val="00266DAD"/>
    <w:rsid w:val="00267E03"/>
    <w:rsid w:val="00270064"/>
    <w:rsid w:val="00270A3D"/>
    <w:rsid w:val="002718D4"/>
    <w:rsid w:val="002725E7"/>
    <w:rsid w:val="00272660"/>
    <w:rsid w:val="002727ED"/>
    <w:rsid w:val="00272CD1"/>
    <w:rsid w:val="00272FF6"/>
    <w:rsid w:val="0027437A"/>
    <w:rsid w:val="00275084"/>
    <w:rsid w:val="002754C9"/>
    <w:rsid w:val="002754EC"/>
    <w:rsid w:val="00275D4D"/>
    <w:rsid w:val="00275E14"/>
    <w:rsid w:val="00275F50"/>
    <w:rsid w:val="0027705C"/>
    <w:rsid w:val="00277302"/>
    <w:rsid w:val="0028042D"/>
    <w:rsid w:val="00280642"/>
    <w:rsid w:val="00280EC7"/>
    <w:rsid w:val="00280EDB"/>
    <w:rsid w:val="00281362"/>
    <w:rsid w:val="0028230F"/>
    <w:rsid w:val="00282770"/>
    <w:rsid w:val="00282887"/>
    <w:rsid w:val="00282E42"/>
    <w:rsid w:val="00282FD3"/>
    <w:rsid w:val="002838C8"/>
    <w:rsid w:val="00284502"/>
    <w:rsid w:val="002845D9"/>
    <w:rsid w:val="0028595D"/>
    <w:rsid w:val="0028602E"/>
    <w:rsid w:val="002868C6"/>
    <w:rsid w:val="00286EFE"/>
    <w:rsid w:val="00287094"/>
    <w:rsid w:val="002871DF"/>
    <w:rsid w:val="00287559"/>
    <w:rsid w:val="00287D7E"/>
    <w:rsid w:val="002903B6"/>
    <w:rsid w:val="00290A31"/>
    <w:rsid w:val="00290AF5"/>
    <w:rsid w:val="00290DA7"/>
    <w:rsid w:val="002921B8"/>
    <w:rsid w:val="002923A7"/>
    <w:rsid w:val="00292514"/>
    <w:rsid w:val="00292BF5"/>
    <w:rsid w:val="00292EA8"/>
    <w:rsid w:val="002930CD"/>
    <w:rsid w:val="002931E2"/>
    <w:rsid w:val="0029454F"/>
    <w:rsid w:val="00294D45"/>
    <w:rsid w:val="00294E01"/>
    <w:rsid w:val="0029561C"/>
    <w:rsid w:val="0029575C"/>
    <w:rsid w:val="00295A74"/>
    <w:rsid w:val="00295D34"/>
    <w:rsid w:val="002960CD"/>
    <w:rsid w:val="00296B7D"/>
    <w:rsid w:val="002971FE"/>
    <w:rsid w:val="00297C7F"/>
    <w:rsid w:val="00297DD4"/>
    <w:rsid w:val="002A0FF1"/>
    <w:rsid w:val="002A1134"/>
    <w:rsid w:val="002A11D3"/>
    <w:rsid w:val="002A1D23"/>
    <w:rsid w:val="002A1E4D"/>
    <w:rsid w:val="002A265A"/>
    <w:rsid w:val="002A2973"/>
    <w:rsid w:val="002A3689"/>
    <w:rsid w:val="002A4950"/>
    <w:rsid w:val="002A4BCC"/>
    <w:rsid w:val="002A53E7"/>
    <w:rsid w:val="002A5907"/>
    <w:rsid w:val="002A5A43"/>
    <w:rsid w:val="002A6C49"/>
    <w:rsid w:val="002A6D00"/>
    <w:rsid w:val="002A70E5"/>
    <w:rsid w:val="002A7251"/>
    <w:rsid w:val="002A7490"/>
    <w:rsid w:val="002A7A41"/>
    <w:rsid w:val="002A7BD7"/>
    <w:rsid w:val="002A7F34"/>
    <w:rsid w:val="002B0122"/>
    <w:rsid w:val="002B09A9"/>
    <w:rsid w:val="002B13EA"/>
    <w:rsid w:val="002B1ADF"/>
    <w:rsid w:val="002B1C12"/>
    <w:rsid w:val="002B1E08"/>
    <w:rsid w:val="002B22DE"/>
    <w:rsid w:val="002B28C0"/>
    <w:rsid w:val="002B2F7B"/>
    <w:rsid w:val="002B3B79"/>
    <w:rsid w:val="002B3D17"/>
    <w:rsid w:val="002B4210"/>
    <w:rsid w:val="002B42A9"/>
    <w:rsid w:val="002B44FD"/>
    <w:rsid w:val="002B4639"/>
    <w:rsid w:val="002B5157"/>
    <w:rsid w:val="002B5D0A"/>
    <w:rsid w:val="002B6007"/>
    <w:rsid w:val="002B6687"/>
    <w:rsid w:val="002B675D"/>
    <w:rsid w:val="002B6836"/>
    <w:rsid w:val="002B690E"/>
    <w:rsid w:val="002B6947"/>
    <w:rsid w:val="002B69B4"/>
    <w:rsid w:val="002B6C73"/>
    <w:rsid w:val="002B78EA"/>
    <w:rsid w:val="002B7AC2"/>
    <w:rsid w:val="002C04DB"/>
    <w:rsid w:val="002C0AB6"/>
    <w:rsid w:val="002C0C71"/>
    <w:rsid w:val="002C1289"/>
    <w:rsid w:val="002C1438"/>
    <w:rsid w:val="002C1FCD"/>
    <w:rsid w:val="002C2DD9"/>
    <w:rsid w:val="002C38C7"/>
    <w:rsid w:val="002C3B7F"/>
    <w:rsid w:val="002C4906"/>
    <w:rsid w:val="002C49AF"/>
    <w:rsid w:val="002C4FE8"/>
    <w:rsid w:val="002C6198"/>
    <w:rsid w:val="002C6619"/>
    <w:rsid w:val="002C6E34"/>
    <w:rsid w:val="002C7B36"/>
    <w:rsid w:val="002C7E05"/>
    <w:rsid w:val="002D0193"/>
    <w:rsid w:val="002D021A"/>
    <w:rsid w:val="002D04F8"/>
    <w:rsid w:val="002D0E81"/>
    <w:rsid w:val="002D0FDC"/>
    <w:rsid w:val="002D2A5D"/>
    <w:rsid w:val="002D2E98"/>
    <w:rsid w:val="002D3556"/>
    <w:rsid w:val="002D4FD8"/>
    <w:rsid w:val="002D4FE9"/>
    <w:rsid w:val="002D5139"/>
    <w:rsid w:val="002D517D"/>
    <w:rsid w:val="002D5240"/>
    <w:rsid w:val="002D5352"/>
    <w:rsid w:val="002D53BB"/>
    <w:rsid w:val="002D54F6"/>
    <w:rsid w:val="002D57C3"/>
    <w:rsid w:val="002D5AA4"/>
    <w:rsid w:val="002D5D07"/>
    <w:rsid w:val="002D625A"/>
    <w:rsid w:val="002D665B"/>
    <w:rsid w:val="002D7A73"/>
    <w:rsid w:val="002D7F7F"/>
    <w:rsid w:val="002E14A6"/>
    <w:rsid w:val="002E14D2"/>
    <w:rsid w:val="002E2898"/>
    <w:rsid w:val="002E2FD9"/>
    <w:rsid w:val="002E32EF"/>
    <w:rsid w:val="002E35DD"/>
    <w:rsid w:val="002E395F"/>
    <w:rsid w:val="002E3C66"/>
    <w:rsid w:val="002E3F60"/>
    <w:rsid w:val="002E4110"/>
    <w:rsid w:val="002E4161"/>
    <w:rsid w:val="002E4288"/>
    <w:rsid w:val="002E534B"/>
    <w:rsid w:val="002E5599"/>
    <w:rsid w:val="002E55E8"/>
    <w:rsid w:val="002E568A"/>
    <w:rsid w:val="002E56A9"/>
    <w:rsid w:val="002E63DE"/>
    <w:rsid w:val="002E655A"/>
    <w:rsid w:val="002E6DF9"/>
    <w:rsid w:val="002E7005"/>
    <w:rsid w:val="002E7397"/>
    <w:rsid w:val="002E7519"/>
    <w:rsid w:val="002E7659"/>
    <w:rsid w:val="002E7B33"/>
    <w:rsid w:val="002E7E75"/>
    <w:rsid w:val="002F069E"/>
    <w:rsid w:val="002F1113"/>
    <w:rsid w:val="002F20C6"/>
    <w:rsid w:val="002F20F8"/>
    <w:rsid w:val="002F2270"/>
    <w:rsid w:val="002F4566"/>
    <w:rsid w:val="002F492A"/>
    <w:rsid w:val="002F5930"/>
    <w:rsid w:val="002F5B5B"/>
    <w:rsid w:val="002F6194"/>
    <w:rsid w:val="002F6DEA"/>
    <w:rsid w:val="002F7506"/>
    <w:rsid w:val="002F7E6B"/>
    <w:rsid w:val="00300C56"/>
    <w:rsid w:val="00301217"/>
    <w:rsid w:val="00301A7F"/>
    <w:rsid w:val="00301C1E"/>
    <w:rsid w:val="00301FD9"/>
    <w:rsid w:val="00302098"/>
    <w:rsid w:val="00302487"/>
    <w:rsid w:val="00302936"/>
    <w:rsid w:val="00303058"/>
    <w:rsid w:val="00303296"/>
    <w:rsid w:val="0030367E"/>
    <w:rsid w:val="00303D74"/>
    <w:rsid w:val="003047BF"/>
    <w:rsid w:val="00305F66"/>
    <w:rsid w:val="00306566"/>
    <w:rsid w:val="003065CF"/>
    <w:rsid w:val="00306D32"/>
    <w:rsid w:val="00306F46"/>
    <w:rsid w:val="0030784D"/>
    <w:rsid w:val="003114E9"/>
    <w:rsid w:val="00311E8F"/>
    <w:rsid w:val="003125BC"/>
    <w:rsid w:val="00312842"/>
    <w:rsid w:val="003129E8"/>
    <w:rsid w:val="003140C6"/>
    <w:rsid w:val="0031430A"/>
    <w:rsid w:val="00314AEA"/>
    <w:rsid w:val="00314B8D"/>
    <w:rsid w:val="00315184"/>
    <w:rsid w:val="00315334"/>
    <w:rsid w:val="003157E7"/>
    <w:rsid w:val="00316570"/>
    <w:rsid w:val="00316C42"/>
    <w:rsid w:val="00317495"/>
    <w:rsid w:val="00317EF4"/>
    <w:rsid w:val="0032016E"/>
    <w:rsid w:val="0032030F"/>
    <w:rsid w:val="0032086C"/>
    <w:rsid w:val="00321433"/>
    <w:rsid w:val="003219F4"/>
    <w:rsid w:val="00321A9A"/>
    <w:rsid w:val="00321E5E"/>
    <w:rsid w:val="00321F92"/>
    <w:rsid w:val="00322492"/>
    <w:rsid w:val="00322BC7"/>
    <w:rsid w:val="00322D60"/>
    <w:rsid w:val="0032358C"/>
    <w:rsid w:val="00324957"/>
    <w:rsid w:val="00324C1D"/>
    <w:rsid w:val="003254A6"/>
    <w:rsid w:val="00325D41"/>
    <w:rsid w:val="00326885"/>
    <w:rsid w:val="003269C7"/>
    <w:rsid w:val="00326AE2"/>
    <w:rsid w:val="00326AEC"/>
    <w:rsid w:val="00326D4D"/>
    <w:rsid w:val="00327234"/>
    <w:rsid w:val="00327751"/>
    <w:rsid w:val="00327979"/>
    <w:rsid w:val="00330114"/>
    <w:rsid w:val="003302CE"/>
    <w:rsid w:val="00331E0E"/>
    <w:rsid w:val="003331D2"/>
    <w:rsid w:val="003332F0"/>
    <w:rsid w:val="00333BFD"/>
    <w:rsid w:val="00334D1F"/>
    <w:rsid w:val="003355EE"/>
    <w:rsid w:val="003360AA"/>
    <w:rsid w:val="00336262"/>
    <w:rsid w:val="003362E2"/>
    <w:rsid w:val="00336352"/>
    <w:rsid w:val="003363A0"/>
    <w:rsid w:val="00336712"/>
    <w:rsid w:val="0033755A"/>
    <w:rsid w:val="003375B2"/>
    <w:rsid w:val="0033760C"/>
    <w:rsid w:val="00337625"/>
    <w:rsid w:val="00337B55"/>
    <w:rsid w:val="003403B3"/>
    <w:rsid w:val="00340840"/>
    <w:rsid w:val="0034095C"/>
    <w:rsid w:val="00340D0E"/>
    <w:rsid w:val="0034133B"/>
    <w:rsid w:val="00341476"/>
    <w:rsid w:val="00341562"/>
    <w:rsid w:val="003417B5"/>
    <w:rsid w:val="00341C34"/>
    <w:rsid w:val="00342A0C"/>
    <w:rsid w:val="00342D21"/>
    <w:rsid w:val="003437E6"/>
    <w:rsid w:val="00343948"/>
    <w:rsid w:val="00343D24"/>
    <w:rsid w:val="00343D49"/>
    <w:rsid w:val="0034408B"/>
    <w:rsid w:val="003448D7"/>
    <w:rsid w:val="00344F0A"/>
    <w:rsid w:val="00345959"/>
    <w:rsid w:val="00345F09"/>
    <w:rsid w:val="00346138"/>
    <w:rsid w:val="00346652"/>
    <w:rsid w:val="00346907"/>
    <w:rsid w:val="00346FE6"/>
    <w:rsid w:val="0034731D"/>
    <w:rsid w:val="003476BB"/>
    <w:rsid w:val="00347BDC"/>
    <w:rsid w:val="003506A7"/>
    <w:rsid w:val="003510C1"/>
    <w:rsid w:val="00351174"/>
    <w:rsid w:val="00351408"/>
    <w:rsid w:val="0035148D"/>
    <w:rsid w:val="003519AC"/>
    <w:rsid w:val="00351E1D"/>
    <w:rsid w:val="003521E0"/>
    <w:rsid w:val="0035235D"/>
    <w:rsid w:val="00352CE1"/>
    <w:rsid w:val="00352E19"/>
    <w:rsid w:val="003534B9"/>
    <w:rsid w:val="00353A48"/>
    <w:rsid w:val="00354092"/>
    <w:rsid w:val="0035422A"/>
    <w:rsid w:val="00354584"/>
    <w:rsid w:val="003557F6"/>
    <w:rsid w:val="00355B61"/>
    <w:rsid w:val="00355F4B"/>
    <w:rsid w:val="00356384"/>
    <w:rsid w:val="00356A9B"/>
    <w:rsid w:val="0035739A"/>
    <w:rsid w:val="0036009D"/>
    <w:rsid w:val="0036087E"/>
    <w:rsid w:val="00360DF2"/>
    <w:rsid w:val="003611A4"/>
    <w:rsid w:val="003615A8"/>
    <w:rsid w:val="00361805"/>
    <w:rsid w:val="00361E07"/>
    <w:rsid w:val="00361EF8"/>
    <w:rsid w:val="00361F5D"/>
    <w:rsid w:val="003626D8"/>
    <w:rsid w:val="00362DA0"/>
    <w:rsid w:val="00362EAB"/>
    <w:rsid w:val="00362EEA"/>
    <w:rsid w:val="003630AC"/>
    <w:rsid w:val="00363492"/>
    <w:rsid w:val="0036360B"/>
    <w:rsid w:val="00363697"/>
    <w:rsid w:val="00363A7E"/>
    <w:rsid w:val="00363B50"/>
    <w:rsid w:val="00363B6F"/>
    <w:rsid w:val="00364764"/>
    <w:rsid w:val="00364BA2"/>
    <w:rsid w:val="00366C57"/>
    <w:rsid w:val="00366FE2"/>
    <w:rsid w:val="003670CB"/>
    <w:rsid w:val="0036755F"/>
    <w:rsid w:val="0036773C"/>
    <w:rsid w:val="003678F1"/>
    <w:rsid w:val="00367AB3"/>
    <w:rsid w:val="00367D8E"/>
    <w:rsid w:val="0036CD8F"/>
    <w:rsid w:val="00370536"/>
    <w:rsid w:val="00370914"/>
    <w:rsid w:val="00370CA7"/>
    <w:rsid w:val="00371D11"/>
    <w:rsid w:val="00372360"/>
    <w:rsid w:val="00372649"/>
    <w:rsid w:val="003728C0"/>
    <w:rsid w:val="00372D5D"/>
    <w:rsid w:val="00373601"/>
    <w:rsid w:val="003737F7"/>
    <w:rsid w:val="00373B40"/>
    <w:rsid w:val="00373E46"/>
    <w:rsid w:val="00374CB9"/>
    <w:rsid w:val="00375EA9"/>
    <w:rsid w:val="00376018"/>
    <w:rsid w:val="00376977"/>
    <w:rsid w:val="00376B42"/>
    <w:rsid w:val="00376F4E"/>
    <w:rsid w:val="0037767B"/>
    <w:rsid w:val="003800A8"/>
    <w:rsid w:val="00380562"/>
    <w:rsid w:val="003807A1"/>
    <w:rsid w:val="00380AA3"/>
    <w:rsid w:val="00380D20"/>
    <w:rsid w:val="003814FC"/>
    <w:rsid w:val="00381E3D"/>
    <w:rsid w:val="00381F61"/>
    <w:rsid w:val="00382B94"/>
    <w:rsid w:val="00383085"/>
    <w:rsid w:val="003830A4"/>
    <w:rsid w:val="0038374C"/>
    <w:rsid w:val="00384445"/>
    <w:rsid w:val="0038457F"/>
    <w:rsid w:val="003846BB"/>
    <w:rsid w:val="00384924"/>
    <w:rsid w:val="00385061"/>
    <w:rsid w:val="0038597D"/>
    <w:rsid w:val="00386008"/>
    <w:rsid w:val="00386535"/>
    <w:rsid w:val="00386C7F"/>
    <w:rsid w:val="00387004"/>
    <w:rsid w:val="003876C0"/>
    <w:rsid w:val="00387C97"/>
    <w:rsid w:val="00390910"/>
    <w:rsid w:val="00390D65"/>
    <w:rsid w:val="0039151C"/>
    <w:rsid w:val="00391984"/>
    <w:rsid w:val="00391FA8"/>
    <w:rsid w:val="003924B4"/>
    <w:rsid w:val="00392520"/>
    <w:rsid w:val="003931AB"/>
    <w:rsid w:val="0039347C"/>
    <w:rsid w:val="00393F82"/>
    <w:rsid w:val="00394078"/>
    <w:rsid w:val="00394243"/>
    <w:rsid w:val="003942E2"/>
    <w:rsid w:val="003943EA"/>
    <w:rsid w:val="003945AA"/>
    <w:rsid w:val="003946F6"/>
    <w:rsid w:val="0039488E"/>
    <w:rsid w:val="00394961"/>
    <w:rsid w:val="00395582"/>
    <w:rsid w:val="00395970"/>
    <w:rsid w:val="003959D6"/>
    <w:rsid w:val="00396A35"/>
    <w:rsid w:val="00396A5C"/>
    <w:rsid w:val="003970C3"/>
    <w:rsid w:val="003975B5"/>
    <w:rsid w:val="00397722"/>
    <w:rsid w:val="0039797C"/>
    <w:rsid w:val="003A041A"/>
    <w:rsid w:val="003A0785"/>
    <w:rsid w:val="003A083A"/>
    <w:rsid w:val="003A092E"/>
    <w:rsid w:val="003A11CD"/>
    <w:rsid w:val="003A1C85"/>
    <w:rsid w:val="003A1F96"/>
    <w:rsid w:val="003A30CE"/>
    <w:rsid w:val="003A32AE"/>
    <w:rsid w:val="003A351B"/>
    <w:rsid w:val="003A3647"/>
    <w:rsid w:val="003A3FF7"/>
    <w:rsid w:val="003A428D"/>
    <w:rsid w:val="003A44C8"/>
    <w:rsid w:val="003A48E6"/>
    <w:rsid w:val="003A4D79"/>
    <w:rsid w:val="003A57A0"/>
    <w:rsid w:val="003A5AE6"/>
    <w:rsid w:val="003A5E5F"/>
    <w:rsid w:val="003A70F5"/>
    <w:rsid w:val="003A792A"/>
    <w:rsid w:val="003A7A28"/>
    <w:rsid w:val="003A7E7F"/>
    <w:rsid w:val="003B084C"/>
    <w:rsid w:val="003B197A"/>
    <w:rsid w:val="003B1CBE"/>
    <w:rsid w:val="003B1EBC"/>
    <w:rsid w:val="003B203A"/>
    <w:rsid w:val="003B20A7"/>
    <w:rsid w:val="003B26A0"/>
    <w:rsid w:val="003B2F2C"/>
    <w:rsid w:val="003B4243"/>
    <w:rsid w:val="003B56E2"/>
    <w:rsid w:val="003B578A"/>
    <w:rsid w:val="003B6485"/>
    <w:rsid w:val="003B732B"/>
    <w:rsid w:val="003B759C"/>
    <w:rsid w:val="003B76A6"/>
    <w:rsid w:val="003B78A9"/>
    <w:rsid w:val="003B7B75"/>
    <w:rsid w:val="003C0525"/>
    <w:rsid w:val="003C09B5"/>
    <w:rsid w:val="003C13A6"/>
    <w:rsid w:val="003C1C8D"/>
    <w:rsid w:val="003C25E6"/>
    <w:rsid w:val="003C2CAE"/>
    <w:rsid w:val="003C2FCF"/>
    <w:rsid w:val="003C3250"/>
    <w:rsid w:val="003C32C6"/>
    <w:rsid w:val="003C34E2"/>
    <w:rsid w:val="003C3BC4"/>
    <w:rsid w:val="003C4366"/>
    <w:rsid w:val="003C4667"/>
    <w:rsid w:val="003C4C06"/>
    <w:rsid w:val="003C4DDB"/>
    <w:rsid w:val="003C5876"/>
    <w:rsid w:val="003C5AAB"/>
    <w:rsid w:val="003C5B66"/>
    <w:rsid w:val="003C71C9"/>
    <w:rsid w:val="003D0598"/>
    <w:rsid w:val="003D06F5"/>
    <w:rsid w:val="003D0798"/>
    <w:rsid w:val="003D0925"/>
    <w:rsid w:val="003D0C7B"/>
    <w:rsid w:val="003D186F"/>
    <w:rsid w:val="003D246C"/>
    <w:rsid w:val="003D2E50"/>
    <w:rsid w:val="003D3079"/>
    <w:rsid w:val="003D340F"/>
    <w:rsid w:val="003D369D"/>
    <w:rsid w:val="003D3E5F"/>
    <w:rsid w:val="003D51BE"/>
    <w:rsid w:val="003D53C2"/>
    <w:rsid w:val="003D5BB9"/>
    <w:rsid w:val="003D7004"/>
    <w:rsid w:val="003D76A6"/>
    <w:rsid w:val="003D77D4"/>
    <w:rsid w:val="003D793D"/>
    <w:rsid w:val="003D7A2A"/>
    <w:rsid w:val="003D7C01"/>
    <w:rsid w:val="003D7C8D"/>
    <w:rsid w:val="003D7D48"/>
    <w:rsid w:val="003D7D50"/>
    <w:rsid w:val="003E0411"/>
    <w:rsid w:val="003E055B"/>
    <w:rsid w:val="003E0DBF"/>
    <w:rsid w:val="003E1318"/>
    <w:rsid w:val="003E24DD"/>
    <w:rsid w:val="003E287A"/>
    <w:rsid w:val="003E2C48"/>
    <w:rsid w:val="003E2E8C"/>
    <w:rsid w:val="003E3334"/>
    <w:rsid w:val="003E34DB"/>
    <w:rsid w:val="003E4317"/>
    <w:rsid w:val="003E43C5"/>
    <w:rsid w:val="003E4B2F"/>
    <w:rsid w:val="003E4F51"/>
    <w:rsid w:val="003E5C27"/>
    <w:rsid w:val="003E764E"/>
    <w:rsid w:val="003E7AF6"/>
    <w:rsid w:val="003F02FD"/>
    <w:rsid w:val="003F04AC"/>
    <w:rsid w:val="003F0559"/>
    <w:rsid w:val="003F0F12"/>
    <w:rsid w:val="003F1403"/>
    <w:rsid w:val="003F1562"/>
    <w:rsid w:val="003F1A12"/>
    <w:rsid w:val="003F1A7F"/>
    <w:rsid w:val="003F2695"/>
    <w:rsid w:val="003F2D18"/>
    <w:rsid w:val="003F2D6F"/>
    <w:rsid w:val="003F31D3"/>
    <w:rsid w:val="003F35F9"/>
    <w:rsid w:val="003F3908"/>
    <w:rsid w:val="003F3FA6"/>
    <w:rsid w:val="003F4269"/>
    <w:rsid w:val="003F46A1"/>
    <w:rsid w:val="003F4905"/>
    <w:rsid w:val="003F4B9B"/>
    <w:rsid w:val="003F4DD8"/>
    <w:rsid w:val="003F617C"/>
    <w:rsid w:val="003F684A"/>
    <w:rsid w:val="003F6F83"/>
    <w:rsid w:val="003F70B1"/>
    <w:rsid w:val="003F719F"/>
    <w:rsid w:val="003F7429"/>
    <w:rsid w:val="003F78BF"/>
    <w:rsid w:val="003F7A66"/>
    <w:rsid w:val="003F7B7D"/>
    <w:rsid w:val="003F7F8D"/>
    <w:rsid w:val="00400804"/>
    <w:rsid w:val="00400852"/>
    <w:rsid w:val="00400F7A"/>
    <w:rsid w:val="004012B5"/>
    <w:rsid w:val="00401475"/>
    <w:rsid w:val="004016EE"/>
    <w:rsid w:val="00401765"/>
    <w:rsid w:val="00401995"/>
    <w:rsid w:val="00401ADE"/>
    <w:rsid w:val="00402F98"/>
    <w:rsid w:val="00403D52"/>
    <w:rsid w:val="00403EF4"/>
    <w:rsid w:val="004044AF"/>
    <w:rsid w:val="00404BDD"/>
    <w:rsid w:val="00404DC5"/>
    <w:rsid w:val="00404F12"/>
    <w:rsid w:val="00404FC3"/>
    <w:rsid w:val="004050D9"/>
    <w:rsid w:val="004052E9"/>
    <w:rsid w:val="00405349"/>
    <w:rsid w:val="004056FF"/>
    <w:rsid w:val="00405F16"/>
    <w:rsid w:val="004062F8"/>
    <w:rsid w:val="00406BDD"/>
    <w:rsid w:val="004070E2"/>
    <w:rsid w:val="004071D8"/>
    <w:rsid w:val="00407609"/>
    <w:rsid w:val="00407BEE"/>
    <w:rsid w:val="00407D14"/>
    <w:rsid w:val="004103D1"/>
    <w:rsid w:val="00410661"/>
    <w:rsid w:val="00410CC7"/>
    <w:rsid w:val="00411088"/>
    <w:rsid w:val="004116B5"/>
    <w:rsid w:val="004119A8"/>
    <w:rsid w:val="004123BE"/>
    <w:rsid w:val="004130E3"/>
    <w:rsid w:val="00413486"/>
    <w:rsid w:val="0041363F"/>
    <w:rsid w:val="00413704"/>
    <w:rsid w:val="004139F4"/>
    <w:rsid w:val="00414159"/>
    <w:rsid w:val="00414487"/>
    <w:rsid w:val="004145F9"/>
    <w:rsid w:val="0041477D"/>
    <w:rsid w:val="00414D03"/>
    <w:rsid w:val="0041597A"/>
    <w:rsid w:val="0041663F"/>
    <w:rsid w:val="00416769"/>
    <w:rsid w:val="00417016"/>
    <w:rsid w:val="004172C6"/>
    <w:rsid w:val="0041737D"/>
    <w:rsid w:val="004173D5"/>
    <w:rsid w:val="00417429"/>
    <w:rsid w:val="00417525"/>
    <w:rsid w:val="00417A54"/>
    <w:rsid w:val="004204E5"/>
    <w:rsid w:val="004205EA"/>
    <w:rsid w:val="00420C2F"/>
    <w:rsid w:val="00420E20"/>
    <w:rsid w:val="004214AA"/>
    <w:rsid w:val="0042158D"/>
    <w:rsid w:val="00421D48"/>
    <w:rsid w:val="00422558"/>
    <w:rsid w:val="004228DC"/>
    <w:rsid w:val="00422EF0"/>
    <w:rsid w:val="00423CE6"/>
    <w:rsid w:val="00424014"/>
    <w:rsid w:val="00424A83"/>
    <w:rsid w:val="004250BA"/>
    <w:rsid w:val="00426961"/>
    <w:rsid w:val="004271D9"/>
    <w:rsid w:val="00427298"/>
    <w:rsid w:val="0042788B"/>
    <w:rsid w:val="00427BCF"/>
    <w:rsid w:val="00430121"/>
    <w:rsid w:val="004301C0"/>
    <w:rsid w:val="00430D63"/>
    <w:rsid w:val="004315D4"/>
    <w:rsid w:val="00431D74"/>
    <w:rsid w:val="00432282"/>
    <w:rsid w:val="004323E6"/>
    <w:rsid w:val="0043255A"/>
    <w:rsid w:val="0043278E"/>
    <w:rsid w:val="00432A81"/>
    <w:rsid w:val="00433030"/>
    <w:rsid w:val="00433236"/>
    <w:rsid w:val="004335EF"/>
    <w:rsid w:val="00433974"/>
    <w:rsid w:val="00434C46"/>
    <w:rsid w:val="0043532D"/>
    <w:rsid w:val="00435388"/>
    <w:rsid w:val="00435A29"/>
    <w:rsid w:val="00436179"/>
    <w:rsid w:val="00436670"/>
    <w:rsid w:val="00436739"/>
    <w:rsid w:val="0043674B"/>
    <w:rsid w:val="004374FA"/>
    <w:rsid w:val="0043788C"/>
    <w:rsid w:val="00437BCE"/>
    <w:rsid w:val="00437D15"/>
    <w:rsid w:val="00440302"/>
    <w:rsid w:val="00440471"/>
    <w:rsid w:val="00440581"/>
    <w:rsid w:val="00440C98"/>
    <w:rsid w:val="00440E0D"/>
    <w:rsid w:val="00440FAE"/>
    <w:rsid w:val="0044180B"/>
    <w:rsid w:val="0044180C"/>
    <w:rsid w:val="00441D62"/>
    <w:rsid w:val="004421D4"/>
    <w:rsid w:val="00442857"/>
    <w:rsid w:val="00442D69"/>
    <w:rsid w:val="004433E3"/>
    <w:rsid w:val="00443C1B"/>
    <w:rsid w:val="00443DC1"/>
    <w:rsid w:val="00444169"/>
    <w:rsid w:val="0044422F"/>
    <w:rsid w:val="0044465B"/>
    <w:rsid w:val="00444764"/>
    <w:rsid w:val="00445986"/>
    <w:rsid w:val="00445D3F"/>
    <w:rsid w:val="00445DCD"/>
    <w:rsid w:val="00445FFB"/>
    <w:rsid w:val="0044616C"/>
    <w:rsid w:val="00446EC8"/>
    <w:rsid w:val="00447396"/>
    <w:rsid w:val="0044739A"/>
    <w:rsid w:val="0044763E"/>
    <w:rsid w:val="00447902"/>
    <w:rsid w:val="004479D5"/>
    <w:rsid w:val="00447EB6"/>
    <w:rsid w:val="004505A1"/>
    <w:rsid w:val="00450855"/>
    <w:rsid w:val="0045126E"/>
    <w:rsid w:val="00451674"/>
    <w:rsid w:val="00451E94"/>
    <w:rsid w:val="00452649"/>
    <w:rsid w:val="00453400"/>
    <w:rsid w:val="004539E6"/>
    <w:rsid w:val="0045485D"/>
    <w:rsid w:val="00454A05"/>
    <w:rsid w:val="00454D66"/>
    <w:rsid w:val="0045517E"/>
    <w:rsid w:val="004554E3"/>
    <w:rsid w:val="00456C74"/>
    <w:rsid w:val="00456D98"/>
    <w:rsid w:val="0045710F"/>
    <w:rsid w:val="004600D0"/>
    <w:rsid w:val="00460760"/>
    <w:rsid w:val="00460852"/>
    <w:rsid w:val="004619E3"/>
    <w:rsid w:val="00461EA5"/>
    <w:rsid w:val="004623CC"/>
    <w:rsid w:val="00462887"/>
    <w:rsid w:val="00462982"/>
    <w:rsid w:val="004629DF"/>
    <w:rsid w:val="004637BC"/>
    <w:rsid w:val="0046389C"/>
    <w:rsid w:val="00464052"/>
    <w:rsid w:val="004647DB"/>
    <w:rsid w:val="004648CF"/>
    <w:rsid w:val="00465705"/>
    <w:rsid w:val="00465DE2"/>
    <w:rsid w:val="00466587"/>
    <w:rsid w:val="00466B32"/>
    <w:rsid w:val="00466E53"/>
    <w:rsid w:val="004676E9"/>
    <w:rsid w:val="004679D7"/>
    <w:rsid w:val="004700D4"/>
    <w:rsid w:val="00470948"/>
    <w:rsid w:val="00470F38"/>
    <w:rsid w:val="004713E8"/>
    <w:rsid w:val="00471B96"/>
    <w:rsid w:val="004722E6"/>
    <w:rsid w:val="00472B61"/>
    <w:rsid w:val="004730BE"/>
    <w:rsid w:val="00473476"/>
    <w:rsid w:val="004736B9"/>
    <w:rsid w:val="00473F80"/>
    <w:rsid w:val="00474377"/>
    <w:rsid w:val="00474BD7"/>
    <w:rsid w:val="004757B6"/>
    <w:rsid w:val="0047592F"/>
    <w:rsid w:val="00475D84"/>
    <w:rsid w:val="004776FE"/>
    <w:rsid w:val="00480242"/>
    <w:rsid w:val="0048071C"/>
    <w:rsid w:val="00480B40"/>
    <w:rsid w:val="00480BE9"/>
    <w:rsid w:val="00480D32"/>
    <w:rsid w:val="00481670"/>
    <w:rsid w:val="0048222E"/>
    <w:rsid w:val="00482DED"/>
    <w:rsid w:val="00482EC9"/>
    <w:rsid w:val="00482F2B"/>
    <w:rsid w:val="00483039"/>
    <w:rsid w:val="00483518"/>
    <w:rsid w:val="00483EA7"/>
    <w:rsid w:val="004843FC"/>
    <w:rsid w:val="00484B2A"/>
    <w:rsid w:val="004854B6"/>
    <w:rsid w:val="004855FF"/>
    <w:rsid w:val="00485EEA"/>
    <w:rsid w:val="00485F7A"/>
    <w:rsid w:val="0048606B"/>
    <w:rsid w:val="004863A2"/>
    <w:rsid w:val="0048646D"/>
    <w:rsid w:val="00486A64"/>
    <w:rsid w:val="00487941"/>
    <w:rsid w:val="0048796E"/>
    <w:rsid w:val="004879DA"/>
    <w:rsid w:val="00487EB7"/>
    <w:rsid w:val="00487FF1"/>
    <w:rsid w:val="0049020B"/>
    <w:rsid w:val="0049027A"/>
    <w:rsid w:val="00490C11"/>
    <w:rsid w:val="0049129E"/>
    <w:rsid w:val="00491458"/>
    <w:rsid w:val="0049146A"/>
    <w:rsid w:val="00491E63"/>
    <w:rsid w:val="004926A2"/>
    <w:rsid w:val="0049340D"/>
    <w:rsid w:val="00493416"/>
    <w:rsid w:val="004938C9"/>
    <w:rsid w:val="00494258"/>
    <w:rsid w:val="0049474D"/>
    <w:rsid w:val="00494771"/>
    <w:rsid w:val="00494A02"/>
    <w:rsid w:val="00494FDE"/>
    <w:rsid w:val="004950F6"/>
    <w:rsid w:val="00495914"/>
    <w:rsid w:val="00495B9F"/>
    <w:rsid w:val="00496090"/>
    <w:rsid w:val="00496345"/>
    <w:rsid w:val="004965B8"/>
    <w:rsid w:val="004967F7"/>
    <w:rsid w:val="00496D6A"/>
    <w:rsid w:val="0049769E"/>
    <w:rsid w:val="00497C39"/>
    <w:rsid w:val="004A0803"/>
    <w:rsid w:val="004A0E47"/>
    <w:rsid w:val="004A14A2"/>
    <w:rsid w:val="004A1585"/>
    <w:rsid w:val="004A1E4A"/>
    <w:rsid w:val="004A2327"/>
    <w:rsid w:val="004A2C0E"/>
    <w:rsid w:val="004A2D51"/>
    <w:rsid w:val="004A3108"/>
    <w:rsid w:val="004A4AF1"/>
    <w:rsid w:val="004A593B"/>
    <w:rsid w:val="004A5CC9"/>
    <w:rsid w:val="004A6021"/>
    <w:rsid w:val="004A69A9"/>
    <w:rsid w:val="004A6A82"/>
    <w:rsid w:val="004A6B29"/>
    <w:rsid w:val="004A6F24"/>
    <w:rsid w:val="004A7CBB"/>
    <w:rsid w:val="004B0849"/>
    <w:rsid w:val="004B0885"/>
    <w:rsid w:val="004B096D"/>
    <w:rsid w:val="004B18B0"/>
    <w:rsid w:val="004B236D"/>
    <w:rsid w:val="004B2885"/>
    <w:rsid w:val="004B2F8A"/>
    <w:rsid w:val="004B3150"/>
    <w:rsid w:val="004B3A43"/>
    <w:rsid w:val="004B47CD"/>
    <w:rsid w:val="004B4808"/>
    <w:rsid w:val="004B48D9"/>
    <w:rsid w:val="004B4BA0"/>
    <w:rsid w:val="004B55B9"/>
    <w:rsid w:val="004B5E47"/>
    <w:rsid w:val="004B60C3"/>
    <w:rsid w:val="004B6131"/>
    <w:rsid w:val="004B6807"/>
    <w:rsid w:val="004B6AB6"/>
    <w:rsid w:val="004B6D48"/>
    <w:rsid w:val="004B6F0F"/>
    <w:rsid w:val="004B7021"/>
    <w:rsid w:val="004B7140"/>
    <w:rsid w:val="004B72E5"/>
    <w:rsid w:val="004B7427"/>
    <w:rsid w:val="004B7FAB"/>
    <w:rsid w:val="004C1169"/>
    <w:rsid w:val="004C1664"/>
    <w:rsid w:val="004C18DA"/>
    <w:rsid w:val="004C1C00"/>
    <w:rsid w:val="004C204A"/>
    <w:rsid w:val="004C231A"/>
    <w:rsid w:val="004C2F4C"/>
    <w:rsid w:val="004C2F98"/>
    <w:rsid w:val="004C3049"/>
    <w:rsid w:val="004C3187"/>
    <w:rsid w:val="004C3245"/>
    <w:rsid w:val="004C33F1"/>
    <w:rsid w:val="004C459D"/>
    <w:rsid w:val="004C46A4"/>
    <w:rsid w:val="004C4E5F"/>
    <w:rsid w:val="004C4F2D"/>
    <w:rsid w:val="004C583B"/>
    <w:rsid w:val="004C58A6"/>
    <w:rsid w:val="004C60C8"/>
    <w:rsid w:val="004C625E"/>
    <w:rsid w:val="004C64F8"/>
    <w:rsid w:val="004C738D"/>
    <w:rsid w:val="004C7803"/>
    <w:rsid w:val="004D00A0"/>
    <w:rsid w:val="004D02D1"/>
    <w:rsid w:val="004D0AC6"/>
    <w:rsid w:val="004D1058"/>
    <w:rsid w:val="004D21E7"/>
    <w:rsid w:val="004D2CBC"/>
    <w:rsid w:val="004D3426"/>
    <w:rsid w:val="004D36A3"/>
    <w:rsid w:val="004D4D6D"/>
    <w:rsid w:val="004D5BBA"/>
    <w:rsid w:val="004D5D65"/>
    <w:rsid w:val="004D5DCC"/>
    <w:rsid w:val="004D60AC"/>
    <w:rsid w:val="004D6BF1"/>
    <w:rsid w:val="004D6CCD"/>
    <w:rsid w:val="004D6E2C"/>
    <w:rsid w:val="004D77C4"/>
    <w:rsid w:val="004D7826"/>
    <w:rsid w:val="004D79E1"/>
    <w:rsid w:val="004D7B48"/>
    <w:rsid w:val="004D7B74"/>
    <w:rsid w:val="004D7CFD"/>
    <w:rsid w:val="004D7EAF"/>
    <w:rsid w:val="004E0223"/>
    <w:rsid w:val="004E062F"/>
    <w:rsid w:val="004E07CE"/>
    <w:rsid w:val="004E0964"/>
    <w:rsid w:val="004E0E9E"/>
    <w:rsid w:val="004E10A0"/>
    <w:rsid w:val="004E130D"/>
    <w:rsid w:val="004E17C3"/>
    <w:rsid w:val="004E1943"/>
    <w:rsid w:val="004E3016"/>
    <w:rsid w:val="004E330D"/>
    <w:rsid w:val="004E3440"/>
    <w:rsid w:val="004E3615"/>
    <w:rsid w:val="004E47FD"/>
    <w:rsid w:val="004E4E71"/>
    <w:rsid w:val="004E5251"/>
    <w:rsid w:val="004E5E09"/>
    <w:rsid w:val="004E5E27"/>
    <w:rsid w:val="004E5F40"/>
    <w:rsid w:val="004E6427"/>
    <w:rsid w:val="004E66DB"/>
    <w:rsid w:val="004E69E3"/>
    <w:rsid w:val="004E77B3"/>
    <w:rsid w:val="004E7E56"/>
    <w:rsid w:val="004F1346"/>
    <w:rsid w:val="004F24EF"/>
    <w:rsid w:val="004F2849"/>
    <w:rsid w:val="004F2877"/>
    <w:rsid w:val="004F2A7F"/>
    <w:rsid w:val="004F3101"/>
    <w:rsid w:val="004F3600"/>
    <w:rsid w:val="004F366E"/>
    <w:rsid w:val="004F37E2"/>
    <w:rsid w:val="004F3F9F"/>
    <w:rsid w:val="004F410F"/>
    <w:rsid w:val="004F4154"/>
    <w:rsid w:val="004F4C0A"/>
    <w:rsid w:val="004F4CF7"/>
    <w:rsid w:val="004F4F0B"/>
    <w:rsid w:val="004F5021"/>
    <w:rsid w:val="004F50A3"/>
    <w:rsid w:val="004F5ADD"/>
    <w:rsid w:val="004F65AD"/>
    <w:rsid w:val="004F6AE7"/>
    <w:rsid w:val="004F702B"/>
    <w:rsid w:val="004F7142"/>
    <w:rsid w:val="004F78E8"/>
    <w:rsid w:val="004F7FED"/>
    <w:rsid w:val="0050008F"/>
    <w:rsid w:val="00500164"/>
    <w:rsid w:val="005004C3"/>
    <w:rsid w:val="00500C52"/>
    <w:rsid w:val="00500E33"/>
    <w:rsid w:val="005015A7"/>
    <w:rsid w:val="00501A4D"/>
    <w:rsid w:val="00502067"/>
    <w:rsid w:val="00502AC6"/>
    <w:rsid w:val="00502E87"/>
    <w:rsid w:val="005038F0"/>
    <w:rsid w:val="0050427B"/>
    <w:rsid w:val="00504DD6"/>
    <w:rsid w:val="00504F1F"/>
    <w:rsid w:val="0050517A"/>
    <w:rsid w:val="00505493"/>
    <w:rsid w:val="00505A17"/>
    <w:rsid w:val="00506211"/>
    <w:rsid w:val="005063B8"/>
    <w:rsid w:val="0050655A"/>
    <w:rsid w:val="00506D86"/>
    <w:rsid w:val="0050703E"/>
    <w:rsid w:val="0050713A"/>
    <w:rsid w:val="00507565"/>
    <w:rsid w:val="00507C04"/>
    <w:rsid w:val="00510CC9"/>
    <w:rsid w:val="00511125"/>
    <w:rsid w:val="0051146C"/>
    <w:rsid w:val="00511DF4"/>
    <w:rsid w:val="005120D4"/>
    <w:rsid w:val="0051218D"/>
    <w:rsid w:val="00512436"/>
    <w:rsid w:val="00512519"/>
    <w:rsid w:val="005125B6"/>
    <w:rsid w:val="0051326C"/>
    <w:rsid w:val="00513834"/>
    <w:rsid w:val="00513CF3"/>
    <w:rsid w:val="00514A34"/>
    <w:rsid w:val="00514F24"/>
    <w:rsid w:val="00514FBD"/>
    <w:rsid w:val="00515638"/>
    <w:rsid w:val="00515B85"/>
    <w:rsid w:val="00515F25"/>
    <w:rsid w:val="0051647C"/>
    <w:rsid w:val="00516BC6"/>
    <w:rsid w:val="005172D6"/>
    <w:rsid w:val="00517709"/>
    <w:rsid w:val="00517C3A"/>
    <w:rsid w:val="00517F8B"/>
    <w:rsid w:val="005200D9"/>
    <w:rsid w:val="0052044B"/>
    <w:rsid w:val="005204E6"/>
    <w:rsid w:val="0052151A"/>
    <w:rsid w:val="005215D5"/>
    <w:rsid w:val="00522158"/>
    <w:rsid w:val="005223A2"/>
    <w:rsid w:val="005224C8"/>
    <w:rsid w:val="005225B4"/>
    <w:rsid w:val="00522D91"/>
    <w:rsid w:val="005238E5"/>
    <w:rsid w:val="005259B6"/>
    <w:rsid w:val="005262DE"/>
    <w:rsid w:val="00526BF0"/>
    <w:rsid w:val="00527E6B"/>
    <w:rsid w:val="0053131B"/>
    <w:rsid w:val="0053137A"/>
    <w:rsid w:val="00531B86"/>
    <w:rsid w:val="0053210C"/>
    <w:rsid w:val="00532574"/>
    <w:rsid w:val="005325F8"/>
    <w:rsid w:val="00532A72"/>
    <w:rsid w:val="00532E08"/>
    <w:rsid w:val="00533BBC"/>
    <w:rsid w:val="00533C67"/>
    <w:rsid w:val="00533D92"/>
    <w:rsid w:val="00534442"/>
    <w:rsid w:val="00535537"/>
    <w:rsid w:val="00535637"/>
    <w:rsid w:val="00536194"/>
    <w:rsid w:val="00536894"/>
    <w:rsid w:val="00536BD3"/>
    <w:rsid w:val="00536E6D"/>
    <w:rsid w:val="00536EE1"/>
    <w:rsid w:val="00537008"/>
    <w:rsid w:val="00537CA9"/>
    <w:rsid w:val="005404BF"/>
    <w:rsid w:val="00540C38"/>
    <w:rsid w:val="00540ECB"/>
    <w:rsid w:val="005418E7"/>
    <w:rsid w:val="00541B08"/>
    <w:rsid w:val="00542671"/>
    <w:rsid w:val="005440B0"/>
    <w:rsid w:val="00544539"/>
    <w:rsid w:val="00544945"/>
    <w:rsid w:val="005455DC"/>
    <w:rsid w:val="005455E0"/>
    <w:rsid w:val="005457FC"/>
    <w:rsid w:val="00545DDE"/>
    <w:rsid w:val="00545F24"/>
    <w:rsid w:val="005462E1"/>
    <w:rsid w:val="00546B75"/>
    <w:rsid w:val="00546DA3"/>
    <w:rsid w:val="00547B47"/>
    <w:rsid w:val="0055071F"/>
    <w:rsid w:val="00550729"/>
    <w:rsid w:val="005514B6"/>
    <w:rsid w:val="00551E69"/>
    <w:rsid w:val="00551FD4"/>
    <w:rsid w:val="00551FED"/>
    <w:rsid w:val="00552DC2"/>
    <w:rsid w:val="005533AA"/>
    <w:rsid w:val="0055360E"/>
    <w:rsid w:val="0055399A"/>
    <w:rsid w:val="0055483D"/>
    <w:rsid w:val="00554CF4"/>
    <w:rsid w:val="00554F58"/>
    <w:rsid w:val="0055563A"/>
    <w:rsid w:val="00555C8E"/>
    <w:rsid w:val="0055607D"/>
    <w:rsid w:val="00556158"/>
    <w:rsid w:val="00556AC4"/>
    <w:rsid w:val="00556AD0"/>
    <w:rsid w:val="00556C4F"/>
    <w:rsid w:val="00557905"/>
    <w:rsid w:val="00557972"/>
    <w:rsid w:val="00557C9E"/>
    <w:rsid w:val="00557CD2"/>
    <w:rsid w:val="00557F07"/>
    <w:rsid w:val="00560454"/>
    <w:rsid w:val="0056062F"/>
    <w:rsid w:val="00560E79"/>
    <w:rsid w:val="005616B7"/>
    <w:rsid w:val="0056189B"/>
    <w:rsid w:val="00561F96"/>
    <w:rsid w:val="00562011"/>
    <w:rsid w:val="00563324"/>
    <w:rsid w:val="00563688"/>
    <w:rsid w:val="005639E7"/>
    <w:rsid w:val="005639F0"/>
    <w:rsid w:val="00563ADC"/>
    <w:rsid w:val="00563DDD"/>
    <w:rsid w:val="00564505"/>
    <w:rsid w:val="005652E6"/>
    <w:rsid w:val="00566AD0"/>
    <w:rsid w:val="00566BC6"/>
    <w:rsid w:val="00566C88"/>
    <w:rsid w:val="00567099"/>
    <w:rsid w:val="00567772"/>
    <w:rsid w:val="00567EC7"/>
    <w:rsid w:val="00567F9F"/>
    <w:rsid w:val="005705AD"/>
    <w:rsid w:val="00570986"/>
    <w:rsid w:val="00570E05"/>
    <w:rsid w:val="00571B0B"/>
    <w:rsid w:val="005727DC"/>
    <w:rsid w:val="00572817"/>
    <w:rsid w:val="00572B00"/>
    <w:rsid w:val="0057311C"/>
    <w:rsid w:val="00573B70"/>
    <w:rsid w:val="00573D0A"/>
    <w:rsid w:val="0057411D"/>
    <w:rsid w:val="005746E9"/>
    <w:rsid w:val="00574CEE"/>
    <w:rsid w:val="00575458"/>
    <w:rsid w:val="0057547D"/>
    <w:rsid w:val="00575517"/>
    <w:rsid w:val="00575A73"/>
    <w:rsid w:val="00575AA8"/>
    <w:rsid w:val="00575BDF"/>
    <w:rsid w:val="00576B37"/>
    <w:rsid w:val="00576D07"/>
    <w:rsid w:val="00577CA5"/>
    <w:rsid w:val="00577CE6"/>
    <w:rsid w:val="005807E6"/>
    <w:rsid w:val="00580C0D"/>
    <w:rsid w:val="00580D6F"/>
    <w:rsid w:val="00580F24"/>
    <w:rsid w:val="00580F98"/>
    <w:rsid w:val="00581B6A"/>
    <w:rsid w:val="00581F2D"/>
    <w:rsid w:val="00582447"/>
    <w:rsid w:val="00582544"/>
    <w:rsid w:val="00582C5B"/>
    <w:rsid w:val="005839EF"/>
    <w:rsid w:val="00583B87"/>
    <w:rsid w:val="005840A4"/>
    <w:rsid w:val="005842A6"/>
    <w:rsid w:val="00584FDE"/>
    <w:rsid w:val="00585278"/>
    <w:rsid w:val="005856D8"/>
    <w:rsid w:val="00585BDB"/>
    <w:rsid w:val="005862AA"/>
    <w:rsid w:val="00586D09"/>
    <w:rsid w:val="0058725C"/>
    <w:rsid w:val="00587362"/>
    <w:rsid w:val="005875CC"/>
    <w:rsid w:val="0058760B"/>
    <w:rsid w:val="00587BBF"/>
    <w:rsid w:val="00590151"/>
    <w:rsid w:val="00590C15"/>
    <w:rsid w:val="005914FB"/>
    <w:rsid w:val="00591855"/>
    <w:rsid w:val="00592274"/>
    <w:rsid w:val="00592804"/>
    <w:rsid w:val="00593008"/>
    <w:rsid w:val="00593580"/>
    <w:rsid w:val="00593FE4"/>
    <w:rsid w:val="00594071"/>
    <w:rsid w:val="00594748"/>
    <w:rsid w:val="0059476C"/>
    <w:rsid w:val="005947F1"/>
    <w:rsid w:val="0059486F"/>
    <w:rsid w:val="00594C63"/>
    <w:rsid w:val="00595286"/>
    <w:rsid w:val="005957CE"/>
    <w:rsid w:val="00596394"/>
    <w:rsid w:val="005963BF"/>
    <w:rsid w:val="0059670A"/>
    <w:rsid w:val="00597A8B"/>
    <w:rsid w:val="005A0478"/>
    <w:rsid w:val="005A04EE"/>
    <w:rsid w:val="005A0563"/>
    <w:rsid w:val="005A0E5E"/>
    <w:rsid w:val="005A1BB7"/>
    <w:rsid w:val="005A1EE8"/>
    <w:rsid w:val="005A2A4E"/>
    <w:rsid w:val="005A2D59"/>
    <w:rsid w:val="005A2DE1"/>
    <w:rsid w:val="005A3747"/>
    <w:rsid w:val="005A44F6"/>
    <w:rsid w:val="005A46B0"/>
    <w:rsid w:val="005A48E2"/>
    <w:rsid w:val="005A4A5B"/>
    <w:rsid w:val="005A4AF8"/>
    <w:rsid w:val="005A59F7"/>
    <w:rsid w:val="005A5DF2"/>
    <w:rsid w:val="005A64AA"/>
    <w:rsid w:val="005A7B3B"/>
    <w:rsid w:val="005A7BB6"/>
    <w:rsid w:val="005B0287"/>
    <w:rsid w:val="005B04F6"/>
    <w:rsid w:val="005B1053"/>
    <w:rsid w:val="005B156C"/>
    <w:rsid w:val="005B1604"/>
    <w:rsid w:val="005B1A1D"/>
    <w:rsid w:val="005B1FF7"/>
    <w:rsid w:val="005B23E7"/>
    <w:rsid w:val="005B2606"/>
    <w:rsid w:val="005B2615"/>
    <w:rsid w:val="005B322F"/>
    <w:rsid w:val="005B3729"/>
    <w:rsid w:val="005B3BE9"/>
    <w:rsid w:val="005B471C"/>
    <w:rsid w:val="005B4C0D"/>
    <w:rsid w:val="005B56D5"/>
    <w:rsid w:val="005B6721"/>
    <w:rsid w:val="005B733C"/>
    <w:rsid w:val="005B7693"/>
    <w:rsid w:val="005B7E95"/>
    <w:rsid w:val="005C03C0"/>
    <w:rsid w:val="005C07BB"/>
    <w:rsid w:val="005C177E"/>
    <w:rsid w:val="005C1D49"/>
    <w:rsid w:val="005C1E41"/>
    <w:rsid w:val="005C1EFD"/>
    <w:rsid w:val="005C2379"/>
    <w:rsid w:val="005C242B"/>
    <w:rsid w:val="005C33BD"/>
    <w:rsid w:val="005C4168"/>
    <w:rsid w:val="005C4286"/>
    <w:rsid w:val="005C4737"/>
    <w:rsid w:val="005C48C2"/>
    <w:rsid w:val="005C5615"/>
    <w:rsid w:val="005C5C5F"/>
    <w:rsid w:val="005C68B6"/>
    <w:rsid w:val="005C773D"/>
    <w:rsid w:val="005C7783"/>
    <w:rsid w:val="005D0022"/>
    <w:rsid w:val="005D03FC"/>
    <w:rsid w:val="005D0B61"/>
    <w:rsid w:val="005D16C2"/>
    <w:rsid w:val="005D1DFE"/>
    <w:rsid w:val="005D2086"/>
    <w:rsid w:val="005D2480"/>
    <w:rsid w:val="005D2753"/>
    <w:rsid w:val="005D34C4"/>
    <w:rsid w:val="005D3571"/>
    <w:rsid w:val="005D3BDB"/>
    <w:rsid w:val="005D40B7"/>
    <w:rsid w:val="005D40C8"/>
    <w:rsid w:val="005D48E6"/>
    <w:rsid w:val="005D623E"/>
    <w:rsid w:val="005D6844"/>
    <w:rsid w:val="005D6ACB"/>
    <w:rsid w:val="005E021E"/>
    <w:rsid w:val="005E0486"/>
    <w:rsid w:val="005E126B"/>
    <w:rsid w:val="005E18A9"/>
    <w:rsid w:val="005E1C44"/>
    <w:rsid w:val="005E1D20"/>
    <w:rsid w:val="005E2A32"/>
    <w:rsid w:val="005E30DC"/>
    <w:rsid w:val="005E3103"/>
    <w:rsid w:val="005E3861"/>
    <w:rsid w:val="005E3AC8"/>
    <w:rsid w:val="005E3E06"/>
    <w:rsid w:val="005E5019"/>
    <w:rsid w:val="005E602E"/>
    <w:rsid w:val="005E614B"/>
    <w:rsid w:val="005E621E"/>
    <w:rsid w:val="005E652C"/>
    <w:rsid w:val="005E7185"/>
    <w:rsid w:val="005E72FE"/>
    <w:rsid w:val="005E76DF"/>
    <w:rsid w:val="005E76F8"/>
    <w:rsid w:val="005E785E"/>
    <w:rsid w:val="005E7A48"/>
    <w:rsid w:val="005E7AD3"/>
    <w:rsid w:val="005F13BD"/>
    <w:rsid w:val="005F15AF"/>
    <w:rsid w:val="005F197B"/>
    <w:rsid w:val="005F1A88"/>
    <w:rsid w:val="005F1F80"/>
    <w:rsid w:val="005F2064"/>
    <w:rsid w:val="005F25A1"/>
    <w:rsid w:val="005F26CA"/>
    <w:rsid w:val="005F2F84"/>
    <w:rsid w:val="005F3F4C"/>
    <w:rsid w:val="005F423E"/>
    <w:rsid w:val="005F46C5"/>
    <w:rsid w:val="005F5C04"/>
    <w:rsid w:val="005F67BC"/>
    <w:rsid w:val="005F6B50"/>
    <w:rsid w:val="005F7098"/>
    <w:rsid w:val="005F72D5"/>
    <w:rsid w:val="00600874"/>
    <w:rsid w:val="006011B1"/>
    <w:rsid w:val="00602B04"/>
    <w:rsid w:val="006031EF"/>
    <w:rsid w:val="006033F1"/>
    <w:rsid w:val="00604612"/>
    <w:rsid w:val="00604F07"/>
    <w:rsid w:val="006053DA"/>
    <w:rsid w:val="00605B09"/>
    <w:rsid w:val="00606A0D"/>
    <w:rsid w:val="006073B3"/>
    <w:rsid w:val="0061004F"/>
    <w:rsid w:val="00610307"/>
    <w:rsid w:val="0061089C"/>
    <w:rsid w:val="006115A2"/>
    <w:rsid w:val="00611875"/>
    <w:rsid w:val="00612574"/>
    <w:rsid w:val="00612E6C"/>
    <w:rsid w:val="0061324A"/>
    <w:rsid w:val="0061429E"/>
    <w:rsid w:val="00614555"/>
    <w:rsid w:val="00614698"/>
    <w:rsid w:val="00614CA4"/>
    <w:rsid w:val="00615154"/>
    <w:rsid w:val="00615964"/>
    <w:rsid w:val="00615F91"/>
    <w:rsid w:val="00616350"/>
    <w:rsid w:val="00616958"/>
    <w:rsid w:val="00616A70"/>
    <w:rsid w:val="00616CD3"/>
    <w:rsid w:val="00616DA9"/>
    <w:rsid w:val="00617101"/>
    <w:rsid w:val="00617246"/>
    <w:rsid w:val="006172FB"/>
    <w:rsid w:val="00617EE2"/>
    <w:rsid w:val="00620B78"/>
    <w:rsid w:val="00620D05"/>
    <w:rsid w:val="00621C41"/>
    <w:rsid w:val="0062212E"/>
    <w:rsid w:val="00623AD3"/>
    <w:rsid w:val="00623E48"/>
    <w:rsid w:val="00623E8A"/>
    <w:rsid w:val="0062406C"/>
    <w:rsid w:val="00624131"/>
    <w:rsid w:val="006246B3"/>
    <w:rsid w:val="00624BA9"/>
    <w:rsid w:val="006250E4"/>
    <w:rsid w:val="006261F2"/>
    <w:rsid w:val="00626211"/>
    <w:rsid w:val="006268D0"/>
    <w:rsid w:val="006269DC"/>
    <w:rsid w:val="006269FF"/>
    <w:rsid w:val="00626D3B"/>
    <w:rsid w:val="00626D89"/>
    <w:rsid w:val="00627046"/>
    <w:rsid w:val="00627541"/>
    <w:rsid w:val="00627894"/>
    <w:rsid w:val="00627CD7"/>
    <w:rsid w:val="00627E22"/>
    <w:rsid w:val="00627E43"/>
    <w:rsid w:val="00627EF2"/>
    <w:rsid w:val="00627FA8"/>
    <w:rsid w:val="00630D19"/>
    <w:rsid w:val="006315EA"/>
    <w:rsid w:val="00631802"/>
    <w:rsid w:val="00632161"/>
    <w:rsid w:val="00632B4F"/>
    <w:rsid w:val="00632DFA"/>
    <w:rsid w:val="00632E6D"/>
    <w:rsid w:val="00632E6E"/>
    <w:rsid w:val="0063348C"/>
    <w:rsid w:val="00633867"/>
    <w:rsid w:val="00633A1D"/>
    <w:rsid w:val="00633FBB"/>
    <w:rsid w:val="00634671"/>
    <w:rsid w:val="0063487D"/>
    <w:rsid w:val="00635FCA"/>
    <w:rsid w:val="0063662C"/>
    <w:rsid w:val="00637262"/>
    <w:rsid w:val="0063798C"/>
    <w:rsid w:val="00640157"/>
    <w:rsid w:val="00640AE6"/>
    <w:rsid w:val="00640B80"/>
    <w:rsid w:val="006412E9"/>
    <w:rsid w:val="006413EB"/>
    <w:rsid w:val="006418CB"/>
    <w:rsid w:val="006418D0"/>
    <w:rsid w:val="00642C07"/>
    <w:rsid w:val="00644334"/>
    <w:rsid w:val="00644457"/>
    <w:rsid w:val="00644612"/>
    <w:rsid w:val="00644C59"/>
    <w:rsid w:val="006454E3"/>
    <w:rsid w:val="00645C70"/>
    <w:rsid w:val="00645E9D"/>
    <w:rsid w:val="00646CB2"/>
    <w:rsid w:val="00646CE1"/>
    <w:rsid w:val="00647398"/>
    <w:rsid w:val="006503A8"/>
    <w:rsid w:val="0065092C"/>
    <w:rsid w:val="006509F1"/>
    <w:rsid w:val="00650AB0"/>
    <w:rsid w:val="00650EA5"/>
    <w:rsid w:val="006511B9"/>
    <w:rsid w:val="00651CC5"/>
    <w:rsid w:val="00651F64"/>
    <w:rsid w:val="006521B5"/>
    <w:rsid w:val="00653115"/>
    <w:rsid w:val="00653C0B"/>
    <w:rsid w:val="00653CD9"/>
    <w:rsid w:val="00654293"/>
    <w:rsid w:val="006544F8"/>
    <w:rsid w:val="00655342"/>
    <w:rsid w:val="006558CE"/>
    <w:rsid w:val="006566D8"/>
    <w:rsid w:val="006568B2"/>
    <w:rsid w:val="00656AEC"/>
    <w:rsid w:val="0065708E"/>
    <w:rsid w:val="006570B8"/>
    <w:rsid w:val="00657320"/>
    <w:rsid w:val="00657600"/>
    <w:rsid w:val="00657A94"/>
    <w:rsid w:val="00657F40"/>
    <w:rsid w:val="0066035F"/>
    <w:rsid w:val="00660459"/>
    <w:rsid w:val="00660DDD"/>
    <w:rsid w:val="0066183D"/>
    <w:rsid w:val="00661F70"/>
    <w:rsid w:val="00661FA3"/>
    <w:rsid w:val="00662349"/>
    <w:rsid w:val="0066252B"/>
    <w:rsid w:val="00662695"/>
    <w:rsid w:val="00662D4A"/>
    <w:rsid w:val="006631E6"/>
    <w:rsid w:val="00663501"/>
    <w:rsid w:val="00663903"/>
    <w:rsid w:val="00664338"/>
    <w:rsid w:val="00664958"/>
    <w:rsid w:val="00664C9F"/>
    <w:rsid w:val="00664D48"/>
    <w:rsid w:val="00665E9E"/>
    <w:rsid w:val="00665F06"/>
    <w:rsid w:val="00666120"/>
    <w:rsid w:val="00666214"/>
    <w:rsid w:val="006665CD"/>
    <w:rsid w:val="006669AC"/>
    <w:rsid w:val="00666A2A"/>
    <w:rsid w:val="00666D10"/>
    <w:rsid w:val="00666E35"/>
    <w:rsid w:val="0066711C"/>
    <w:rsid w:val="0066748E"/>
    <w:rsid w:val="00667A8A"/>
    <w:rsid w:val="00667F88"/>
    <w:rsid w:val="00670BAE"/>
    <w:rsid w:val="00670BCB"/>
    <w:rsid w:val="006725A8"/>
    <w:rsid w:val="00672DF8"/>
    <w:rsid w:val="00672ECB"/>
    <w:rsid w:val="00673073"/>
    <w:rsid w:val="00673094"/>
    <w:rsid w:val="00673452"/>
    <w:rsid w:val="00673C37"/>
    <w:rsid w:val="00673D6A"/>
    <w:rsid w:val="00673E9A"/>
    <w:rsid w:val="00673FF4"/>
    <w:rsid w:val="006743B1"/>
    <w:rsid w:val="00674846"/>
    <w:rsid w:val="00674D29"/>
    <w:rsid w:val="00674E1F"/>
    <w:rsid w:val="00677350"/>
    <w:rsid w:val="00677B32"/>
    <w:rsid w:val="00680720"/>
    <w:rsid w:val="00680936"/>
    <w:rsid w:val="00681B74"/>
    <w:rsid w:val="006825B8"/>
    <w:rsid w:val="0068346A"/>
    <w:rsid w:val="00683ACF"/>
    <w:rsid w:val="00684211"/>
    <w:rsid w:val="00684CCA"/>
    <w:rsid w:val="006851B8"/>
    <w:rsid w:val="00685AD5"/>
    <w:rsid w:val="00686384"/>
    <w:rsid w:val="00686A84"/>
    <w:rsid w:val="00690A18"/>
    <w:rsid w:val="00690B82"/>
    <w:rsid w:val="00691DCC"/>
    <w:rsid w:val="006924F4"/>
    <w:rsid w:val="00692B44"/>
    <w:rsid w:val="006934FE"/>
    <w:rsid w:val="00693641"/>
    <w:rsid w:val="00693CB5"/>
    <w:rsid w:val="00693CBC"/>
    <w:rsid w:val="0069450B"/>
    <w:rsid w:val="006952C6"/>
    <w:rsid w:val="0069543C"/>
    <w:rsid w:val="00695FD7"/>
    <w:rsid w:val="006963AB"/>
    <w:rsid w:val="006965E5"/>
    <w:rsid w:val="006969AE"/>
    <w:rsid w:val="00696B63"/>
    <w:rsid w:val="00696EA4"/>
    <w:rsid w:val="00697321"/>
    <w:rsid w:val="006A0A59"/>
    <w:rsid w:val="006A0EB8"/>
    <w:rsid w:val="006A0F40"/>
    <w:rsid w:val="006A11FA"/>
    <w:rsid w:val="006A143D"/>
    <w:rsid w:val="006A1862"/>
    <w:rsid w:val="006A1BAC"/>
    <w:rsid w:val="006A1BCD"/>
    <w:rsid w:val="006A2112"/>
    <w:rsid w:val="006A24C2"/>
    <w:rsid w:val="006A2583"/>
    <w:rsid w:val="006A29E9"/>
    <w:rsid w:val="006A2B32"/>
    <w:rsid w:val="006A3090"/>
    <w:rsid w:val="006A3170"/>
    <w:rsid w:val="006A3CBF"/>
    <w:rsid w:val="006A3F75"/>
    <w:rsid w:val="006A5312"/>
    <w:rsid w:val="006A56BC"/>
    <w:rsid w:val="006A5C20"/>
    <w:rsid w:val="006A5C6C"/>
    <w:rsid w:val="006A5FE1"/>
    <w:rsid w:val="006A60E2"/>
    <w:rsid w:val="006A6241"/>
    <w:rsid w:val="006A646A"/>
    <w:rsid w:val="006A65B6"/>
    <w:rsid w:val="006A6932"/>
    <w:rsid w:val="006A79AD"/>
    <w:rsid w:val="006A7A27"/>
    <w:rsid w:val="006B029A"/>
    <w:rsid w:val="006B07F5"/>
    <w:rsid w:val="006B0B33"/>
    <w:rsid w:val="006B1647"/>
    <w:rsid w:val="006B2A32"/>
    <w:rsid w:val="006B2B47"/>
    <w:rsid w:val="006B2E2D"/>
    <w:rsid w:val="006B2F89"/>
    <w:rsid w:val="006B3C96"/>
    <w:rsid w:val="006B3D0B"/>
    <w:rsid w:val="006B43C0"/>
    <w:rsid w:val="006B43CF"/>
    <w:rsid w:val="006B4481"/>
    <w:rsid w:val="006B47F8"/>
    <w:rsid w:val="006B4956"/>
    <w:rsid w:val="006B545C"/>
    <w:rsid w:val="006B60A1"/>
    <w:rsid w:val="006B655E"/>
    <w:rsid w:val="006C004D"/>
    <w:rsid w:val="006C0145"/>
    <w:rsid w:val="006C0365"/>
    <w:rsid w:val="006C090F"/>
    <w:rsid w:val="006C0B5B"/>
    <w:rsid w:val="006C0C35"/>
    <w:rsid w:val="006C0F9B"/>
    <w:rsid w:val="006C12A9"/>
    <w:rsid w:val="006C17CF"/>
    <w:rsid w:val="006C1DDE"/>
    <w:rsid w:val="006C2741"/>
    <w:rsid w:val="006C2B8C"/>
    <w:rsid w:val="006C2D01"/>
    <w:rsid w:val="006C3319"/>
    <w:rsid w:val="006C3A24"/>
    <w:rsid w:val="006C423B"/>
    <w:rsid w:val="006C555E"/>
    <w:rsid w:val="006C55FA"/>
    <w:rsid w:val="006C60F5"/>
    <w:rsid w:val="006C645C"/>
    <w:rsid w:val="006C68DD"/>
    <w:rsid w:val="006C7187"/>
    <w:rsid w:val="006D0152"/>
    <w:rsid w:val="006D02BA"/>
    <w:rsid w:val="006D124E"/>
    <w:rsid w:val="006D1686"/>
    <w:rsid w:val="006D1DE8"/>
    <w:rsid w:val="006D23D1"/>
    <w:rsid w:val="006D23F7"/>
    <w:rsid w:val="006D24A4"/>
    <w:rsid w:val="006D2A1E"/>
    <w:rsid w:val="006D2C63"/>
    <w:rsid w:val="006D3780"/>
    <w:rsid w:val="006D3E0C"/>
    <w:rsid w:val="006D433A"/>
    <w:rsid w:val="006D44A1"/>
    <w:rsid w:val="006D4701"/>
    <w:rsid w:val="006D48F5"/>
    <w:rsid w:val="006D4ECA"/>
    <w:rsid w:val="006D5153"/>
    <w:rsid w:val="006D59E0"/>
    <w:rsid w:val="006D61F0"/>
    <w:rsid w:val="006D651D"/>
    <w:rsid w:val="006D78DD"/>
    <w:rsid w:val="006D7AE2"/>
    <w:rsid w:val="006D7B89"/>
    <w:rsid w:val="006E00DF"/>
    <w:rsid w:val="006E036B"/>
    <w:rsid w:val="006E05C2"/>
    <w:rsid w:val="006E07B5"/>
    <w:rsid w:val="006E0AA4"/>
    <w:rsid w:val="006E0BB6"/>
    <w:rsid w:val="006E0D79"/>
    <w:rsid w:val="006E1670"/>
    <w:rsid w:val="006E21F2"/>
    <w:rsid w:val="006E226E"/>
    <w:rsid w:val="006E26F2"/>
    <w:rsid w:val="006E2C91"/>
    <w:rsid w:val="006E3C03"/>
    <w:rsid w:val="006E4261"/>
    <w:rsid w:val="006E42E1"/>
    <w:rsid w:val="006E4493"/>
    <w:rsid w:val="006E466D"/>
    <w:rsid w:val="006E4C02"/>
    <w:rsid w:val="006E5073"/>
    <w:rsid w:val="006E5701"/>
    <w:rsid w:val="006E674D"/>
    <w:rsid w:val="006E73B1"/>
    <w:rsid w:val="006E7A91"/>
    <w:rsid w:val="006E7B3E"/>
    <w:rsid w:val="006F0DA0"/>
    <w:rsid w:val="006F0FF2"/>
    <w:rsid w:val="006F1307"/>
    <w:rsid w:val="006F1829"/>
    <w:rsid w:val="006F1B1B"/>
    <w:rsid w:val="006F218F"/>
    <w:rsid w:val="006F2193"/>
    <w:rsid w:val="006F21DF"/>
    <w:rsid w:val="006F278A"/>
    <w:rsid w:val="006F28A1"/>
    <w:rsid w:val="006F2D92"/>
    <w:rsid w:val="006F2F85"/>
    <w:rsid w:val="006F2FA9"/>
    <w:rsid w:val="006F3533"/>
    <w:rsid w:val="006F3569"/>
    <w:rsid w:val="006F3800"/>
    <w:rsid w:val="006F441E"/>
    <w:rsid w:val="006F44F6"/>
    <w:rsid w:val="006F45C8"/>
    <w:rsid w:val="006F4A37"/>
    <w:rsid w:val="006F68F1"/>
    <w:rsid w:val="006F6E5B"/>
    <w:rsid w:val="00700F18"/>
    <w:rsid w:val="0070151D"/>
    <w:rsid w:val="00701D33"/>
    <w:rsid w:val="00701DEF"/>
    <w:rsid w:val="00701E7F"/>
    <w:rsid w:val="00701F89"/>
    <w:rsid w:val="007026F3"/>
    <w:rsid w:val="00702747"/>
    <w:rsid w:val="00702764"/>
    <w:rsid w:val="00703370"/>
    <w:rsid w:val="007033FE"/>
    <w:rsid w:val="00703CA9"/>
    <w:rsid w:val="00705291"/>
    <w:rsid w:val="00705C43"/>
    <w:rsid w:val="00705DFE"/>
    <w:rsid w:val="007064EF"/>
    <w:rsid w:val="0070664A"/>
    <w:rsid w:val="00706CDD"/>
    <w:rsid w:val="00707103"/>
    <w:rsid w:val="00707933"/>
    <w:rsid w:val="00710014"/>
    <w:rsid w:val="00710023"/>
    <w:rsid w:val="00710C2A"/>
    <w:rsid w:val="0071119D"/>
    <w:rsid w:val="00711239"/>
    <w:rsid w:val="007113C4"/>
    <w:rsid w:val="00711F72"/>
    <w:rsid w:val="007125A8"/>
    <w:rsid w:val="00712677"/>
    <w:rsid w:val="0071282C"/>
    <w:rsid w:val="00713481"/>
    <w:rsid w:val="00713C1A"/>
    <w:rsid w:val="00713FFB"/>
    <w:rsid w:val="0071411B"/>
    <w:rsid w:val="00714604"/>
    <w:rsid w:val="0071476A"/>
    <w:rsid w:val="00715101"/>
    <w:rsid w:val="0071537C"/>
    <w:rsid w:val="007156B4"/>
    <w:rsid w:val="007156F0"/>
    <w:rsid w:val="00716863"/>
    <w:rsid w:val="00716BDD"/>
    <w:rsid w:val="00716D6F"/>
    <w:rsid w:val="00717080"/>
    <w:rsid w:val="00717F7D"/>
    <w:rsid w:val="00720EF3"/>
    <w:rsid w:val="00720FF2"/>
    <w:rsid w:val="00721211"/>
    <w:rsid w:val="0072133F"/>
    <w:rsid w:val="007214BC"/>
    <w:rsid w:val="0072158C"/>
    <w:rsid w:val="00722257"/>
    <w:rsid w:val="007236E5"/>
    <w:rsid w:val="007244E8"/>
    <w:rsid w:val="007247C6"/>
    <w:rsid w:val="00724B75"/>
    <w:rsid w:val="00725A5B"/>
    <w:rsid w:val="00725D3A"/>
    <w:rsid w:val="0072604D"/>
    <w:rsid w:val="0072623B"/>
    <w:rsid w:val="007262E4"/>
    <w:rsid w:val="00726539"/>
    <w:rsid w:val="00726B4B"/>
    <w:rsid w:val="00727264"/>
    <w:rsid w:val="00727463"/>
    <w:rsid w:val="0072747C"/>
    <w:rsid w:val="00730A93"/>
    <w:rsid w:val="00730D97"/>
    <w:rsid w:val="007312C5"/>
    <w:rsid w:val="0073135B"/>
    <w:rsid w:val="00731495"/>
    <w:rsid w:val="0073180F"/>
    <w:rsid w:val="00731D37"/>
    <w:rsid w:val="00732247"/>
    <w:rsid w:val="00732444"/>
    <w:rsid w:val="00732CD4"/>
    <w:rsid w:val="00732ECF"/>
    <w:rsid w:val="0073324F"/>
    <w:rsid w:val="0073397A"/>
    <w:rsid w:val="00734750"/>
    <w:rsid w:val="00734D9F"/>
    <w:rsid w:val="007352C4"/>
    <w:rsid w:val="00735400"/>
    <w:rsid w:val="007358C5"/>
    <w:rsid w:val="00735CFE"/>
    <w:rsid w:val="0073615C"/>
    <w:rsid w:val="007364F0"/>
    <w:rsid w:val="00736576"/>
    <w:rsid w:val="00736C0A"/>
    <w:rsid w:val="00736CB9"/>
    <w:rsid w:val="007376F3"/>
    <w:rsid w:val="00737734"/>
    <w:rsid w:val="007378ED"/>
    <w:rsid w:val="0074014A"/>
    <w:rsid w:val="007416FA"/>
    <w:rsid w:val="00741986"/>
    <w:rsid w:val="00742B89"/>
    <w:rsid w:val="00742DD8"/>
    <w:rsid w:val="00742E29"/>
    <w:rsid w:val="00743025"/>
    <w:rsid w:val="007438BE"/>
    <w:rsid w:val="007438FE"/>
    <w:rsid w:val="00743C9E"/>
    <w:rsid w:val="00743D05"/>
    <w:rsid w:val="007442AD"/>
    <w:rsid w:val="00744566"/>
    <w:rsid w:val="00744829"/>
    <w:rsid w:val="007448B5"/>
    <w:rsid w:val="00744CBF"/>
    <w:rsid w:val="00744D60"/>
    <w:rsid w:val="0074521E"/>
    <w:rsid w:val="007452F4"/>
    <w:rsid w:val="007457BD"/>
    <w:rsid w:val="00745BD0"/>
    <w:rsid w:val="00745D6C"/>
    <w:rsid w:val="0074611C"/>
    <w:rsid w:val="00747021"/>
    <w:rsid w:val="007473E6"/>
    <w:rsid w:val="00747CB6"/>
    <w:rsid w:val="00750CFF"/>
    <w:rsid w:val="007512E0"/>
    <w:rsid w:val="00751624"/>
    <w:rsid w:val="007517B7"/>
    <w:rsid w:val="00752BED"/>
    <w:rsid w:val="00752D35"/>
    <w:rsid w:val="00752E23"/>
    <w:rsid w:val="007530A8"/>
    <w:rsid w:val="00753213"/>
    <w:rsid w:val="00753218"/>
    <w:rsid w:val="00753860"/>
    <w:rsid w:val="007543BD"/>
    <w:rsid w:val="00754F91"/>
    <w:rsid w:val="0075545A"/>
    <w:rsid w:val="007555BE"/>
    <w:rsid w:val="00756463"/>
    <w:rsid w:val="00756A23"/>
    <w:rsid w:val="00756BFC"/>
    <w:rsid w:val="0075730D"/>
    <w:rsid w:val="00757AC6"/>
    <w:rsid w:val="00757DE0"/>
    <w:rsid w:val="00757E11"/>
    <w:rsid w:val="00761943"/>
    <w:rsid w:val="00761BB9"/>
    <w:rsid w:val="0076259A"/>
    <w:rsid w:val="007631F3"/>
    <w:rsid w:val="007633CD"/>
    <w:rsid w:val="00763B5E"/>
    <w:rsid w:val="00763B74"/>
    <w:rsid w:val="007647DE"/>
    <w:rsid w:val="00764BA9"/>
    <w:rsid w:val="00764E41"/>
    <w:rsid w:val="0076500E"/>
    <w:rsid w:val="007652F2"/>
    <w:rsid w:val="00765401"/>
    <w:rsid w:val="007658F2"/>
    <w:rsid w:val="0076598C"/>
    <w:rsid w:val="00765AAD"/>
    <w:rsid w:val="00765C75"/>
    <w:rsid w:val="00766EA9"/>
    <w:rsid w:val="0076703B"/>
    <w:rsid w:val="007671C5"/>
    <w:rsid w:val="00767864"/>
    <w:rsid w:val="0077078B"/>
    <w:rsid w:val="00771281"/>
    <w:rsid w:val="00771417"/>
    <w:rsid w:val="007715CE"/>
    <w:rsid w:val="0077163C"/>
    <w:rsid w:val="00771E63"/>
    <w:rsid w:val="0077208E"/>
    <w:rsid w:val="007723BF"/>
    <w:rsid w:val="0077251A"/>
    <w:rsid w:val="00772710"/>
    <w:rsid w:val="00772D4F"/>
    <w:rsid w:val="00772DF2"/>
    <w:rsid w:val="00773124"/>
    <w:rsid w:val="00773133"/>
    <w:rsid w:val="007731DB"/>
    <w:rsid w:val="007733D4"/>
    <w:rsid w:val="00773591"/>
    <w:rsid w:val="00773C7C"/>
    <w:rsid w:val="00774295"/>
    <w:rsid w:val="007745A1"/>
    <w:rsid w:val="00774801"/>
    <w:rsid w:val="007752D8"/>
    <w:rsid w:val="007758C8"/>
    <w:rsid w:val="00775CBE"/>
    <w:rsid w:val="00775D2E"/>
    <w:rsid w:val="00776689"/>
    <w:rsid w:val="00776C17"/>
    <w:rsid w:val="00776D28"/>
    <w:rsid w:val="00776EF4"/>
    <w:rsid w:val="007777E1"/>
    <w:rsid w:val="007815F6"/>
    <w:rsid w:val="007816B8"/>
    <w:rsid w:val="00781DB9"/>
    <w:rsid w:val="00781DD5"/>
    <w:rsid w:val="00782316"/>
    <w:rsid w:val="00782ACC"/>
    <w:rsid w:val="00783677"/>
    <w:rsid w:val="00783B08"/>
    <w:rsid w:val="00783E9D"/>
    <w:rsid w:val="00783F95"/>
    <w:rsid w:val="00785D1E"/>
    <w:rsid w:val="0078678E"/>
    <w:rsid w:val="007867FD"/>
    <w:rsid w:val="00786A0B"/>
    <w:rsid w:val="00787206"/>
    <w:rsid w:val="007876B8"/>
    <w:rsid w:val="00787BB6"/>
    <w:rsid w:val="00787E13"/>
    <w:rsid w:val="00787E26"/>
    <w:rsid w:val="00790729"/>
    <w:rsid w:val="007910E8"/>
    <w:rsid w:val="007914A3"/>
    <w:rsid w:val="00791BAC"/>
    <w:rsid w:val="007926D2"/>
    <w:rsid w:val="007931B9"/>
    <w:rsid w:val="007932A2"/>
    <w:rsid w:val="007937BA"/>
    <w:rsid w:val="0079395B"/>
    <w:rsid w:val="0079398F"/>
    <w:rsid w:val="007939F6"/>
    <w:rsid w:val="007943AE"/>
    <w:rsid w:val="00794DFD"/>
    <w:rsid w:val="007952AE"/>
    <w:rsid w:val="0079574D"/>
    <w:rsid w:val="00795C50"/>
    <w:rsid w:val="0079630F"/>
    <w:rsid w:val="00796768"/>
    <w:rsid w:val="0079731D"/>
    <w:rsid w:val="00797443"/>
    <w:rsid w:val="0079776A"/>
    <w:rsid w:val="00797AB1"/>
    <w:rsid w:val="007A072E"/>
    <w:rsid w:val="007A090A"/>
    <w:rsid w:val="007A0DF6"/>
    <w:rsid w:val="007A1371"/>
    <w:rsid w:val="007A1513"/>
    <w:rsid w:val="007A158C"/>
    <w:rsid w:val="007A1629"/>
    <w:rsid w:val="007A190E"/>
    <w:rsid w:val="007A1D46"/>
    <w:rsid w:val="007A1E0A"/>
    <w:rsid w:val="007A1F00"/>
    <w:rsid w:val="007A2541"/>
    <w:rsid w:val="007A268D"/>
    <w:rsid w:val="007A2B38"/>
    <w:rsid w:val="007A3106"/>
    <w:rsid w:val="007A35C5"/>
    <w:rsid w:val="007A3827"/>
    <w:rsid w:val="007A3E24"/>
    <w:rsid w:val="007A4397"/>
    <w:rsid w:val="007A4546"/>
    <w:rsid w:val="007A4B5F"/>
    <w:rsid w:val="007A4E45"/>
    <w:rsid w:val="007A58D1"/>
    <w:rsid w:val="007A5E70"/>
    <w:rsid w:val="007A6A2D"/>
    <w:rsid w:val="007A6BA2"/>
    <w:rsid w:val="007A72F2"/>
    <w:rsid w:val="007A7AAC"/>
    <w:rsid w:val="007A7CC1"/>
    <w:rsid w:val="007A7FF6"/>
    <w:rsid w:val="007B0705"/>
    <w:rsid w:val="007B1249"/>
    <w:rsid w:val="007B173B"/>
    <w:rsid w:val="007B176E"/>
    <w:rsid w:val="007B1C84"/>
    <w:rsid w:val="007B1E12"/>
    <w:rsid w:val="007B229E"/>
    <w:rsid w:val="007B22FE"/>
    <w:rsid w:val="007B24C1"/>
    <w:rsid w:val="007B26C6"/>
    <w:rsid w:val="007B26FE"/>
    <w:rsid w:val="007B2B0D"/>
    <w:rsid w:val="007B39DB"/>
    <w:rsid w:val="007B400B"/>
    <w:rsid w:val="007B45FC"/>
    <w:rsid w:val="007B4796"/>
    <w:rsid w:val="007B492F"/>
    <w:rsid w:val="007B498F"/>
    <w:rsid w:val="007B4B6B"/>
    <w:rsid w:val="007B4D5A"/>
    <w:rsid w:val="007B5120"/>
    <w:rsid w:val="007B52F8"/>
    <w:rsid w:val="007B54CB"/>
    <w:rsid w:val="007B59AE"/>
    <w:rsid w:val="007B5D72"/>
    <w:rsid w:val="007B62B8"/>
    <w:rsid w:val="007B67F8"/>
    <w:rsid w:val="007B69EF"/>
    <w:rsid w:val="007B6B53"/>
    <w:rsid w:val="007B7639"/>
    <w:rsid w:val="007B7CDD"/>
    <w:rsid w:val="007B7FD6"/>
    <w:rsid w:val="007C087F"/>
    <w:rsid w:val="007C1011"/>
    <w:rsid w:val="007C1103"/>
    <w:rsid w:val="007C1DD3"/>
    <w:rsid w:val="007C27AE"/>
    <w:rsid w:val="007C2808"/>
    <w:rsid w:val="007C285F"/>
    <w:rsid w:val="007C28AA"/>
    <w:rsid w:val="007C2A7A"/>
    <w:rsid w:val="007C3272"/>
    <w:rsid w:val="007C37A7"/>
    <w:rsid w:val="007C4079"/>
    <w:rsid w:val="007C4638"/>
    <w:rsid w:val="007C47A8"/>
    <w:rsid w:val="007C4AC5"/>
    <w:rsid w:val="007C6EA3"/>
    <w:rsid w:val="007C772B"/>
    <w:rsid w:val="007C78D7"/>
    <w:rsid w:val="007C7CA8"/>
    <w:rsid w:val="007D058F"/>
    <w:rsid w:val="007D1B34"/>
    <w:rsid w:val="007D1B6F"/>
    <w:rsid w:val="007D1D87"/>
    <w:rsid w:val="007D24E4"/>
    <w:rsid w:val="007D28BB"/>
    <w:rsid w:val="007D3069"/>
    <w:rsid w:val="007D3290"/>
    <w:rsid w:val="007D4473"/>
    <w:rsid w:val="007D528A"/>
    <w:rsid w:val="007D53F7"/>
    <w:rsid w:val="007D55A4"/>
    <w:rsid w:val="007D5DC6"/>
    <w:rsid w:val="007D6F0F"/>
    <w:rsid w:val="007D72AD"/>
    <w:rsid w:val="007D7D5E"/>
    <w:rsid w:val="007E014C"/>
    <w:rsid w:val="007E13D6"/>
    <w:rsid w:val="007E141F"/>
    <w:rsid w:val="007E1AA9"/>
    <w:rsid w:val="007E1DCA"/>
    <w:rsid w:val="007E20D6"/>
    <w:rsid w:val="007E2E2B"/>
    <w:rsid w:val="007E3E6F"/>
    <w:rsid w:val="007E460D"/>
    <w:rsid w:val="007E4A04"/>
    <w:rsid w:val="007E4C42"/>
    <w:rsid w:val="007E4CE8"/>
    <w:rsid w:val="007E4CF2"/>
    <w:rsid w:val="007E519E"/>
    <w:rsid w:val="007E5529"/>
    <w:rsid w:val="007E5773"/>
    <w:rsid w:val="007E63CE"/>
    <w:rsid w:val="007E66FC"/>
    <w:rsid w:val="007E6B7E"/>
    <w:rsid w:val="007E7122"/>
    <w:rsid w:val="007E71F2"/>
    <w:rsid w:val="007E7230"/>
    <w:rsid w:val="007E7329"/>
    <w:rsid w:val="007F0106"/>
    <w:rsid w:val="007F020E"/>
    <w:rsid w:val="007F0F09"/>
    <w:rsid w:val="007F101D"/>
    <w:rsid w:val="007F19FD"/>
    <w:rsid w:val="007F1E0E"/>
    <w:rsid w:val="007F3532"/>
    <w:rsid w:val="007F3854"/>
    <w:rsid w:val="007F3E40"/>
    <w:rsid w:val="007F4042"/>
    <w:rsid w:val="007F4AAB"/>
    <w:rsid w:val="007F5136"/>
    <w:rsid w:val="007F5560"/>
    <w:rsid w:val="007F58E1"/>
    <w:rsid w:val="007F5AFF"/>
    <w:rsid w:val="007F6001"/>
    <w:rsid w:val="007F6448"/>
    <w:rsid w:val="007F6C81"/>
    <w:rsid w:val="007F7B03"/>
    <w:rsid w:val="008007C9"/>
    <w:rsid w:val="00800CAC"/>
    <w:rsid w:val="00800F0B"/>
    <w:rsid w:val="008011E7"/>
    <w:rsid w:val="00801670"/>
    <w:rsid w:val="00801BD7"/>
    <w:rsid w:val="00801FD2"/>
    <w:rsid w:val="00802929"/>
    <w:rsid w:val="008029B9"/>
    <w:rsid w:val="00802B41"/>
    <w:rsid w:val="00802B6F"/>
    <w:rsid w:val="008033D8"/>
    <w:rsid w:val="0080390E"/>
    <w:rsid w:val="00803DA2"/>
    <w:rsid w:val="00803F9D"/>
    <w:rsid w:val="0080439D"/>
    <w:rsid w:val="00805DC6"/>
    <w:rsid w:val="00805F9C"/>
    <w:rsid w:val="008066AE"/>
    <w:rsid w:val="00806756"/>
    <w:rsid w:val="00807CDF"/>
    <w:rsid w:val="00810314"/>
    <w:rsid w:val="00810845"/>
    <w:rsid w:val="00810AB2"/>
    <w:rsid w:val="00810DFD"/>
    <w:rsid w:val="008112FB"/>
    <w:rsid w:val="00811BC1"/>
    <w:rsid w:val="00811BD7"/>
    <w:rsid w:val="0081344A"/>
    <w:rsid w:val="008137D6"/>
    <w:rsid w:val="00813B04"/>
    <w:rsid w:val="0081409A"/>
    <w:rsid w:val="00814A37"/>
    <w:rsid w:val="00815111"/>
    <w:rsid w:val="008154E4"/>
    <w:rsid w:val="008159BF"/>
    <w:rsid w:val="00815C41"/>
    <w:rsid w:val="00816599"/>
    <w:rsid w:val="008168DA"/>
    <w:rsid w:val="00816968"/>
    <w:rsid w:val="00816F23"/>
    <w:rsid w:val="0081775D"/>
    <w:rsid w:val="00817C7A"/>
    <w:rsid w:val="008202BD"/>
    <w:rsid w:val="0082167F"/>
    <w:rsid w:val="00821CE9"/>
    <w:rsid w:val="00821E75"/>
    <w:rsid w:val="008225EA"/>
    <w:rsid w:val="008226F2"/>
    <w:rsid w:val="00822FDD"/>
    <w:rsid w:val="008239DD"/>
    <w:rsid w:val="00823BAB"/>
    <w:rsid w:val="008241E1"/>
    <w:rsid w:val="00824495"/>
    <w:rsid w:val="00824966"/>
    <w:rsid w:val="008249EF"/>
    <w:rsid w:val="008249F8"/>
    <w:rsid w:val="00824BD5"/>
    <w:rsid w:val="008258A0"/>
    <w:rsid w:val="00825F9B"/>
    <w:rsid w:val="008260CF"/>
    <w:rsid w:val="00826810"/>
    <w:rsid w:val="00826A35"/>
    <w:rsid w:val="00826C42"/>
    <w:rsid w:val="00826D7B"/>
    <w:rsid w:val="008274C0"/>
    <w:rsid w:val="008278F8"/>
    <w:rsid w:val="00827CCC"/>
    <w:rsid w:val="0083031E"/>
    <w:rsid w:val="00830745"/>
    <w:rsid w:val="00830797"/>
    <w:rsid w:val="00830E08"/>
    <w:rsid w:val="0083222A"/>
    <w:rsid w:val="008324A0"/>
    <w:rsid w:val="008324F5"/>
    <w:rsid w:val="00832897"/>
    <w:rsid w:val="00832AEA"/>
    <w:rsid w:val="0083348A"/>
    <w:rsid w:val="008336EE"/>
    <w:rsid w:val="0083379D"/>
    <w:rsid w:val="00833D8C"/>
    <w:rsid w:val="00834AE1"/>
    <w:rsid w:val="00835445"/>
    <w:rsid w:val="00835A13"/>
    <w:rsid w:val="00835C9B"/>
    <w:rsid w:val="00836313"/>
    <w:rsid w:val="00836A00"/>
    <w:rsid w:val="00836C82"/>
    <w:rsid w:val="00836DEB"/>
    <w:rsid w:val="00836FE0"/>
    <w:rsid w:val="00837AC5"/>
    <w:rsid w:val="00837F5E"/>
    <w:rsid w:val="008402B7"/>
    <w:rsid w:val="008404AA"/>
    <w:rsid w:val="00840752"/>
    <w:rsid w:val="00840B82"/>
    <w:rsid w:val="00840F4B"/>
    <w:rsid w:val="00841823"/>
    <w:rsid w:val="0084190A"/>
    <w:rsid w:val="00841C7B"/>
    <w:rsid w:val="008421B2"/>
    <w:rsid w:val="008422EF"/>
    <w:rsid w:val="00842CD4"/>
    <w:rsid w:val="00842CDE"/>
    <w:rsid w:val="00843692"/>
    <w:rsid w:val="00843D31"/>
    <w:rsid w:val="00844586"/>
    <w:rsid w:val="00844C98"/>
    <w:rsid w:val="00845180"/>
    <w:rsid w:val="0084538E"/>
    <w:rsid w:val="00845BE6"/>
    <w:rsid w:val="0084600B"/>
    <w:rsid w:val="008467CD"/>
    <w:rsid w:val="0084689A"/>
    <w:rsid w:val="00847F22"/>
    <w:rsid w:val="0085098A"/>
    <w:rsid w:val="00850DC7"/>
    <w:rsid w:val="00850FC2"/>
    <w:rsid w:val="0085123C"/>
    <w:rsid w:val="0085163A"/>
    <w:rsid w:val="00852000"/>
    <w:rsid w:val="008520E7"/>
    <w:rsid w:val="00852125"/>
    <w:rsid w:val="00852B84"/>
    <w:rsid w:val="00852C12"/>
    <w:rsid w:val="008536C8"/>
    <w:rsid w:val="00853865"/>
    <w:rsid w:val="0085445A"/>
    <w:rsid w:val="00854EB1"/>
    <w:rsid w:val="008550F4"/>
    <w:rsid w:val="00855103"/>
    <w:rsid w:val="00855D36"/>
    <w:rsid w:val="00855DD9"/>
    <w:rsid w:val="00856F9F"/>
    <w:rsid w:val="008576F4"/>
    <w:rsid w:val="0085789B"/>
    <w:rsid w:val="00857CF6"/>
    <w:rsid w:val="00860412"/>
    <w:rsid w:val="00860DF6"/>
    <w:rsid w:val="00861056"/>
    <w:rsid w:val="0086128B"/>
    <w:rsid w:val="0086255B"/>
    <w:rsid w:val="00862D2E"/>
    <w:rsid w:val="008630D9"/>
    <w:rsid w:val="00863861"/>
    <w:rsid w:val="00863F07"/>
    <w:rsid w:val="00863FC8"/>
    <w:rsid w:val="0086404A"/>
    <w:rsid w:val="00864593"/>
    <w:rsid w:val="00865192"/>
    <w:rsid w:val="0086549F"/>
    <w:rsid w:val="008658BC"/>
    <w:rsid w:val="00865B5A"/>
    <w:rsid w:val="008661F5"/>
    <w:rsid w:val="00866E49"/>
    <w:rsid w:val="00866ED7"/>
    <w:rsid w:val="0086765D"/>
    <w:rsid w:val="008676BB"/>
    <w:rsid w:val="008678AB"/>
    <w:rsid w:val="00867A6B"/>
    <w:rsid w:val="00867B35"/>
    <w:rsid w:val="00867E51"/>
    <w:rsid w:val="00870528"/>
    <w:rsid w:val="00870660"/>
    <w:rsid w:val="00871159"/>
    <w:rsid w:val="00871774"/>
    <w:rsid w:val="00871D4E"/>
    <w:rsid w:val="00872B0B"/>
    <w:rsid w:val="0087311A"/>
    <w:rsid w:val="00873BF6"/>
    <w:rsid w:val="008743A0"/>
    <w:rsid w:val="008743F6"/>
    <w:rsid w:val="008745D3"/>
    <w:rsid w:val="008746D3"/>
    <w:rsid w:val="00874D7B"/>
    <w:rsid w:val="00874EEB"/>
    <w:rsid w:val="008752B3"/>
    <w:rsid w:val="00875E3C"/>
    <w:rsid w:val="00876407"/>
    <w:rsid w:val="0087670F"/>
    <w:rsid w:val="008768C4"/>
    <w:rsid w:val="00876F1B"/>
    <w:rsid w:val="0087786A"/>
    <w:rsid w:val="0087795E"/>
    <w:rsid w:val="00877972"/>
    <w:rsid w:val="00877EE6"/>
    <w:rsid w:val="00877F55"/>
    <w:rsid w:val="00880A31"/>
    <w:rsid w:val="00880A99"/>
    <w:rsid w:val="00880D82"/>
    <w:rsid w:val="008812CF"/>
    <w:rsid w:val="00881D05"/>
    <w:rsid w:val="0088275D"/>
    <w:rsid w:val="008831F4"/>
    <w:rsid w:val="008832CF"/>
    <w:rsid w:val="0088335C"/>
    <w:rsid w:val="00884055"/>
    <w:rsid w:val="0088453F"/>
    <w:rsid w:val="00884559"/>
    <w:rsid w:val="00884A90"/>
    <w:rsid w:val="008853DC"/>
    <w:rsid w:val="0088583B"/>
    <w:rsid w:val="00885A2C"/>
    <w:rsid w:val="00886635"/>
    <w:rsid w:val="00886C1E"/>
    <w:rsid w:val="00887192"/>
    <w:rsid w:val="008878CA"/>
    <w:rsid w:val="008900E3"/>
    <w:rsid w:val="0089059E"/>
    <w:rsid w:val="0089062E"/>
    <w:rsid w:val="00890DA0"/>
    <w:rsid w:val="008911B8"/>
    <w:rsid w:val="008914D7"/>
    <w:rsid w:val="0089152B"/>
    <w:rsid w:val="0089211A"/>
    <w:rsid w:val="008927DD"/>
    <w:rsid w:val="00892972"/>
    <w:rsid w:val="00892C4B"/>
    <w:rsid w:val="00892EA3"/>
    <w:rsid w:val="00893062"/>
    <w:rsid w:val="00893DE8"/>
    <w:rsid w:val="00895C7B"/>
    <w:rsid w:val="00895D13"/>
    <w:rsid w:val="008969A5"/>
    <w:rsid w:val="00897033"/>
    <w:rsid w:val="008A0D7A"/>
    <w:rsid w:val="008A1047"/>
    <w:rsid w:val="008A148F"/>
    <w:rsid w:val="008A1A6B"/>
    <w:rsid w:val="008A2185"/>
    <w:rsid w:val="008A2A2F"/>
    <w:rsid w:val="008A2C76"/>
    <w:rsid w:val="008A3B0A"/>
    <w:rsid w:val="008A3F96"/>
    <w:rsid w:val="008A49C0"/>
    <w:rsid w:val="008A5916"/>
    <w:rsid w:val="008A613D"/>
    <w:rsid w:val="008A6918"/>
    <w:rsid w:val="008A6B3C"/>
    <w:rsid w:val="008A7019"/>
    <w:rsid w:val="008A71C7"/>
    <w:rsid w:val="008A7482"/>
    <w:rsid w:val="008A7783"/>
    <w:rsid w:val="008A7BBD"/>
    <w:rsid w:val="008B0213"/>
    <w:rsid w:val="008B056C"/>
    <w:rsid w:val="008B1C1C"/>
    <w:rsid w:val="008B1CBB"/>
    <w:rsid w:val="008B20CA"/>
    <w:rsid w:val="008B24EC"/>
    <w:rsid w:val="008B2601"/>
    <w:rsid w:val="008B2B33"/>
    <w:rsid w:val="008B2BDD"/>
    <w:rsid w:val="008B3743"/>
    <w:rsid w:val="008B375F"/>
    <w:rsid w:val="008B3863"/>
    <w:rsid w:val="008B4696"/>
    <w:rsid w:val="008B4811"/>
    <w:rsid w:val="008B4C9F"/>
    <w:rsid w:val="008B5230"/>
    <w:rsid w:val="008B54F5"/>
    <w:rsid w:val="008B581E"/>
    <w:rsid w:val="008B5920"/>
    <w:rsid w:val="008B5CC8"/>
    <w:rsid w:val="008B5DBA"/>
    <w:rsid w:val="008B6B63"/>
    <w:rsid w:val="008B7C6C"/>
    <w:rsid w:val="008C0404"/>
    <w:rsid w:val="008C095E"/>
    <w:rsid w:val="008C0B74"/>
    <w:rsid w:val="008C0EE8"/>
    <w:rsid w:val="008C117E"/>
    <w:rsid w:val="008C19EF"/>
    <w:rsid w:val="008C1BB0"/>
    <w:rsid w:val="008C1F4B"/>
    <w:rsid w:val="008C2136"/>
    <w:rsid w:val="008C328E"/>
    <w:rsid w:val="008C33BD"/>
    <w:rsid w:val="008C352C"/>
    <w:rsid w:val="008C3F64"/>
    <w:rsid w:val="008C3FD6"/>
    <w:rsid w:val="008C5103"/>
    <w:rsid w:val="008C61D3"/>
    <w:rsid w:val="008C673E"/>
    <w:rsid w:val="008C6B1E"/>
    <w:rsid w:val="008C6FDD"/>
    <w:rsid w:val="008C77EC"/>
    <w:rsid w:val="008D078F"/>
    <w:rsid w:val="008D08AD"/>
    <w:rsid w:val="008D0C0D"/>
    <w:rsid w:val="008D17E5"/>
    <w:rsid w:val="008D1B5B"/>
    <w:rsid w:val="008D207F"/>
    <w:rsid w:val="008D290C"/>
    <w:rsid w:val="008D2D56"/>
    <w:rsid w:val="008D311C"/>
    <w:rsid w:val="008D3678"/>
    <w:rsid w:val="008D3752"/>
    <w:rsid w:val="008D4282"/>
    <w:rsid w:val="008D4567"/>
    <w:rsid w:val="008D46C9"/>
    <w:rsid w:val="008D4920"/>
    <w:rsid w:val="008D51B5"/>
    <w:rsid w:val="008D5B38"/>
    <w:rsid w:val="008D60B9"/>
    <w:rsid w:val="008D6264"/>
    <w:rsid w:val="008D640F"/>
    <w:rsid w:val="008D7172"/>
    <w:rsid w:val="008D78A4"/>
    <w:rsid w:val="008D7A41"/>
    <w:rsid w:val="008D7B5A"/>
    <w:rsid w:val="008D7FA0"/>
    <w:rsid w:val="008E05FD"/>
    <w:rsid w:val="008E0CFF"/>
    <w:rsid w:val="008E126E"/>
    <w:rsid w:val="008E1304"/>
    <w:rsid w:val="008E1779"/>
    <w:rsid w:val="008E1A99"/>
    <w:rsid w:val="008E30C1"/>
    <w:rsid w:val="008E35DA"/>
    <w:rsid w:val="008E3737"/>
    <w:rsid w:val="008E45EC"/>
    <w:rsid w:val="008E4B26"/>
    <w:rsid w:val="008E4C06"/>
    <w:rsid w:val="008E4DD2"/>
    <w:rsid w:val="008E5100"/>
    <w:rsid w:val="008E5134"/>
    <w:rsid w:val="008E5348"/>
    <w:rsid w:val="008E58FC"/>
    <w:rsid w:val="008E594D"/>
    <w:rsid w:val="008E5B45"/>
    <w:rsid w:val="008E66BA"/>
    <w:rsid w:val="008E66BD"/>
    <w:rsid w:val="008F09A8"/>
    <w:rsid w:val="008F0A04"/>
    <w:rsid w:val="008F0DF3"/>
    <w:rsid w:val="008F1A1B"/>
    <w:rsid w:val="008F1AEC"/>
    <w:rsid w:val="008F1F45"/>
    <w:rsid w:val="008F28B3"/>
    <w:rsid w:val="008F320D"/>
    <w:rsid w:val="008F32AC"/>
    <w:rsid w:val="008F36BD"/>
    <w:rsid w:val="008F3979"/>
    <w:rsid w:val="008F3C51"/>
    <w:rsid w:val="008F4E41"/>
    <w:rsid w:val="008F4F63"/>
    <w:rsid w:val="008F5357"/>
    <w:rsid w:val="008F5A12"/>
    <w:rsid w:val="008F5C37"/>
    <w:rsid w:val="008F6A4F"/>
    <w:rsid w:val="008F6B84"/>
    <w:rsid w:val="008F70B8"/>
    <w:rsid w:val="008F70E5"/>
    <w:rsid w:val="008F77B7"/>
    <w:rsid w:val="008F7958"/>
    <w:rsid w:val="008F7991"/>
    <w:rsid w:val="009003E6"/>
    <w:rsid w:val="009004DE"/>
    <w:rsid w:val="00900698"/>
    <w:rsid w:val="00900786"/>
    <w:rsid w:val="00900845"/>
    <w:rsid w:val="00901517"/>
    <w:rsid w:val="00901AAA"/>
    <w:rsid w:val="0090203F"/>
    <w:rsid w:val="009023F6"/>
    <w:rsid w:val="00902562"/>
    <w:rsid w:val="009025DC"/>
    <w:rsid w:val="00902783"/>
    <w:rsid w:val="00902E57"/>
    <w:rsid w:val="00902F87"/>
    <w:rsid w:val="0090401C"/>
    <w:rsid w:val="00904AC6"/>
    <w:rsid w:val="00904BB2"/>
    <w:rsid w:val="00905052"/>
    <w:rsid w:val="00905136"/>
    <w:rsid w:val="0090535C"/>
    <w:rsid w:val="009053D9"/>
    <w:rsid w:val="00905990"/>
    <w:rsid w:val="00905A53"/>
    <w:rsid w:val="00905C5D"/>
    <w:rsid w:val="00905C91"/>
    <w:rsid w:val="00907550"/>
    <w:rsid w:val="00907903"/>
    <w:rsid w:val="00910A3F"/>
    <w:rsid w:val="009117C3"/>
    <w:rsid w:val="009127D7"/>
    <w:rsid w:val="00912C13"/>
    <w:rsid w:val="009132AD"/>
    <w:rsid w:val="009134F5"/>
    <w:rsid w:val="00913A6F"/>
    <w:rsid w:val="00913F0D"/>
    <w:rsid w:val="009146E6"/>
    <w:rsid w:val="00914BA4"/>
    <w:rsid w:val="00915631"/>
    <w:rsid w:val="00915632"/>
    <w:rsid w:val="0091588C"/>
    <w:rsid w:val="00915BBC"/>
    <w:rsid w:val="00916385"/>
    <w:rsid w:val="009168B1"/>
    <w:rsid w:val="00916B0D"/>
    <w:rsid w:val="00916EC3"/>
    <w:rsid w:val="009178E8"/>
    <w:rsid w:val="00917F60"/>
    <w:rsid w:val="009205DF"/>
    <w:rsid w:val="009206C9"/>
    <w:rsid w:val="00921259"/>
    <w:rsid w:val="009213C0"/>
    <w:rsid w:val="0092154A"/>
    <w:rsid w:val="009228CD"/>
    <w:rsid w:val="00922D94"/>
    <w:rsid w:val="0092422C"/>
    <w:rsid w:val="009242C6"/>
    <w:rsid w:val="009244BB"/>
    <w:rsid w:val="00924BB4"/>
    <w:rsid w:val="00925B70"/>
    <w:rsid w:val="00925FB6"/>
    <w:rsid w:val="009266A4"/>
    <w:rsid w:val="0092700C"/>
    <w:rsid w:val="009272CD"/>
    <w:rsid w:val="009279D7"/>
    <w:rsid w:val="00927F0F"/>
    <w:rsid w:val="00930DE8"/>
    <w:rsid w:val="00931368"/>
    <w:rsid w:val="009313B0"/>
    <w:rsid w:val="00931A8B"/>
    <w:rsid w:val="009322FD"/>
    <w:rsid w:val="009328ED"/>
    <w:rsid w:val="00932B15"/>
    <w:rsid w:val="00932B7A"/>
    <w:rsid w:val="00932BD0"/>
    <w:rsid w:val="00932D32"/>
    <w:rsid w:val="009330EE"/>
    <w:rsid w:val="009332B3"/>
    <w:rsid w:val="0093387E"/>
    <w:rsid w:val="009338FE"/>
    <w:rsid w:val="00934191"/>
    <w:rsid w:val="009344C6"/>
    <w:rsid w:val="00934C7D"/>
    <w:rsid w:val="00935F99"/>
    <w:rsid w:val="009368C5"/>
    <w:rsid w:val="00937374"/>
    <w:rsid w:val="0094014F"/>
    <w:rsid w:val="009410E6"/>
    <w:rsid w:val="009414E1"/>
    <w:rsid w:val="00941618"/>
    <w:rsid w:val="00941785"/>
    <w:rsid w:val="00941EBC"/>
    <w:rsid w:val="00942A03"/>
    <w:rsid w:val="00942B0B"/>
    <w:rsid w:val="00942DA8"/>
    <w:rsid w:val="00942DE6"/>
    <w:rsid w:val="0094361E"/>
    <w:rsid w:val="00943972"/>
    <w:rsid w:val="009442C2"/>
    <w:rsid w:val="00944743"/>
    <w:rsid w:val="00944B68"/>
    <w:rsid w:val="00944C30"/>
    <w:rsid w:val="009456E8"/>
    <w:rsid w:val="00945765"/>
    <w:rsid w:val="00945774"/>
    <w:rsid w:val="00945900"/>
    <w:rsid w:val="0094642F"/>
    <w:rsid w:val="0094735C"/>
    <w:rsid w:val="00947B11"/>
    <w:rsid w:val="00947BEA"/>
    <w:rsid w:val="00950338"/>
    <w:rsid w:val="009507F9"/>
    <w:rsid w:val="009510E3"/>
    <w:rsid w:val="00951359"/>
    <w:rsid w:val="009529B0"/>
    <w:rsid w:val="00952D81"/>
    <w:rsid w:val="0095371E"/>
    <w:rsid w:val="0095388B"/>
    <w:rsid w:val="00954C3A"/>
    <w:rsid w:val="00955291"/>
    <w:rsid w:val="009558D8"/>
    <w:rsid w:val="00957296"/>
    <w:rsid w:val="00957B20"/>
    <w:rsid w:val="00960063"/>
    <w:rsid w:val="009605EB"/>
    <w:rsid w:val="00960645"/>
    <w:rsid w:val="009607A8"/>
    <w:rsid w:val="00960880"/>
    <w:rsid w:val="00960C73"/>
    <w:rsid w:val="00960D67"/>
    <w:rsid w:val="009618F2"/>
    <w:rsid w:val="00961AA6"/>
    <w:rsid w:val="009620B2"/>
    <w:rsid w:val="00962B07"/>
    <w:rsid w:val="009639F3"/>
    <w:rsid w:val="00963CDB"/>
    <w:rsid w:val="009642AC"/>
    <w:rsid w:val="00964B8A"/>
    <w:rsid w:val="00964BBD"/>
    <w:rsid w:val="00964F79"/>
    <w:rsid w:val="00965055"/>
    <w:rsid w:val="00965903"/>
    <w:rsid w:val="00965A7E"/>
    <w:rsid w:val="00965F93"/>
    <w:rsid w:val="00965FB0"/>
    <w:rsid w:val="00966657"/>
    <w:rsid w:val="00966669"/>
    <w:rsid w:val="0096777A"/>
    <w:rsid w:val="00971647"/>
    <w:rsid w:val="00971B0D"/>
    <w:rsid w:val="00972117"/>
    <w:rsid w:val="009721A1"/>
    <w:rsid w:val="00972B25"/>
    <w:rsid w:val="00973DEF"/>
    <w:rsid w:val="00974A1B"/>
    <w:rsid w:val="009750C6"/>
    <w:rsid w:val="009752CF"/>
    <w:rsid w:val="009757F0"/>
    <w:rsid w:val="00975C4D"/>
    <w:rsid w:val="00975D05"/>
    <w:rsid w:val="009765D6"/>
    <w:rsid w:val="0097738D"/>
    <w:rsid w:val="00977530"/>
    <w:rsid w:val="00977C29"/>
    <w:rsid w:val="0098011E"/>
    <w:rsid w:val="009801CB"/>
    <w:rsid w:val="00980B82"/>
    <w:rsid w:val="0098152E"/>
    <w:rsid w:val="009824FA"/>
    <w:rsid w:val="009828A5"/>
    <w:rsid w:val="00982AA2"/>
    <w:rsid w:val="00982FB8"/>
    <w:rsid w:val="0098318A"/>
    <w:rsid w:val="0098334E"/>
    <w:rsid w:val="0098340B"/>
    <w:rsid w:val="009836C3"/>
    <w:rsid w:val="00983A47"/>
    <w:rsid w:val="009843D0"/>
    <w:rsid w:val="009845B7"/>
    <w:rsid w:val="009854AB"/>
    <w:rsid w:val="00985BA2"/>
    <w:rsid w:val="00986565"/>
    <w:rsid w:val="0098676F"/>
    <w:rsid w:val="009870C0"/>
    <w:rsid w:val="00987424"/>
    <w:rsid w:val="0098752E"/>
    <w:rsid w:val="0098790B"/>
    <w:rsid w:val="00987D8E"/>
    <w:rsid w:val="00990157"/>
    <w:rsid w:val="0099034A"/>
    <w:rsid w:val="00990B39"/>
    <w:rsid w:val="00990CF9"/>
    <w:rsid w:val="00990F42"/>
    <w:rsid w:val="00990FB6"/>
    <w:rsid w:val="0099109F"/>
    <w:rsid w:val="00991221"/>
    <w:rsid w:val="00991CC4"/>
    <w:rsid w:val="00991DEB"/>
    <w:rsid w:val="00991E8F"/>
    <w:rsid w:val="0099289F"/>
    <w:rsid w:val="00992CE9"/>
    <w:rsid w:val="00992E6B"/>
    <w:rsid w:val="00992FDC"/>
    <w:rsid w:val="00993389"/>
    <w:rsid w:val="00993CD8"/>
    <w:rsid w:val="00994345"/>
    <w:rsid w:val="009943BF"/>
    <w:rsid w:val="00994BFC"/>
    <w:rsid w:val="00994E9C"/>
    <w:rsid w:val="0099511B"/>
    <w:rsid w:val="0099579E"/>
    <w:rsid w:val="00995997"/>
    <w:rsid w:val="009959E1"/>
    <w:rsid w:val="00995ACE"/>
    <w:rsid w:val="0099647C"/>
    <w:rsid w:val="009973DB"/>
    <w:rsid w:val="00997791"/>
    <w:rsid w:val="00997BA3"/>
    <w:rsid w:val="00997FBC"/>
    <w:rsid w:val="009A09B1"/>
    <w:rsid w:val="009A0E9B"/>
    <w:rsid w:val="009A0EB4"/>
    <w:rsid w:val="009A1688"/>
    <w:rsid w:val="009A1BF5"/>
    <w:rsid w:val="009A1C03"/>
    <w:rsid w:val="009A22C0"/>
    <w:rsid w:val="009A2396"/>
    <w:rsid w:val="009A27F9"/>
    <w:rsid w:val="009A39A4"/>
    <w:rsid w:val="009A3A97"/>
    <w:rsid w:val="009A3D52"/>
    <w:rsid w:val="009A3F9A"/>
    <w:rsid w:val="009A3FC1"/>
    <w:rsid w:val="009A4B45"/>
    <w:rsid w:val="009A6094"/>
    <w:rsid w:val="009A6CCF"/>
    <w:rsid w:val="009A71F9"/>
    <w:rsid w:val="009A7250"/>
    <w:rsid w:val="009A731B"/>
    <w:rsid w:val="009A7387"/>
    <w:rsid w:val="009A742E"/>
    <w:rsid w:val="009A7457"/>
    <w:rsid w:val="009B01BF"/>
    <w:rsid w:val="009B04E3"/>
    <w:rsid w:val="009B1348"/>
    <w:rsid w:val="009B1B4E"/>
    <w:rsid w:val="009B235E"/>
    <w:rsid w:val="009B2403"/>
    <w:rsid w:val="009B28C4"/>
    <w:rsid w:val="009B2EC0"/>
    <w:rsid w:val="009B353A"/>
    <w:rsid w:val="009B38FE"/>
    <w:rsid w:val="009B3B55"/>
    <w:rsid w:val="009B3BC6"/>
    <w:rsid w:val="009B3F52"/>
    <w:rsid w:val="009B6A32"/>
    <w:rsid w:val="009C0884"/>
    <w:rsid w:val="009C09D4"/>
    <w:rsid w:val="009C1004"/>
    <w:rsid w:val="009C1125"/>
    <w:rsid w:val="009C11A5"/>
    <w:rsid w:val="009C1388"/>
    <w:rsid w:val="009C16B3"/>
    <w:rsid w:val="009C17FA"/>
    <w:rsid w:val="009C1C1A"/>
    <w:rsid w:val="009C21AF"/>
    <w:rsid w:val="009C2CD6"/>
    <w:rsid w:val="009C2FC2"/>
    <w:rsid w:val="009C31A5"/>
    <w:rsid w:val="009C345F"/>
    <w:rsid w:val="009C36E5"/>
    <w:rsid w:val="009C40CA"/>
    <w:rsid w:val="009C4212"/>
    <w:rsid w:val="009C54BA"/>
    <w:rsid w:val="009C5B99"/>
    <w:rsid w:val="009C5FEC"/>
    <w:rsid w:val="009C65B1"/>
    <w:rsid w:val="009C6BFD"/>
    <w:rsid w:val="009C6DB0"/>
    <w:rsid w:val="009C7237"/>
    <w:rsid w:val="009C772A"/>
    <w:rsid w:val="009D03F6"/>
    <w:rsid w:val="009D041A"/>
    <w:rsid w:val="009D0BBA"/>
    <w:rsid w:val="009D0DB8"/>
    <w:rsid w:val="009D1924"/>
    <w:rsid w:val="009D250D"/>
    <w:rsid w:val="009D2AAC"/>
    <w:rsid w:val="009D301E"/>
    <w:rsid w:val="009D40FD"/>
    <w:rsid w:val="009D470A"/>
    <w:rsid w:val="009D4757"/>
    <w:rsid w:val="009D4988"/>
    <w:rsid w:val="009D513A"/>
    <w:rsid w:val="009D539C"/>
    <w:rsid w:val="009D566B"/>
    <w:rsid w:val="009D5826"/>
    <w:rsid w:val="009D6375"/>
    <w:rsid w:val="009D673B"/>
    <w:rsid w:val="009D6D5A"/>
    <w:rsid w:val="009D72C4"/>
    <w:rsid w:val="009D7447"/>
    <w:rsid w:val="009D7D39"/>
    <w:rsid w:val="009D7DBC"/>
    <w:rsid w:val="009E04DA"/>
    <w:rsid w:val="009E064C"/>
    <w:rsid w:val="009E0702"/>
    <w:rsid w:val="009E1075"/>
    <w:rsid w:val="009E1791"/>
    <w:rsid w:val="009E212A"/>
    <w:rsid w:val="009E27A0"/>
    <w:rsid w:val="009E28DD"/>
    <w:rsid w:val="009E2EB2"/>
    <w:rsid w:val="009E3689"/>
    <w:rsid w:val="009E375C"/>
    <w:rsid w:val="009E3BAC"/>
    <w:rsid w:val="009E3EDB"/>
    <w:rsid w:val="009E4094"/>
    <w:rsid w:val="009E4615"/>
    <w:rsid w:val="009E48EB"/>
    <w:rsid w:val="009E4BD9"/>
    <w:rsid w:val="009E4C88"/>
    <w:rsid w:val="009E4E38"/>
    <w:rsid w:val="009E4F35"/>
    <w:rsid w:val="009E551C"/>
    <w:rsid w:val="009E5E91"/>
    <w:rsid w:val="009E622D"/>
    <w:rsid w:val="009E62CF"/>
    <w:rsid w:val="009E6537"/>
    <w:rsid w:val="009E76FD"/>
    <w:rsid w:val="009E7765"/>
    <w:rsid w:val="009F045C"/>
    <w:rsid w:val="009F0844"/>
    <w:rsid w:val="009F0A46"/>
    <w:rsid w:val="009F196A"/>
    <w:rsid w:val="009F1B40"/>
    <w:rsid w:val="009F2CB5"/>
    <w:rsid w:val="009F3075"/>
    <w:rsid w:val="009F33ED"/>
    <w:rsid w:val="009F3A43"/>
    <w:rsid w:val="009F3BA2"/>
    <w:rsid w:val="009F3BCB"/>
    <w:rsid w:val="009F3D9A"/>
    <w:rsid w:val="009F4570"/>
    <w:rsid w:val="009F4724"/>
    <w:rsid w:val="009F4832"/>
    <w:rsid w:val="009F4B57"/>
    <w:rsid w:val="009F4EC4"/>
    <w:rsid w:val="009F5619"/>
    <w:rsid w:val="009F5DE2"/>
    <w:rsid w:val="009F5E33"/>
    <w:rsid w:val="009F6279"/>
    <w:rsid w:val="009F6377"/>
    <w:rsid w:val="009F64BB"/>
    <w:rsid w:val="009F7249"/>
    <w:rsid w:val="009F7322"/>
    <w:rsid w:val="009F7678"/>
    <w:rsid w:val="009F76D7"/>
    <w:rsid w:val="009F76F4"/>
    <w:rsid w:val="009F780D"/>
    <w:rsid w:val="009F79E0"/>
    <w:rsid w:val="009F7B21"/>
    <w:rsid w:val="009F7D83"/>
    <w:rsid w:val="00A00AF7"/>
    <w:rsid w:val="00A00E0D"/>
    <w:rsid w:val="00A01B7F"/>
    <w:rsid w:val="00A034FE"/>
    <w:rsid w:val="00A04470"/>
    <w:rsid w:val="00A0448E"/>
    <w:rsid w:val="00A0461B"/>
    <w:rsid w:val="00A04D2E"/>
    <w:rsid w:val="00A04F2A"/>
    <w:rsid w:val="00A05C19"/>
    <w:rsid w:val="00A05D2A"/>
    <w:rsid w:val="00A06D24"/>
    <w:rsid w:val="00A0742E"/>
    <w:rsid w:val="00A075BF"/>
    <w:rsid w:val="00A0778D"/>
    <w:rsid w:val="00A10625"/>
    <w:rsid w:val="00A1089B"/>
    <w:rsid w:val="00A108BF"/>
    <w:rsid w:val="00A11145"/>
    <w:rsid w:val="00A114EA"/>
    <w:rsid w:val="00A115A4"/>
    <w:rsid w:val="00A115D7"/>
    <w:rsid w:val="00A11A57"/>
    <w:rsid w:val="00A11B55"/>
    <w:rsid w:val="00A12169"/>
    <w:rsid w:val="00A13897"/>
    <w:rsid w:val="00A13983"/>
    <w:rsid w:val="00A13CC0"/>
    <w:rsid w:val="00A14240"/>
    <w:rsid w:val="00A143F8"/>
    <w:rsid w:val="00A14556"/>
    <w:rsid w:val="00A1485E"/>
    <w:rsid w:val="00A150B6"/>
    <w:rsid w:val="00A152F2"/>
    <w:rsid w:val="00A16707"/>
    <w:rsid w:val="00A17017"/>
    <w:rsid w:val="00A17A53"/>
    <w:rsid w:val="00A200AE"/>
    <w:rsid w:val="00A20386"/>
    <w:rsid w:val="00A20E5B"/>
    <w:rsid w:val="00A218AA"/>
    <w:rsid w:val="00A223F3"/>
    <w:rsid w:val="00A241B1"/>
    <w:rsid w:val="00A24F35"/>
    <w:rsid w:val="00A24F4E"/>
    <w:rsid w:val="00A25864"/>
    <w:rsid w:val="00A26416"/>
    <w:rsid w:val="00A26508"/>
    <w:rsid w:val="00A272C7"/>
    <w:rsid w:val="00A27B9F"/>
    <w:rsid w:val="00A27F46"/>
    <w:rsid w:val="00A30926"/>
    <w:rsid w:val="00A30EBD"/>
    <w:rsid w:val="00A31B4E"/>
    <w:rsid w:val="00A31B8E"/>
    <w:rsid w:val="00A31D7C"/>
    <w:rsid w:val="00A32018"/>
    <w:rsid w:val="00A3235F"/>
    <w:rsid w:val="00A3239A"/>
    <w:rsid w:val="00A326D5"/>
    <w:rsid w:val="00A32FB7"/>
    <w:rsid w:val="00A33FEB"/>
    <w:rsid w:val="00A34760"/>
    <w:rsid w:val="00A34B32"/>
    <w:rsid w:val="00A350FD"/>
    <w:rsid w:val="00A351C1"/>
    <w:rsid w:val="00A3538F"/>
    <w:rsid w:val="00A355E9"/>
    <w:rsid w:val="00A35606"/>
    <w:rsid w:val="00A358C2"/>
    <w:rsid w:val="00A35B41"/>
    <w:rsid w:val="00A35C9D"/>
    <w:rsid w:val="00A36588"/>
    <w:rsid w:val="00A37570"/>
    <w:rsid w:val="00A37928"/>
    <w:rsid w:val="00A37AF5"/>
    <w:rsid w:val="00A400A2"/>
    <w:rsid w:val="00A42396"/>
    <w:rsid w:val="00A42B30"/>
    <w:rsid w:val="00A42B4A"/>
    <w:rsid w:val="00A42D00"/>
    <w:rsid w:val="00A43D4E"/>
    <w:rsid w:val="00A44023"/>
    <w:rsid w:val="00A44182"/>
    <w:rsid w:val="00A4432C"/>
    <w:rsid w:val="00A44508"/>
    <w:rsid w:val="00A446EE"/>
    <w:rsid w:val="00A44757"/>
    <w:rsid w:val="00A44E9F"/>
    <w:rsid w:val="00A4556B"/>
    <w:rsid w:val="00A45E75"/>
    <w:rsid w:val="00A46028"/>
    <w:rsid w:val="00A46480"/>
    <w:rsid w:val="00A46922"/>
    <w:rsid w:val="00A46B7E"/>
    <w:rsid w:val="00A46C50"/>
    <w:rsid w:val="00A474CB"/>
    <w:rsid w:val="00A50509"/>
    <w:rsid w:val="00A50CF2"/>
    <w:rsid w:val="00A5149C"/>
    <w:rsid w:val="00A51FB2"/>
    <w:rsid w:val="00A52E7E"/>
    <w:rsid w:val="00A53371"/>
    <w:rsid w:val="00A543C7"/>
    <w:rsid w:val="00A54C04"/>
    <w:rsid w:val="00A55429"/>
    <w:rsid w:val="00A554A0"/>
    <w:rsid w:val="00A55FDE"/>
    <w:rsid w:val="00A56090"/>
    <w:rsid w:val="00A602DD"/>
    <w:rsid w:val="00A604D9"/>
    <w:rsid w:val="00A6073F"/>
    <w:rsid w:val="00A60767"/>
    <w:rsid w:val="00A61B68"/>
    <w:rsid w:val="00A61C9F"/>
    <w:rsid w:val="00A61D1F"/>
    <w:rsid w:val="00A6333F"/>
    <w:rsid w:val="00A634FE"/>
    <w:rsid w:val="00A64224"/>
    <w:rsid w:val="00A650B2"/>
    <w:rsid w:val="00A6645B"/>
    <w:rsid w:val="00A67C45"/>
    <w:rsid w:val="00A708A5"/>
    <w:rsid w:val="00A70A7E"/>
    <w:rsid w:val="00A71651"/>
    <w:rsid w:val="00A71A78"/>
    <w:rsid w:val="00A71C22"/>
    <w:rsid w:val="00A71F6F"/>
    <w:rsid w:val="00A72C35"/>
    <w:rsid w:val="00A72E1A"/>
    <w:rsid w:val="00A734A0"/>
    <w:rsid w:val="00A7352A"/>
    <w:rsid w:val="00A75050"/>
    <w:rsid w:val="00A75591"/>
    <w:rsid w:val="00A75DB3"/>
    <w:rsid w:val="00A76370"/>
    <w:rsid w:val="00A76E0F"/>
    <w:rsid w:val="00A7781D"/>
    <w:rsid w:val="00A809AE"/>
    <w:rsid w:val="00A80A7D"/>
    <w:rsid w:val="00A8153D"/>
    <w:rsid w:val="00A81E10"/>
    <w:rsid w:val="00A81F6B"/>
    <w:rsid w:val="00A81FA1"/>
    <w:rsid w:val="00A83486"/>
    <w:rsid w:val="00A83611"/>
    <w:rsid w:val="00A83C41"/>
    <w:rsid w:val="00A84595"/>
    <w:rsid w:val="00A845D9"/>
    <w:rsid w:val="00A846BF"/>
    <w:rsid w:val="00A85AD4"/>
    <w:rsid w:val="00A862DA"/>
    <w:rsid w:val="00A864D5"/>
    <w:rsid w:val="00A86737"/>
    <w:rsid w:val="00A86DCB"/>
    <w:rsid w:val="00A86E36"/>
    <w:rsid w:val="00A872E5"/>
    <w:rsid w:val="00A87483"/>
    <w:rsid w:val="00A87A70"/>
    <w:rsid w:val="00A90420"/>
    <w:rsid w:val="00A90B30"/>
    <w:rsid w:val="00A91792"/>
    <w:rsid w:val="00A930D4"/>
    <w:rsid w:val="00A93FD6"/>
    <w:rsid w:val="00A944AB"/>
    <w:rsid w:val="00A945A2"/>
    <w:rsid w:val="00A950A2"/>
    <w:rsid w:val="00A95103"/>
    <w:rsid w:val="00A95763"/>
    <w:rsid w:val="00A96067"/>
    <w:rsid w:val="00A96F4D"/>
    <w:rsid w:val="00A9785C"/>
    <w:rsid w:val="00A97D73"/>
    <w:rsid w:val="00AA03D2"/>
    <w:rsid w:val="00AA0A76"/>
    <w:rsid w:val="00AA0AD1"/>
    <w:rsid w:val="00AA1A4F"/>
    <w:rsid w:val="00AA1B9F"/>
    <w:rsid w:val="00AA2F05"/>
    <w:rsid w:val="00AA3263"/>
    <w:rsid w:val="00AA38D2"/>
    <w:rsid w:val="00AA3E67"/>
    <w:rsid w:val="00AA401D"/>
    <w:rsid w:val="00AA42AB"/>
    <w:rsid w:val="00AA4EEC"/>
    <w:rsid w:val="00AA5366"/>
    <w:rsid w:val="00AA6108"/>
    <w:rsid w:val="00AA657F"/>
    <w:rsid w:val="00AA7000"/>
    <w:rsid w:val="00AA75B0"/>
    <w:rsid w:val="00AA7DCB"/>
    <w:rsid w:val="00AB0598"/>
    <w:rsid w:val="00AB05A2"/>
    <w:rsid w:val="00AB091D"/>
    <w:rsid w:val="00AB0A2C"/>
    <w:rsid w:val="00AB1178"/>
    <w:rsid w:val="00AB1212"/>
    <w:rsid w:val="00AB12F9"/>
    <w:rsid w:val="00AB1EDD"/>
    <w:rsid w:val="00AB20CF"/>
    <w:rsid w:val="00AB2224"/>
    <w:rsid w:val="00AB2926"/>
    <w:rsid w:val="00AB347F"/>
    <w:rsid w:val="00AB3890"/>
    <w:rsid w:val="00AB3A5E"/>
    <w:rsid w:val="00AB4EA6"/>
    <w:rsid w:val="00AB5008"/>
    <w:rsid w:val="00AB502F"/>
    <w:rsid w:val="00AB5639"/>
    <w:rsid w:val="00AB58C3"/>
    <w:rsid w:val="00AB5D37"/>
    <w:rsid w:val="00AB6139"/>
    <w:rsid w:val="00AB6301"/>
    <w:rsid w:val="00AB72AA"/>
    <w:rsid w:val="00AB7CE7"/>
    <w:rsid w:val="00AC0049"/>
    <w:rsid w:val="00AC05F8"/>
    <w:rsid w:val="00AC0655"/>
    <w:rsid w:val="00AC1091"/>
    <w:rsid w:val="00AC15EF"/>
    <w:rsid w:val="00AC1908"/>
    <w:rsid w:val="00AC1999"/>
    <w:rsid w:val="00AC1C57"/>
    <w:rsid w:val="00AC1CAC"/>
    <w:rsid w:val="00AC1DB5"/>
    <w:rsid w:val="00AC224B"/>
    <w:rsid w:val="00AC27AC"/>
    <w:rsid w:val="00AC2F02"/>
    <w:rsid w:val="00AC2FEA"/>
    <w:rsid w:val="00AC3768"/>
    <w:rsid w:val="00AC3C14"/>
    <w:rsid w:val="00AC414F"/>
    <w:rsid w:val="00AC48B8"/>
    <w:rsid w:val="00AC499A"/>
    <w:rsid w:val="00AC4FF9"/>
    <w:rsid w:val="00AC536F"/>
    <w:rsid w:val="00AC6C2A"/>
    <w:rsid w:val="00AC6E4A"/>
    <w:rsid w:val="00AC7BB7"/>
    <w:rsid w:val="00AD06F4"/>
    <w:rsid w:val="00AD0B56"/>
    <w:rsid w:val="00AD1D69"/>
    <w:rsid w:val="00AD32BC"/>
    <w:rsid w:val="00AD381E"/>
    <w:rsid w:val="00AD445C"/>
    <w:rsid w:val="00AD4615"/>
    <w:rsid w:val="00AD4BFD"/>
    <w:rsid w:val="00AD5774"/>
    <w:rsid w:val="00AD6398"/>
    <w:rsid w:val="00AD6552"/>
    <w:rsid w:val="00AD7093"/>
    <w:rsid w:val="00AD74CE"/>
    <w:rsid w:val="00AE07D7"/>
    <w:rsid w:val="00AE0AB6"/>
    <w:rsid w:val="00AE189B"/>
    <w:rsid w:val="00AE192C"/>
    <w:rsid w:val="00AE1A81"/>
    <w:rsid w:val="00AE1B30"/>
    <w:rsid w:val="00AE27C2"/>
    <w:rsid w:val="00AE2822"/>
    <w:rsid w:val="00AE2AE3"/>
    <w:rsid w:val="00AE2B05"/>
    <w:rsid w:val="00AE2BA0"/>
    <w:rsid w:val="00AE30E3"/>
    <w:rsid w:val="00AE30F4"/>
    <w:rsid w:val="00AE3236"/>
    <w:rsid w:val="00AE3F67"/>
    <w:rsid w:val="00AE4328"/>
    <w:rsid w:val="00AE49C1"/>
    <w:rsid w:val="00AE49CB"/>
    <w:rsid w:val="00AE51EE"/>
    <w:rsid w:val="00AE53BA"/>
    <w:rsid w:val="00AE565B"/>
    <w:rsid w:val="00AE5E69"/>
    <w:rsid w:val="00AE5EB7"/>
    <w:rsid w:val="00AE61EB"/>
    <w:rsid w:val="00AE6820"/>
    <w:rsid w:val="00AE68AD"/>
    <w:rsid w:val="00AE6DA6"/>
    <w:rsid w:val="00AE7AF6"/>
    <w:rsid w:val="00AE7EB2"/>
    <w:rsid w:val="00AF0A87"/>
    <w:rsid w:val="00AF0C54"/>
    <w:rsid w:val="00AF1017"/>
    <w:rsid w:val="00AF1165"/>
    <w:rsid w:val="00AF1A27"/>
    <w:rsid w:val="00AF316C"/>
    <w:rsid w:val="00AF3644"/>
    <w:rsid w:val="00AF3B7F"/>
    <w:rsid w:val="00AF3C12"/>
    <w:rsid w:val="00AF3F9C"/>
    <w:rsid w:val="00AF40AF"/>
    <w:rsid w:val="00AF4B01"/>
    <w:rsid w:val="00AF515C"/>
    <w:rsid w:val="00AF53ED"/>
    <w:rsid w:val="00AF5C1E"/>
    <w:rsid w:val="00AF6716"/>
    <w:rsid w:val="00AF7B00"/>
    <w:rsid w:val="00B004FE"/>
    <w:rsid w:val="00B0088C"/>
    <w:rsid w:val="00B00DE5"/>
    <w:rsid w:val="00B00F1C"/>
    <w:rsid w:val="00B00FCE"/>
    <w:rsid w:val="00B010B7"/>
    <w:rsid w:val="00B0125F"/>
    <w:rsid w:val="00B01623"/>
    <w:rsid w:val="00B016E8"/>
    <w:rsid w:val="00B01968"/>
    <w:rsid w:val="00B01BD1"/>
    <w:rsid w:val="00B023C4"/>
    <w:rsid w:val="00B02910"/>
    <w:rsid w:val="00B02B0F"/>
    <w:rsid w:val="00B03FE5"/>
    <w:rsid w:val="00B04718"/>
    <w:rsid w:val="00B0530D"/>
    <w:rsid w:val="00B0548E"/>
    <w:rsid w:val="00B05F59"/>
    <w:rsid w:val="00B06266"/>
    <w:rsid w:val="00B063AF"/>
    <w:rsid w:val="00B06F33"/>
    <w:rsid w:val="00B07BB3"/>
    <w:rsid w:val="00B10342"/>
    <w:rsid w:val="00B117AC"/>
    <w:rsid w:val="00B117FC"/>
    <w:rsid w:val="00B1191F"/>
    <w:rsid w:val="00B11C88"/>
    <w:rsid w:val="00B11E2D"/>
    <w:rsid w:val="00B1204C"/>
    <w:rsid w:val="00B122D7"/>
    <w:rsid w:val="00B13131"/>
    <w:rsid w:val="00B143A2"/>
    <w:rsid w:val="00B144A1"/>
    <w:rsid w:val="00B14F64"/>
    <w:rsid w:val="00B15730"/>
    <w:rsid w:val="00B15D3F"/>
    <w:rsid w:val="00B15DBA"/>
    <w:rsid w:val="00B1626B"/>
    <w:rsid w:val="00B168B9"/>
    <w:rsid w:val="00B16B40"/>
    <w:rsid w:val="00B17421"/>
    <w:rsid w:val="00B17495"/>
    <w:rsid w:val="00B177AD"/>
    <w:rsid w:val="00B17D70"/>
    <w:rsid w:val="00B17EE2"/>
    <w:rsid w:val="00B20341"/>
    <w:rsid w:val="00B20696"/>
    <w:rsid w:val="00B20AB0"/>
    <w:rsid w:val="00B21480"/>
    <w:rsid w:val="00B21F8A"/>
    <w:rsid w:val="00B22707"/>
    <w:rsid w:val="00B234E7"/>
    <w:rsid w:val="00B23659"/>
    <w:rsid w:val="00B2384E"/>
    <w:rsid w:val="00B23961"/>
    <w:rsid w:val="00B23E97"/>
    <w:rsid w:val="00B24090"/>
    <w:rsid w:val="00B24826"/>
    <w:rsid w:val="00B259F4"/>
    <w:rsid w:val="00B262CD"/>
    <w:rsid w:val="00B26588"/>
    <w:rsid w:val="00B267C3"/>
    <w:rsid w:val="00B26C91"/>
    <w:rsid w:val="00B276CF"/>
    <w:rsid w:val="00B27748"/>
    <w:rsid w:val="00B277A8"/>
    <w:rsid w:val="00B27CC9"/>
    <w:rsid w:val="00B27EEF"/>
    <w:rsid w:val="00B303AD"/>
    <w:rsid w:val="00B30C2D"/>
    <w:rsid w:val="00B30C7F"/>
    <w:rsid w:val="00B30EEC"/>
    <w:rsid w:val="00B3114C"/>
    <w:rsid w:val="00B31180"/>
    <w:rsid w:val="00B320CA"/>
    <w:rsid w:val="00B336AD"/>
    <w:rsid w:val="00B33708"/>
    <w:rsid w:val="00B3417D"/>
    <w:rsid w:val="00B352F7"/>
    <w:rsid w:val="00B359D8"/>
    <w:rsid w:val="00B35E67"/>
    <w:rsid w:val="00B36B32"/>
    <w:rsid w:val="00B36BC4"/>
    <w:rsid w:val="00B36ED2"/>
    <w:rsid w:val="00B3723E"/>
    <w:rsid w:val="00B379C0"/>
    <w:rsid w:val="00B37F83"/>
    <w:rsid w:val="00B4077D"/>
    <w:rsid w:val="00B40875"/>
    <w:rsid w:val="00B40E23"/>
    <w:rsid w:val="00B41029"/>
    <w:rsid w:val="00B416A6"/>
    <w:rsid w:val="00B4295D"/>
    <w:rsid w:val="00B42D7A"/>
    <w:rsid w:val="00B42E5A"/>
    <w:rsid w:val="00B430C9"/>
    <w:rsid w:val="00B432ED"/>
    <w:rsid w:val="00B43618"/>
    <w:rsid w:val="00B43AE7"/>
    <w:rsid w:val="00B43E59"/>
    <w:rsid w:val="00B44696"/>
    <w:rsid w:val="00B44902"/>
    <w:rsid w:val="00B44E90"/>
    <w:rsid w:val="00B4508E"/>
    <w:rsid w:val="00B4512A"/>
    <w:rsid w:val="00B45162"/>
    <w:rsid w:val="00B46033"/>
    <w:rsid w:val="00B46116"/>
    <w:rsid w:val="00B47986"/>
    <w:rsid w:val="00B507F8"/>
    <w:rsid w:val="00B5108A"/>
    <w:rsid w:val="00B5142A"/>
    <w:rsid w:val="00B51785"/>
    <w:rsid w:val="00B52151"/>
    <w:rsid w:val="00B521FF"/>
    <w:rsid w:val="00B523F7"/>
    <w:rsid w:val="00B52506"/>
    <w:rsid w:val="00B5342F"/>
    <w:rsid w:val="00B53579"/>
    <w:rsid w:val="00B53CAD"/>
    <w:rsid w:val="00B53F57"/>
    <w:rsid w:val="00B54C95"/>
    <w:rsid w:val="00B54F9C"/>
    <w:rsid w:val="00B55296"/>
    <w:rsid w:val="00B55310"/>
    <w:rsid w:val="00B5545D"/>
    <w:rsid w:val="00B56688"/>
    <w:rsid w:val="00B56EB0"/>
    <w:rsid w:val="00B56F7C"/>
    <w:rsid w:val="00B570CD"/>
    <w:rsid w:val="00B572B1"/>
    <w:rsid w:val="00B5765F"/>
    <w:rsid w:val="00B604D4"/>
    <w:rsid w:val="00B605C5"/>
    <w:rsid w:val="00B605CA"/>
    <w:rsid w:val="00B608E7"/>
    <w:rsid w:val="00B60BF3"/>
    <w:rsid w:val="00B60F6D"/>
    <w:rsid w:val="00B612AC"/>
    <w:rsid w:val="00B61BB0"/>
    <w:rsid w:val="00B62480"/>
    <w:rsid w:val="00B635A2"/>
    <w:rsid w:val="00B63B43"/>
    <w:rsid w:val="00B63B4C"/>
    <w:rsid w:val="00B63DF4"/>
    <w:rsid w:val="00B65224"/>
    <w:rsid w:val="00B65D0D"/>
    <w:rsid w:val="00B65EA9"/>
    <w:rsid w:val="00B67050"/>
    <w:rsid w:val="00B67E75"/>
    <w:rsid w:val="00B70010"/>
    <w:rsid w:val="00B701CF"/>
    <w:rsid w:val="00B70CC3"/>
    <w:rsid w:val="00B72310"/>
    <w:rsid w:val="00B72710"/>
    <w:rsid w:val="00B72F08"/>
    <w:rsid w:val="00B7322F"/>
    <w:rsid w:val="00B734DE"/>
    <w:rsid w:val="00B73751"/>
    <w:rsid w:val="00B73A34"/>
    <w:rsid w:val="00B73A82"/>
    <w:rsid w:val="00B73A90"/>
    <w:rsid w:val="00B74062"/>
    <w:rsid w:val="00B741D7"/>
    <w:rsid w:val="00B74624"/>
    <w:rsid w:val="00B7492D"/>
    <w:rsid w:val="00B74A81"/>
    <w:rsid w:val="00B7520F"/>
    <w:rsid w:val="00B7585C"/>
    <w:rsid w:val="00B759C7"/>
    <w:rsid w:val="00B760FF"/>
    <w:rsid w:val="00B765DF"/>
    <w:rsid w:val="00B76895"/>
    <w:rsid w:val="00B76C45"/>
    <w:rsid w:val="00B773C0"/>
    <w:rsid w:val="00B77C6E"/>
    <w:rsid w:val="00B77F4A"/>
    <w:rsid w:val="00B80185"/>
    <w:rsid w:val="00B807DB"/>
    <w:rsid w:val="00B817D7"/>
    <w:rsid w:val="00B818C5"/>
    <w:rsid w:val="00B81F84"/>
    <w:rsid w:val="00B8323C"/>
    <w:rsid w:val="00B83976"/>
    <w:rsid w:val="00B84085"/>
    <w:rsid w:val="00B84B76"/>
    <w:rsid w:val="00B84C1D"/>
    <w:rsid w:val="00B8527D"/>
    <w:rsid w:val="00B86360"/>
    <w:rsid w:val="00B86825"/>
    <w:rsid w:val="00B86845"/>
    <w:rsid w:val="00B86A63"/>
    <w:rsid w:val="00B8739A"/>
    <w:rsid w:val="00B90A44"/>
    <w:rsid w:val="00B90B35"/>
    <w:rsid w:val="00B911EB"/>
    <w:rsid w:val="00B9149A"/>
    <w:rsid w:val="00B91E73"/>
    <w:rsid w:val="00B9239C"/>
    <w:rsid w:val="00B92B0D"/>
    <w:rsid w:val="00B92CFA"/>
    <w:rsid w:val="00B93E07"/>
    <w:rsid w:val="00B94093"/>
    <w:rsid w:val="00B944B4"/>
    <w:rsid w:val="00B947BA"/>
    <w:rsid w:val="00B94AEA"/>
    <w:rsid w:val="00B94B6C"/>
    <w:rsid w:val="00B95094"/>
    <w:rsid w:val="00B9607E"/>
    <w:rsid w:val="00B961EF"/>
    <w:rsid w:val="00B9640C"/>
    <w:rsid w:val="00B96E2F"/>
    <w:rsid w:val="00B97265"/>
    <w:rsid w:val="00B973DE"/>
    <w:rsid w:val="00B9770A"/>
    <w:rsid w:val="00B9780A"/>
    <w:rsid w:val="00BA0106"/>
    <w:rsid w:val="00BA020E"/>
    <w:rsid w:val="00BA10C5"/>
    <w:rsid w:val="00BA1621"/>
    <w:rsid w:val="00BA2EFA"/>
    <w:rsid w:val="00BA30BE"/>
    <w:rsid w:val="00BA325C"/>
    <w:rsid w:val="00BA42FD"/>
    <w:rsid w:val="00BA4611"/>
    <w:rsid w:val="00BA480C"/>
    <w:rsid w:val="00BA4E37"/>
    <w:rsid w:val="00BA52F4"/>
    <w:rsid w:val="00BA68D9"/>
    <w:rsid w:val="00BA6DCC"/>
    <w:rsid w:val="00BA7D10"/>
    <w:rsid w:val="00BB0071"/>
    <w:rsid w:val="00BB0841"/>
    <w:rsid w:val="00BB08D5"/>
    <w:rsid w:val="00BB0FBD"/>
    <w:rsid w:val="00BB158E"/>
    <w:rsid w:val="00BB1802"/>
    <w:rsid w:val="00BB280B"/>
    <w:rsid w:val="00BB2BCC"/>
    <w:rsid w:val="00BB3CCB"/>
    <w:rsid w:val="00BB4144"/>
    <w:rsid w:val="00BB5692"/>
    <w:rsid w:val="00BB5A59"/>
    <w:rsid w:val="00BB5E4A"/>
    <w:rsid w:val="00BB64C1"/>
    <w:rsid w:val="00BB686B"/>
    <w:rsid w:val="00BB74B7"/>
    <w:rsid w:val="00BB7EA0"/>
    <w:rsid w:val="00BC01E9"/>
    <w:rsid w:val="00BC0530"/>
    <w:rsid w:val="00BC07B6"/>
    <w:rsid w:val="00BC12E8"/>
    <w:rsid w:val="00BC21EA"/>
    <w:rsid w:val="00BC24B8"/>
    <w:rsid w:val="00BC26ED"/>
    <w:rsid w:val="00BC2710"/>
    <w:rsid w:val="00BC284C"/>
    <w:rsid w:val="00BC2DDD"/>
    <w:rsid w:val="00BC2E78"/>
    <w:rsid w:val="00BC3012"/>
    <w:rsid w:val="00BC30EC"/>
    <w:rsid w:val="00BC3212"/>
    <w:rsid w:val="00BC32D0"/>
    <w:rsid w:val="00BC4730"/>
    <w:rsid w:val="00BC5129"/>
    <w:rsid w:val="00BC5817"/>
    <w:rsid w:val="00BC624A"/>
    <w:rsid w:val="00BC6274"/>
    <w:rsid w:val="00BC632D"/>
    <w:rsid w:val="00BC6B83"/>
    <w:rsid w:val="00BC6DAB"/>
    <w:rsid w:val="00BC7B41"/>
    <w:rsid w:val="00BD01A5"/>
    <w:rsid w:val="00BD0328"/>
    <w:rsid w:val="00BD04DF"/>
    <w:rsid w:val="00BD05CC"/>
    <w:rsid w:val="00BD17D1"/>
    <w:rsid w:val="00BD1A43"/>
    <w:rsid w:val="00BD1F9F"/>
    <w:rsid w:val="00BD2507"/>
    <w:rsid w:val="00BD2549"/>
    <w:rsid w:val="00BD2A2E"/>
    <w:rsid w:val="00BD3879"/>
    <w:rsid w:val="00BD3BBA"/>
    <w:rsid w:val="00BD4064"/>
    <w:rsid w:val="00BD40BD"/>
    <w:rsid w:val="00BD42E1"/>
    <w:rsid w:val="00BD4676"/>
    <w:rsid w:val="00BD4B00"/>
    <w:rsid w:val="00BD4D8B"/>
    <w:rsid w:val="00BD50BD"/>
    <w:rsid w:val="00BD51F9"/>
    <w:rsid w:val="00BD56F8"/>
    <w:rsid w:val="00BD5862"/>
    <w:rsid w:val="00BD604C"/>
    <w:rsid w:val="00BD612E"/>
    <w:rsid w:val="00BD6A3C"/>
    <w:rsid w:val="00BD7174"/>
    <w:rsid w:val="00BD7782"/>
    <w:rsid w:val="00BD7926"/>
    <w:rsid w:val="00BD7DB6"/>
    <w:rsid w:val="00BE0164"/>
    <w:rsid w:val="00BE0488"/>
    <w:rsid w:val="00BE061F"/>
    <w:rsid w:val="00BE06D1"/>
    <w:rsid w:val="00BE080F"/>
    <w:rsid w:val="00BE0DF6"/>
    <w:rsid w:val="00BE1858"/>
    <w:rsid w:val="00BE1BB8"/>
    <w:rsid w:val="00BE1CE1"/>
    <w:rsid w:val="00BE1E85"/>
    <w:rsid w:val="00BE2B56"/>
    <w:rsid w:val="00BE31D4"/>
    <w:rsid w:val="00BE37EB"/>
    <w:rsid w:val="00BE3817"/>
    <w:rsid w:val="00BE43E8"/>
    <w:rsid w:val="00BE5DEA"/>
    <w:rsid w:val="00BE712F"/>
    <w:rsid w:val="00BE7C0E"/>
    <w:rsid w:val="00BE7F8F"/>
    <w:rsid w:val="00BF041B"/>
    <w:rsid w:val="00BF1733"/>
    <w:rsid w:val="00BF1AA3"/>
    <w:rsid w:val="00BF1E28"/>
    <w:rsid w:val="00BF2319"/>
    <w:rsid w:val="00BF25A7"/>
    <w:rsid w:val="00BF25B5"/>
    <w:rsid w:val="00BF3124"/>
    <w:rsid w:val="00BF3262"/>
    <w:rsid w:val="00BF3596"/>
    <w:rsid w:val="00BF3812"/>
    <w:rsid w:val="00BF4DAC"/>
    <w:rsid w:val="00BF4FEB"/>
    <w:rsid w:val="00BF5229"/>
    <w:rsid w:val="00BF6079"/>
    <w:rsid w:val="00BF71BE"/>
    <w:rsid w:val="00BF778B"/>
    <w:rsid w:val="00BF7ACB"/>
    <w:rsid w:val="00C00863"/>
    <w:rsid w:val="00C010F1"/>
    <w:rsid w:val="00C0153A"/>
    <w:rsid w:val="00C018E9"/>
    <w:rsid w:val="00C01D01"/>
    <w:rsid w:val="00C038F8"/>
    <w:rsid w:val="00C03B05"/>
    <w:rsid w:val="00C0414A"/>
    <w:rsid w:val="00C0423C"/>
    <w:rsid w:val="00C04D06"/>
    <w:rsid w:val="00C04F1E"/>
    <w:rsid w:val="00C0524D"/>
    <w:rsid w:val="00C052E7"/>
    <w:rsid w:val="00C05556"/>
    <w:rsid w:val="00C05574"/>
    <w:rsid w:val="00C061F8"/>
    <w:rsid w:val="00C07B54"/>
    <w:rsid w:val="00C100E4"/>
    <w:rsid w:val="00C10540"/>
    <w:rsid w:val="00C10545"/>
    <w:rsid w:val="00C105B1"/>
    <w:rsid w:val="00C1074B"/>
    <w:rsid w:val="00C10F4C"/>
    <w:rsid w:val="00C11267"/>
    <w:rsid w:val="00C1127E"/>
    <w:rsid w:val="00C112AC"/>
    <w:rsid w:val="00C117F3"/>
    <w:rsid w:val="00C11B15"/>
    <w:rsid w:val="00C11CAC"/>
    <w:rsid w:val="00C12827"/>
    <w:rsid w:val="00C12DEF"/>
    <w:rsid w:val="00C13CCB"/>
    <w:rsid w:val="00C1460D"/>
    <w:rsid w:val="00C15507"/>
    <w:rsid w:val="00C15643"/>
    <w:rsid w:val="00C15F9A"/>
    <w:rsid w:val="00C165E0"/>
    <w:rsid w:val="00C16D04"/>
    <w:rsid w:val="00C17FBB"/>
    <w:rsid w:val="00C20538"/>
    <w:rsid w:val="00C20B92"/>
    <w:rsid w:val="00C20E2A"/>
    <w:rsid w:val="00C22CBD"/>
    <w:rsid w:val="00C23AF0"/>
    <w:rsid w:val="00C23AFC"/>
    <w:rsid w:val="00C24034"/>
    <w:rsid w:val="00C2425B"/>
    <w:rsid w:val="00C258B5"/>
    <w:rsid w:val="00C259EB"/>
    <w:rsid w:val="00C25D0C"/>
    <w:rsid w:val="00C261F7"/>
    <w:rsid w:val="00C26987"/>
    <w:rsid w:val="00C26B63"/>
    <w:rsid w:val="00C270F4"/>
    <w:rsid w:val="00C27581"/>
    <w:rsid w:val="00C3105B"/>
    <w:rsid w:val="00C316AC"/>
    <w:rsid w:val="00C317A5"/>
    <w:rsid w:val="00C31A14"/>
    <w:rsid w:val="00C32033"/>
    <w:rsid w:val="00C326A7"/>
    <w:rsid w:val="00C33A7E"/>
    <w:rsid w:val="00C33EF9"/>
    <w:rsid w:val="00C341C9"/>
    <w:rsid w:val="00C349AA"/>
    <w:rsid w:val="00C358C2"/>
    <w:rsid w:val="00C35EFA"/>
    <w:rsid w:val="00C3614B"/>
    <w:rsid w:val="00C36D38"/>
    <w:rsid w:val="00C377B9"/>
    <w:rsid w:val="00C37908"/>
    <w:rsid w:val="00C37C8B"/>
    <w:rsid w:val="00C40133"/>
    <w:rsid w:val="00C410F0"/>
    <w:rsid w:val="00C41219"/>
    <w:rsid w:val="00C42452"/>
    <w:rsid w:val="00C425B1"/>
    <w:rsid w:val="00C42AE6"/>
    <w:rsid w:val="00C42B7A"/>
    <w:rsid w:val="00C4313D"/>
    <w:rsid w:val="00C438DA"/>
    <w:rsid w:val="00C439CC"/>
    <w:rsid w:val="00C43A0A"/>
    <w:rsid w:val="00C44705"/>
    <w:rsid w:val="00C4483A"/>
    <w:rsid w:val="00C44E87"/>
    <w:rsid w:val="00C44EFB"/>
    <w:rsid w:val="00C44FDC"/>
    <w:rsid w:val="00C4504B"/>
    <w:rsid w:val="00C45095"/>
    <w:rsid w:val="00C45908"/>
    <w:rsid w:val="00C45E08"/>
    <w:rsid w:val="00C46305"/>
    <w:rsid w:val="00C46C5D"/>
    <w:rsid w:val="00C47B31"/>
    <w:rsid w:val="00C50A96"/>
    <w:rsid w:val="00C50BAC"/>
    <w:rsid w:val="00C50F40"/>
    <w:rsid w:val="00C518DB"/>
    <w:rsid w:val="00C51EB6"/>
    <w:rsid w:val="00C522D5"/>
    <w:rsid w:val="00C525FD"/>
    <w:rsid w:val="00C526B2"/>
    <w:rsid w:val="00C5310A"/>
    <w:rsid w:val="00C5349F"/>
    <w:rsid w:val="00C53871"/>
    <w:rsid w:val="00C53DF2"/>
    <w:rsid w:val="00C53ED9"/>
    <w:rsid w:val="00C54461"/>
    <w:rsid w:val="00C5477C"/>
    <w:rsid w:val="00C54AC2"/>
    <w:rsid w:val="00C555F0"/>
    <w:rsid w:val="00C56608"/>
    <w:rsid w:val="00C56A3E"/>
    <w:rsid w:val="00C5739B"/>
    <w:rsid w:val="00C57B50"/>
    <w:rsid w:val="00C57D52"/>
    <w:rsid w:val="00C57DCD"/>
    <w:rsid w:val="00C603C5"/>
    <w:rsid w:val="00C60E10"/>
    <w:rsid w:val="00C618E7"/>
    <w:rsid w:val="00C61910"/>
    <w:rsid w:val="00C61D39"/>
    <w:rsid w:val="00C61D97"/>
    <w:rsid w:val="00C6216F"/>
    <w:rsid w:val="00C628D0"/>
    <w:rsid w:val="00C62900"/>
    <w:rsid w:val="00C62A1D"/>
    <w:rsid w:val="00C62DF4"/>
    <w:rsid w:val="00C63BAE"/>
    <w:rsid w:val="00C64A85"/>
    <w:rsid w:val="00C65076"/>
    <w:rsid w:val="00C6569F"/>
    <w:rsid w:val="00C66EB1"/>
    <w:rsid w:val="00C670FF"/>
    <w:rsid w:val="00C675E2"/>
    <w:rsid w:val="00C67E01"/>
    <w:rsid w:val="00C7000E"/>
    <w:rsid w:val="00C710EA"/>
    <w:rsid w:val="00C713C2"/>
    <w:rsid w:val="00C71452"/>
    <w:rsid w:val="00C71EB6"/>
    <w:rsid w:val="00C723A3"/>
    <w:rsid w:val="00C726E9"/>
    <w:rsid w:val="00C72AA9"/>
    <w:rsid w:val="00C7310D"/>
    <w:rsid w:val="00C73460"/>
    <w:rsid w:val="00C73623"/>
    <w:rsid w:val="00C73D7B"/>
    <w:rsid w:val="00C74240"/>
    <w:rsid w:val="00C74269"/>
    <w:rsid w:val="00C745F8"/>
    <w:rsid w:val="00C74861"/>
    <w:rsid w:val="00C75276"/>
    <w:rsid w:val="00C75635"/>
    <w:rsid w:val="00C7567D"/>
    <w:rsid w:val="00C75EEE"/>
    <w:rsid w:val="00C760CF"/>
    <w:rsid w:val="00C76593"/>
    <w:rsid w:val="00C766D0"/>
    <w:rsid w:val="00C7761F"/>
    <w:rsid w:val="00C7768A"/>
    <w:rsid w:val="00C805D1"/>
    <w:rsid w:val="00C81A2D"/>
    <w:rsid w:val="00C822F4"/>
    <w:rsid w:val="00C8242E"/>
    <w:rsid w:val="00C82C5B"/>
    <w:rsid w:val="00C82CEE"/>
    <w:rsid w:val="00C8323A"/>
    <w:rsid w:val="00C83541"/>
    <w:rsid w:val="00C836E1"/>
    <w:rsid w:val="00C84167"/>
    <w:rsid w:val="00C8444E"/>
    <w:rsid w:val="00C85427"/>
    <w:rsid w:val="00C857DD"/>
    <w:rsid w:val="00C85DA0"/>
    <w:rsid w:val="00C85EA8"/>
    <w:rsid w:val="00C87318"/>
    <w:rsid w:val="00C879B9"/>
    <w:rsid w:val="00C87F3F"/>
    <w:rsid w:val="00C90609"/>
    <w:rsid w:val="00C911C5"/>
    <w:rsid w:val="00C912C1"/>
    <w:rsid w:val="00C912CC"/>
    <w:rsid w:val="00C917C2"/>
    <w:rsid w:val="00C9198F"/>
    <w:rsid w:val="00C91C1D"/>
    <w:rsid w:val="00C92FCE"/>
    <w:rsid w:val="00C9324F"/>
    <w:rsid w:val="00C935B6"/>
    <w:rsid w:val="00C939CE"/>
    <w:rsid w:val="00C93E2A"/>
    <w:rsid w:val="00C943B5"/>
    <w:rsid w:val="00C9441A"/>
    <w:rsid w:val="00C94A1C"/>
    <w:rsid w:val="00C94CA0"/>
    <w:rsid w:val="00C95061"/>
    <w:rsid w:val="00C95282"/>
    <w:rsid w:val="00C953EA"/>
    <w:rsid w:val="00C95ED2"/>
    <w:rsid w:val="00C9637F"/>
    <w:rsid w:val="00C968DB"/>
    <w:rsid w:val="00C972EF"/>
    <w:rsid w:val="00C9736B"/>
    <w:rsid w:val="00C979D3"/>
    <w:rsid w:val="00C97A9D"/>
    <w:rsid w:val="00C97B16"/>
    <w:rsid w:val="00C97F3F"/>
    <w:rsid w:val="00CA08F5"/>
    <w:rsid w:val="00CA0962"/>
    <w:rsid w:val="00CA0D8B"/>
    <w:rsid w:val="00CA11BF"/>
    <w:rsid w:val="00CA142A"/>
    <w:rsid w:val="00CA175E"/>
    <w:rsid w:val="00CA1815"/>
    <w:rsid w:val="00CA2449"/>
    <w:rsid w:val="00CA39A5"/>
    <w:rsid w:val="00CA41FD"/>
    <w:rsid w:val="00CA504A"/>
    <w:rsid w:val="00CA5899"/>
    <w:rsid w:val="00CA5CA8"/>
    <w:rsid w:val="00CA6263"/>
    <w:rsid w:val="00CA68DD"/>
    <w:rsid w:val="00CA6966"/>
    <w:rsid w:val="00CA6969"/>
    <w:rsid w:val="00CA69FB"/>
    <w:rsid w:val="00CA6F34"/>
    <w:rsid w:val="00CA717F"/>
    <w:rsid w:val="00CA71F1"/>
    <w:rsid w:val="00CA7240"/>
    <w:rsid w:val="00CA7440"/>
    <w:rsid w:val="00CA75EB"/>
    <w:rsid w:val="00CA7EEC"/>
    <w:rsid w:val="00CB0381"/>
    <w:rsid w:val="00CB0580"/>
    <w:rsid w:val="00CB066F"/>
    <w:rsid w:val="00CB0993"/>
    <w:rsid w:val="00CB1D42"/>
    <w:rsid w:val="00CB2084"/>
    <w:rsid w:val="00CB31C2"/>
    <w:rsid w:val="00CB347E"/>
    <w:rsid w:val="00CB3696"/>
    <w:rsid w:val="00CB3A1C"/>
    <w:rsid w:val="00CB3D5E"/>
    <w:rsid w:val="00CB3DFD"/>
    <w:rsid w:val="00CB4367"/>
    <w:rsid w:val="00CB51DB"/>
    <w:rsid w:val="00CB51EB"/>
    <w:rsid w:val="00CB52BB"/>
    <w:rsid w:val="00CB55B5"/>
    <w:rsid w:val="00CB5778"/>
    <w:rsid w:val="00CB5912"/>
    <w:rsid w:val="00CB5C35"/>
    <w:rsid w:val="00CB5D1A"/>
    <w:rsid w:val="00CB5F9D"/>
    <w:rsid w:val="00CB666A"/>
    <w:rsid w:val="00CB6798"/>
    <w:rsid w:val="00CB6CCB"/>
    <w:rsid w:val="00CB6D94"/>
    <w:rsid w:val="00CB7111"/>
    <w:rsid w:val="00CB76FF"/>
    <w:rsid w:val="00CB7759"/>
    <w:rsid w:val="00CB78F0"/>
    <w:rsid w:val="00CB7F86"/>
    <w:rsid w:val="00CC0171"/>
    <w:rsid w:val="00CC03D6"/>
    <w:rsid w:val="00CC0505"/>
    <w:rsid w:val="00CC11A6"/>
    <w:rsid w:val="00CC1587"/>
    <w:rsid w:val="00CC15DB"/>
    <w:rsid w:val="00CC160F"/>
    <w:rsid w:val="00CC1B05"/>
    <w:rsid w:val="00CC1E39"/>
    <w:rsid w:val="00CC1EF6"/>
    <w:rsid w:val="00CC26FD"/>
    <w:rsid w:val="00CC2F67"/>
    <w:rsid w:val="00CC3147"/>
    <w:rsid w:val="00CC378C"/>
    <w:rsid w:val="00CC3F4F"/>
    <w:rsid w:val="00CC4528"/>
    <w:rsid w:val="00CC45FA"/>
    <w:rsid w:val="00CC5720"/>
    <w:rsid w:val="00CC5DE8"/>
    <w:rsid w:val="00CC5F02"/>
    <w:rsid w:val="00CC5F9E"/>
    <w:rsid w:val="00CC6376"/>
    <w:rsid w:val="00CC659B"/>
    <w:rsid w:val="00CC6FA8"/>
    <w:rsid w:val="00CC70F6"/>
    <w:rsid w:val="00CC732C"/>
    <w:rsid w:val="00CD0271"/>
    <w:rsid w:val="00CD042B"/>
    <w:rsid w:val="00CD0AFC"/>
    <w:rsid w:val="00CD0D17"/>
    <w:rsid w:val="00CD0DDC"/>
    <w:rsid w:val="00CD1131"/>
    <w:rsid w:val="00CD16F9"/>
    <w:rsid w:val="00CD29D7"/>
    <w:rsid w:val="00CD2C33"/>
    <w:rsid w:val="00CD2DEC"/>
    <w:rsid w:val="00CD34C9"/>
    <w:rsid w:val="00CD381B"/>
    <w:rsid w:val="00CD44F0"/>
    <w:rsid w:val="00CD4A11"/>
    <w:rsid w:val="00CD4A34"/>
    <w:rsid w:val="00CD5F79"/>
    <w:rsid w:val="00CD67B2"/>
    <w:rsid w:val="00CD6B64"/>
    <w:rsid w:val="00CD747B"/>
    <w:rsid w:val="00CD75D8"/>
    <w:rsid w:val="00CD7671"/>
    <w:rsid w:val="00CD784E"/>
    <w:rsid w:val="00CD7931"/>
    <w:rsid w:val="00CE002A"/>
    <w:rsid w:val="00CE02C5"/>
    <w:rsid w:val="00CE0528"/>
    <w:rsid w:val="00CE0622"/>
    <w:rsid w:val="00CE0B17"/>
    <w:rsid w:val="00CE0F41"/>
    <w:rsid w:val="00CE1319"/>
    <w:rsid w:val="00CE1320"/>
    <w:rsid w:val="00CE20ED"/>
    <w:rsid w:val="00CE21E1"/>
    <w:rsid w:val="00CE273D"/>
    <w:rsid w:val="00CE2764"/>
    <w:rsid w:val="00CE2B28"/>
    <w:rsid w:val="00CE3763"/>
    <w:rsid w:val="00CE3A4A"/>
    <w:rsid w:val="00CE3D97"/>
    <w:rsid w:val="00CE4299"/>
    <w:rsid w:val="00CE4817"/>
    <w:rsid w:val="00CE4DA3"/>
    <w:rsid w:val="00CE50CB"/>
    <w:rsid w:val="00CE625D"/>
    <w:rsid w:val="00CE6677"/>
    <w:rsid w:val="00CE6A19"/>
    <w:rsid w:val="00CE6EBC"/>
    <w:rsid w:val="00CE6FF4"/>
    <w:rsid w:val="00CE7147"/>
    <w:rsid w:val="00CE719A"/>
    <w:rsid w:val="00CE74D6"/>
    <w:rsid w:val="00CE756B"/>
    <w:rsid w:val="00CE7767"/>
    <w:rsid w:val="00CE7878"/>
    <w:rsid w:val="00CE7F61"/>
    <w:rsid w:val="00CF0B14"/>
    <w:rsid w:val="00CF0CE2"/>
    <w:rsid w:val="00CF0D99"/>
    <w:rsid w:val="00CF1180"/>
    <w:rsid w:val="00CF1FDB"/>
    <w:rsid w:val="00CF30B6"/>
    <w:rsid w:val="00CF32D4"/>
    <w:rsid w:val="00CF38AA"/>
    <w:rsid w:val="00CF397B"/>
    <w:rsid w:val="00CF3BF9"/>
    <w:rsid w:val="00CF3D85"/>
    <w:rsid w:val="00CF4472"/>
    <w:rsid w:val="00CF5651"/>
    <w:rsid w:val="00CF57D9"/>
    <w:rsid w:val="00CF658A"/>
    <w:rsid w:val="00CF67BC"/>
    <w:rsid w:val="00CF6BAE"/>
    <w:rsid w:val="00CF788E"/>
    <w:rsid w:val="00CF7ADA"/>
    <w:rsid w:val="00D00CBF"/>
    <w:rsid w:val="00D00D9D"/>
    <w:rsid w:val="00D0105C"/>
    <w:rsid w:val="00D01D14"/>
    <w:rsid w:val="00D024ED"/>
    <w:rsid w:val="00D030EB"/>
    <w:rsid w:val="00D0363D"/>
    <w:rsid w:val="00D0448C"/>
    <w:rsid w:val="00D04819"/>
    <w:rsid w:val="00D048D0"/>
    <w:rsid w:val="00D053A6"/>
    <w:rsid w:val="00D05A20"/>
    <w:rsid w:val="00D0684B"/>
    <w:rsid w:val="00D071E7"/>
    <w:rsid w:val="00D07486"/>
    <w:rsid w:val="00D07DC9"/>
    <w:rsid w:val="00D07F3A"/>
    <w:rsid w:val="00D1052C"/>
    <w:rsid w:val="00D10827"/>
    <w:rsid w:val="00D10A10"/>
    <w:rsid w:val="00D10B51"/>
    <w:rsid w:val="00D10E8C"/>
    <w:rsid w:val="00D10F0E"/>
    <w:rsid w:val="00D12A3F"/>
    <w:rsid w:val="00D12AA3"/>
    <w:rsid w:val="00D12DE8"/>
    <w:rsid w:val="00D12EAC"/>
    <w:rsid w:val="00D13849"/>
    <w:rsid w:val="00D13D03"/>
    <w:rsid w:val="00D13DEC"/>
    <w:rsid w:val="00D147ED"/>
    <w:rsid w:val="00D14B61"/>
    <w:rsid w:val="00D14C7B"/>
    <w:rsid w:val="00D14CE2"/>
    <w:rsid w:val="00D15241"/>
    <w:rsid w:val="00D158C1"/>
    <w:rsid w:val="00D15956"/>
    <w:rsid w:val="00D15AB2"/>
    <w:rsid w:val="00D15DB3"/>
    <w:rsid w:val="00D16059"/>
    <w:rsid w:val="00D16406"/>
    <w:rsid w:val="00D166CC"/>
    <w:rsid w:val="00D16BC3"/>
    <w:rsid w:val="00D16BEE"/>
    <w:rsid w:val="00D16CFD"/>
    <w:rsid w:val="00D17AF6"/>
    <w:rsid w:val="00D20722"/>
    <w:rsid w:val="00D207D3"/>
    <w:rsid w:val="00D20B0E"/>
    <w:rsid w:val="00D215E8"/>
    <w:rsid w:val="00D2175A"/>
    <w:rsid w:val="00D21980"/>
    <w:rsid w:val="00D2235B"/>
    <w:rsid w:val="00D226D5"/>
    <w:rsid w:val="00D22717"/>
    <w:rsid w:val="00D22955"/>
    <w:rsid w:val="00D22B6A"/>
    <w:rsid w:val="00D23324"/>
    <w:rsid w:val="00D2482D"/>
    <w:rsid w:val="00D2555A"/>
    <w:rsid w:val="00D2572A"/>
    <w:rsid w:val="00D25A81"/>
    <w:rsid w:val="00D25E56"/>
    <w:rsid w:val="00D26598"/>
    <w:rsid w:val="00D26858"/>
    <w:rsid w:val="00D26F8D"/>
    <w:rsid w:val="00D2740D"/>
    <w:rsid w:val="00D27B1E"/>
    <w:rsid w:val="00D27BA3"/>
    <w:rsid w:val="00D27D55"/>
    <w:rsid w:val="00D30478"/>
    <w:rsid w:val="00D306D3"/>
    <w:rsid w:val="00D30ACA"/>
    <w:rsid w:val="00D30B6C"/>
    <w:rsid w:val="00D30DA0"/>
    <w:rsid w:val="00D30E4C"/>
    <w:rsid w:val="00D3124D"/>
    <w:rsid w:val="00D3167F"/>
    <w:rsid w:val="00D3252C"/>
    <w:rsid w:val="00D32B77"/>
    <w:rsid w:val="00D32EDC"/>
    <w:rsid w:val="00D32F4E"/>
    <w:rsid w:val="00D3321E"/>
    <w:rsid w:val="00D33EA5"/>
    <w:rsid w:val="00D33FA1"/>
    <w:rsid w:val="00D345FC"/>
    <w:rsid w:val="00D347FE"/>
    <w:rsid w:val="00D348A7"/>
    <w:rsid w:val="00D34A39"/>
    <w:rsid w:val="00D34CF7"/>
    <w:rsid w:val="00D359E7"/>
    <w:rsid w:val="00D35DF1"/>
    <w:rsid w:val="00D35E96"/>
    <w:rsid w:val="00D3602C"/>
    <w:rsid w:val="00D36A4F"/>
    <w:rsid w:val="00D375B9"/>
    <w:rsid w:val="00D37A2E"/>
    <w:rsid w:val="00D37C30"/>
    <w:rsid w:val="00D4011B"/>
    <w:rsid w:val="00D40B09"/>
    <w:rsid w:val="00D4118F"/>
    <w:rsid w:val="00D412C6"/>
    <w:rsid w:val="00D412CD"/>
    <w:rsid w:val="00D41D7E"/>
    <w:rsid w:val="00D42394"/>
    <w:rsid w:val="00D425B2"/>
    <w:rsid w:val="00D42E4D"/>
    <w:rsid w:val="00D44168"/>
    <w:rsid w:val="00D44621"/>
    <w:rsid w:val="00D4463C"/>
    <w:rsid w:val="00D44D59"/>
    <w:rsid w:val="00D44F75"/>
    <w:rsid w:val="00D45161"/>
    <w:rsid w:val="00D460F1"/>
    <w:rsid w:val="00D46480"/>
    <w:rsid w:val="00D46827"/>
    <w:rsid w:val="00D46B36"/>
    <w:rsid w:val="00D46FCC"/>
    <w:rsid w:val="00D470FE"/>
    <w:rsid w:val="00D500D0"/>
    <w:rsid w:val="00D510A9"/>
    <w:rsid w:val="00D51154"/>
    <w:rsid w:val="00D5185C"/>
    <w:rsid w:val="00D51D61"/>
    <w:rsid w:val="00D524DE"/>
    <w:rsid w:val="00D525DD"/>
    <w:rsid w:val="00D52A52"/>
    <w:rsid w:val="00D52FB4"/>
    <w:rsid w:val="00D5323A"/>
    <w:rsid w:val="00D534DE"/>
    <w:rsid w:val="00D53611"/>
    <w:rsid w:val="00D53A78"/>
    <w:rsid w:val="00D53B72"/>
    <w:rsid w:val="00D53BD1"/>
    <w:rsid w:val="00D53E5A"/>
    <w:rsid w:val="00D54199"/>
    <w:rsid w:val="00D54B1E"/>
    <w:rsid w:val="00D54E24"/>
    <w:rsid w:val="00D5513F"/>
    <w:rsid w:val="00D55294"/>
    <w:rsid w:val="00D566F7"/>
    <w:rsid w:val="00D567C2"/>
    <w:rsid w:val="00D5758D"/>
    <w:rsid w:val="00D57C31"/>
    <w:rsid w:val="00D61732"/>
    <w:rsid w:val="00D62DD7"/>
    <w:rsid w:val="00D63060"/>
    <w:rsid w:val="00D6369A"/>
    <w:rsid w:val="00D63938"/>
    <w:rsid w:val="00D63E40"/>
    <w:rsid w:val="00D63EE8"/>
    <w:rsid w:val="00D64097"/>
    <w:rsid w:val="00D64436"/>
    <w:rsid w:val="00D64828"/>
    <w:rsid w:val="00D667E9"/>
    <w:rsid w:val="00D66B7B"/>
    <w:rsid w:val="00D66D70"/>
    <w:rsid w:val="00D67734"/>
    <w:rsid w:val="00D67A7D"/>
    <w:rsid w:val="00D67C71"/>
    <w:rsid w:val="00D67E28"/>
    <w:rsid w:val="00D70778"/>
    <w:rsid w:val="00D70C8F"/>
    <w:rsid w:val="00D70F8A"/>
    <w:rsid w:val="00D7244F"/>
    <w:rsid w:val="00D72919"/>
    <w:rsid w:val="00D72B5D"/>
    <w:rsid w:val="00D731CC"/>
    <w:rsid w:val="00D74025"/>
    <w:rsid w:val="00D74634"/>
    <w:rsid w:val="00D7496A"/>
    <w:rsid w:val="00D753E5"/>
    <w:rsid w:val="00D76CA0"/>
    <w:rsid w:val="00D76E2E"/>
    <w:rsid w:val="00D7780D"/>
    <w:rsid w:val="00D77D72"/>
    <w:rsid w:val="00D80B5A"/>
    <w:rsid w:val="00D815CD"/>
    <w:rsid w:val="00D820C5"/>
    <w:rsid w:val="00D8213E"/>
    <w:rsid w:val="00D8217C"/>
    <w:rsid w:val="00D82C9C"/>
    <w:rsid w:val="00D833A6"/>
    <w:rsid w:val="00D8360B"/>
    <w:rsid w:val="00D8379B"/>
    <w:rsid w:val="00D838DA"/>
    <w:rsid w:val="00D83FAD"/>
    <w:rsid w:val="00D8462C"/>
    <w:rsid w:val="00D84759"/>
    <w:rsid w:val="00D852CF"/>
    <w:rsid w:val="00D85DFF"/>
    <w:rsid w:val="00D8603B"/>
    <w:rsid w:val="00D87030"/>
    <w:rsid w:val="00D87A98"/>
    <w:rsid w:val="00D905ED"/>
    <w:rsid w:val="00D90F0C"/>
    <w:rsid w:val="00D91C36"/>
    <w:rsid w:val="00D91E57"/>
    <w:rsid w:val="00D91EA4"/>
    <w:rsid w:val="00D93972"/>
    <w:rsid w:val="00D93AD7"/>
    <w:rsid w:val="00D93ECC"/>
    <w:rsid w:val="00D94D34"/>
    <w:rsid w:val="00D95781"/>
    <w:rsid w:val="00D95974"/>
    <w:rsid w:val="00D95C17"/>
    <w:rsid w:val="00D95CF5"/>
    <w:rsid w:val="00D969BF"/>
    <w:rsid w:val="00D96CDB"/>
    <w:rsid w:val="00D97556"/>
    <w:rsid w:val="00D978E0"/>
    <w:rsid w:val="00D97FEB"/>
    <w:rsid w:val="00DA06E4"/>
    <w:rsid w:val="00DA0ABA"/>
    <w:rsid w:val="00DA0B10"/>
    <w:rsid w:val="00DA10D7"/>
    <w:rsid w:val="00DA1D50"/>
    <w:rsid w:val="00DA1D68"/>
    <w:rsid w:val="00DA1E52"/>
    <w:rsid w:val="00DA22A8"/>
    <w:rsid w:val="00DA23CC"/>
    <w:rsid w:val="00DA2723"/>
    <w:rsid w:val="00DA2725"/>
    <w:rsid w:val="00DA2AB1"/>
    <w:rsid w:val="00DA2E23"/>
    <w:rsid w:val="00DA316D"/>
    <w:rsid w:val="00DA364C"/>
    <w:rsid w:val="00DA39F4"/>
    <w:rsid w:val="00DA3DC2"/>
    <w:rsid w:val="00DA407E"/>
    <w:rsid w:val="00DA411E"/>
    <w:rsid w:val="00DA4333"/>
    <w:rsid w:val="00DA4C6A"/>
    <w:rsid w:val="00DA4D41"/>
    <w:rsid w:val="00DA4F51"/>
    <w:rsid w:val="00DA5135"/>
    <w:rsid w:val="00DA52A4"/>
    <w:rsid w:val="00DA53FF"/>
    <w:rsid w:val="00DA5515"/>
    <w:rsid w:val="00DA5689"/>
    <w:rsid w:val="00DA6206"/>
    <w:rsid w:val="00DA6D67"/>
    <w:rsid w:val="00DA7EBC"/>
    <w:rsid w:val="00DB084B"/>
    <w:rsid w:val="00DB0972"/>
    <w:rsid w:val="00DB09EA"/>
    <w:rsid w:val="00DB0CC3"/>
    <w:rsid w:val="00DB0E74"/>
    <w:rsid w:val="00DB1199"/>
    <w:rsid w:val="00DB1200"/>
    <w:rsid w:val="00DB185B"/>
    <w:rsid w:val="00DB1B0C"/>
    <w:rsid w:val="00DB1CA5"/>
    <w:rsid w:val="00DB1EB8"/>
    <w:rsid w:val="00DB2632"/>
    <w:rsid w:val="00DB2CE2"/>
    <w:rsid w:val="00DB2EC0"/>
    <w:rsid w:val="00DB2F4D"/>
    <w:rsid w:val="00DB2F9C"/>
    <w:rsid w:val="00DB3130"/>
    <w:rsid w:val="00DB344B"/>
    <w:rsid w:val="00DB345D"/>
    <w:rsid w:val="00DB3983"/>
    <w:rsid w:val="00DB3FB6"/>
    <w:rsid w:val="00DB3FEC"/>
    <w:rsid w:val="00DB447E"/>
    <w:rsid w:val="00DB5046"/>
    <w:rsid w:val="00DB5314"/>
    <w:rsid w:val="00DB5483"/>
    <w:rsid w:val="00DB59AA"/>
    <w:rsid w:val="00DB5A01"/>
    <w:rsid w:val="00DB5EC6"/>
    <w:rsid w:val="00DB66C4"/>
    <w:rsid w:val="00DB6D35"/>
    <w:rsid w:val="00DB6F2A"/>
    <w:rsid w:val="00DB7699"/>
    <w:rsid w:val="00DB7D0B"/>
    <w:rsid w:val="00DB7F8F"/>
    <w:rsid w:val="00DC076F"/>
    <w:rsid w:val="00DC07B0"/>
    <w:rsid w:val="00DC1273"/>
    <w:rsid w:val="00DC1B57"/>
    <w:rsid w:val="00DC230E"/>
    <w:rsid w:val="00DC2B80"/>
    <w:rsid w:val="00DC2D5F"/>
    <w:rsid w:val="00DC2D62"/>
    <w:rsid w:val="00DC35D3"/>
    <w:rsid w:val="00DC38DD"/>
    <w:rsid w:val="00DC3A0F"/>
    <w:rsid w:val="00DC4011"/>
    <w:rsid w:val="00DC6B0F"/>
    <w:rsid w:val="00DC70C6"/>
    <w:rsid w:val="00DC799F"/>
    <w:rsid w:val="00DC7B9B"/>
    <w:rsid w:val="00DD0C6D"/>
    <w:rsid w:val="00DD105F"/>
    <w:rsid w:val="00DD1286"/>
    <w:rsid w:val="00DD1576"/>
    <w:rsid w:val="00DD1E64"/>
    <w:rsid w:val="00DD2376"/>
    <w:rsid w:val="00DD2837"/>
    <w:rsid w:val="00DD2878"/>
    <w:rsid w:val="00DD3179"/>
    <w:rsid w:val="00DD3BDB"/>
    <w:rsid w:val="00DD3C87"/>
    <w:rsid w:val="00DD3DBA"/>
    <w:rsid w:val="00DD4BC6"/>
    <w:rsid w:val="00DD52BC"/>
    <w:rsid w:val="00DD5DE2"/>
    <w:rsid w:val="00DD6066"/>
    <w:rsid w:val="00DD6975"/>
    <w:rsid w:val="00DD6C15"/>
    <w:rsid w:val="00DD6EC5"/>
    <w:rsid w:val="00DD70BC"/>
    <w:rsid w:val="00DD7B8E"/>
    <w:rsid w:val="00DD7CFF"/>
    <w:rsid w:val="00DD7D15"/>
    <w:rsid w:val="00DD7ED4"/>
    <w:rsid w:val="00DE00FC"/>
    <w:rsid w:val="00DE0BC5"/>
    <w:rsid w:val="00DE1FD2"/>
    <w:rsid w:val="00DE27D5"/>
    <w:rsid w:val="00DE37F8"/>
    <w:rsid w:val="00DE45B6"/>
    <w:rsid w:val="00DE4832"/>
    <w:rsid w:val="00DE4E11"/>
    <w:rsid w:val="00DE4EB5"/>
    <w:rsid w:val="00DE56D4"/>
    <w:rsid w:val="00DE5937"/>
    <w:rsid w:val="00DE5ACB"/>
    <w:rsid w:val="00DE5CCD"/>
    <w:rsid w:val="00DE5EBF"/>
    <w:rsid w:val="00DE6D20"/>
    <w:rsid w:val="00DE7061"/>
    <w:rsid w:val="00DF044C"/>
    <w:rsid w:val="00DF046F"/>
    <w:rsid w:val="00DF0BE9"/>
    <w:rsid w:val="00DF0D2F"/>
    <w:rsid w:val="00DF1210"/>
    <w:rsid w:val="00DF162B"/>
    <w:rsid w:val="00DF1743"/>
    <w:rsid w:val="00DF33D0"/>
    <w:rsid w:val="00DF4197"/>
    <w:rsid w:val="00DF4438"/>
    <w:rsid w:val="00DF4458"/>
    <w:rsid w:val="00DF4B25"/>
    <w:rsid w:val="00DF4E79"/>
    <w:rsid w:val="00DF5110"/>
    <w:rsid w:val="00DF61D0"/>
    <w:rsid w:val="00DF67E5"/>
    <w:rsid w:val="00DF68A1"/>
    <w:rsid w:val="00DF6F9A"/>
    <w:rsid w:val="00DF768B"/>
    <w:rsid w:val="00E00D39"/>
    <w:rsid w:val="00E013FB"/>
    <w:rsid w:val="00E01B89"/>
    <w:rsid w:val="00E01BD6"/>
    <w:rsid w:val="00E02028"/>
    <w:rsid w:val="00E026DA"/>
    <w:rsid w:val="00E02C32"/>
    <w:rsid w:val="00E031E3"/>
    <w:rsid w:val="00E031FD"/>
    <w:rsid w:val="00E041DA"/>
    <w:rsid w:val="00E04A59"/>
    <w:rsid w:val="00E050D0"/>
    <w:rsid w:val="00E06295"/>
    <w:rsid w:val="00E07484"/>
    <w:rsid w:val="00E07D27"/>
    <w:rsid w:val="00E1021E"/>
    <w:rsid w:val="00E10C36"/>
    <w:rsid w:val="00E110BC"/>
    <w:rsid w:val="00E1155D"/>
    <w:rsid w:val="00E11F7E"/>
    <w:rsid w:val="00E1207C"/>
    <w:rsid w:val="00E1282C"/>
    <w:rsid w:val="00E12C40"/>
    <w:rsid w:val="00E12DC5"/>
    <w:rsid w:val="00E13238"/>
    <w:rsid w:val="00E137E1"/>
    <w:rsid w:val="00E13B45"/>
    <w:rsid w:val="00E13BF6"/>
    <w:rsid w:val="00E1477C"/>
    <w:rsid w:val="00E149C2"/>
    <w:rsid w:val="00E14BBC"/>
    <w:rsid w:val="00E1502D"/>
    <w:rsid w:val="00E15455"/>
    <w:rsid w:val="00E15A1C"/>
    <w:rsid w:val="00E15B73"/>
    <w:rsid w:val="00E15BE3"/>
    <w:rsid w:val="00E160EB"/>
    <w:rsid w:val="00E1636A"/>
    <w:rsid w:val="00E168D4"/>
    <w:rsid w:val="00E17010"/>
    <w:rsid w:val="00E20861"/>
    <w:rsid w:val="00E20E10"/>
    <w:rsid w:val="00E20E12"/>
    <w:rsid w:val="00E21062"/>
    <w:rsid w:val="00E21414"/>
    <w:rsid w:val="00E214F1"/>
    <w:rsid w:val="00E21901"/>
    <w:rsid w:val="00E21A34"/>
    <w:rsid w:val="00E22783"/>
    <w:rsid w:val="00E22892"/>
    <w:rsid w:val="00E22B7D"/>
    <w:rsid w:val="00E2419E"/>
    <w:rsid w:val="00E2468F"/>
    <w:rsid w:val="00E24AC3"/>
    <w:rsid w:val="00E251BE"/>
    <w:rsid w:val="00E2650C"/>
    <w:rsid w:val="00E26E88"/>
    <w:rsid w:val="00E27041"/>
    <w:rsid w:val="00E270AB"/>
    <w:rsid w:val="00E27556"/>
    <w:rsid w:val="00E27AA3"/>
    <w:rsid w:val="00E27AD4"/>
    <w:rsid w:val="00E27B01"/>
    <w:rsid w:val="00E302FC"/>
    <w:rsid w:val="00E30B7A"/>
    <w:rsid w:val="00E30E21"/>
    <w:rsid w:val="00E3213A"/>
    <w:rsid w:val="00E329D4"/>
    <w:rsid w:val="00E32CF7"/>
    <w:rsid w:val="00E33049"/>
    <w:rsid w:val="00E33728"/>
    <w:rsid w:val="00E339AD"/>
    <w:rsid w:val="00E35A15"/>
    <w:rsid w:val="00E35A60"/>
    <w:rsid w:val="00E35B81"/>
    <w:rsid w:val="00E35E11"/>
    <w:rsid w:val="00E36356"/>
    <w:rsid w:val="00E367A7"/>
    <w:rsid w:val="00E377FE"/>
    <w:rsid w:val="00E415AB"/>
    <w:rsid w:val="00E41B01"/>
    <w:rsid w:val="00E42251"/>
    <w:rsid w:val="00E43387"/>
    <w:rsid w:val="00E43AA6"/>
    <w:rsid w:val="00E43F46"/>
    <w:rsid w:val="00E43F52"/>
    <w:rsid w:val="00E4404E"/>
    <w:rsid w:val="00E4421F"/>
    <w:rsid w:val="00E4457C"/>
    <w:rsid w:val="00E44E51"/>
    <w:rsid w:val="00E450A7"/>
    <w:rsid w:val="00E45AF3"/>
    <w:rsid w:val="00E463EE"/>
    <w:rsid w:val="00E46C33"/>
    <w:rsid w:val="00E470A5"/>
    <w:rsid w:val="00E51C62"/>
    <w:rsid w:val="00E52937"/>
    <w:rsid w:val="00E52EA0"/>
    <w:rsid w:val="00E5330A"/>
    <w:rsid w:val="00E53742"/>
    <w:rsid w:val="00E5397F"/>
    <w:rsid w:val="00E563AD"/>
    <w:rsid w:val="00E56AC4"/>
    <w:rsid w:val="00E56CEF"/>
    <w:rsid w:val="00E57247"/>
    <w:rsid w:val="00E57354"/>
    <w:rsid w:val="00E57A13"/>
    <w:rsid w:val="00E608E7"/>
    <w:rsid w:val="00E60B77"/>
    <w:rsid w:val="00E62315"/>
    <w:rsid w:val="00E62BA1"/>
    <w:rsid w:val="00E62E96"/>
    <w:rsid w:val="00E6313A"/>
    <w:rsid w:val="00E6319B"/>
    <w:rsid w:val="00E64003"/>
    <w:rsid w:val="00E649A6"/>
    <w:rsid w:val="00E6572C"/>
    <w:rsid w:val="00E65C43"/>
    <w:rsid w:val="00E65D0E"/>
    <w:rsid w:val="00E66059"/>
    <w:rsid w:val="00E66354"/>
    <w:rsid w:val="00E66F24"/>
    <w:rsid w:val="00E6770E"/>
    <w:rsid w:val="00E67954"/>
    <w:rsid w:val="00E679D2"/>
    <w:rsid w:val="00E67B56"/>
    <w:rsid w:val="00E67C8B"/>
    <w:rsid w:val="00E70FC0"/>
    <w:rsid w:val="00E71BBC"/>
    <w:rsid w:val="00E72097"/>
    <w:rsid w:val="00E721B0"/>
    <w:rsid w:val="00E725CA"/>
    <w:rsid w:val="00E72693"/>
    <w:rsid w:val="00E72DA9"/>
    <w:rsid w:val="00E739A8"/>
    <w:rsid w:val="00E73C49"/>
    <w:rsid w:val="00E7434E"/>
    <w:rsid w:val="00E74892"/>
    <w:rsid w:val="00E74938"/>
    <w:rsid w:val="00E74DEF"/>
    <w:rsid w:val="00E7548A"/>
    <w:rsid w:val="00E75B38"/>
    <w:rsid w:val="00E75B8E"/>
    <w:rsid w:val="00E75EA3"/>
    <w:rsid w:val="00E76934"/>
    <w:rsid w:val="00E76BB9"/>
    <w:rsid w:val="00E76D96"/>
    <w:rsid w:val="00E775EF"/>
    <w:rsid w:val="00E77850"/>
    <w:rsid w:val="00E77BC2"/>
    <w:rsid w:val="00E80499"/>
    <w:rsid w:val="00E80648"/>
    <w:rsid w:val="00E80B69"/>
    <w:rsid w:val="00E83086"/>
    <w:rsid w:val="00E83B19"/>
    <w:rsid w:val="00E84358"/>
    <w:rsid w:val="00E845FF"/>
    <w:rsid w:val="00E8467A"/>
    <w:rsid w:val="00E848A7"/>
    <w:rsid w:val="00E85763"/>
    <w:rsid w:val="00E85E4C"/>
    <w:rsid w:val="00E866B2"/>
    <w:rsid w:val="00E878D1"/>
    <w:rsid w:val="00E91F9B"/>
    <w:rsid w:val="00E92664"/>
    <w:rsid w:val="00E92715"/>
    <w:rsid w:val="00E93159"/>
    <w:rsid w:val="00E93724"/>
    <w:rsid w:val="00E93A7F"/>
    <w:rsid w:val="00E93D50"/>
    <w:rsid w:val="00E94367"/>
    <w:rsid w:val="00E9460E"/>
    <w:rsid w:val="00E94B86"/>
    <w:rsid w:val="00E95722"/>
    <w:rsid w:val="00E95925"/>
    <w:rsid w:val="00E964D3"/>
    <w:rsid w:val="00E96A34"/>
    <w:rsid w:val="00E96D8C"/>
    <w:rsid w:val="00E97B44"/>
    <w:rsid w:val="00EA01D1"/>
    <w:rsid w:val="00EA0227"/>
    <w:rsid w:val="00EA02E9"/>
    <w:rsid w:val="00EA04D8"/>
    <w:rsid w:val="00EA086D"/>
    <w:rsid w:val="00EA0C41"/>
    <w:rsid w:val="00EA0C5D"/>
    <w:rsid w:val="00EA1D50"/>
    <w:rsid w:val="00EA1E95"/>
    <w:rsid w:val="00EA1EC6"/>
    <w:rsid w:val="00EA228B"/>
    <w:rsid w:val="00EA2947"/>
    <w:rsid w:val="00EA294F"/>
    <w:rsid w:val="00EA29C8"/>
    <w:rsid w:val="00EA2CEB"/>
    <w:rsid w:val="00EA3F55"/>
    <w:rsid w:val="00EA411D"/>
    <w:rsid w:val="00EA4B26"/>
    <w:rsid w:val="00EA5052"/>
    <w:rsid w:val="00EA5FE0"/>
    <w:rsid w:val="00EA6145"/>
    <w:rsid w:val="00EA6E09"/>
    <w:rsid w:val="00EA711E"/>
    <w:rsid w:val="00EA731B"/>
    <w:rsid w:val="00EA79F3"/>
    <w:rsid w:val="00EB0137"/>
    <w:rsid w:val="00EB0372"/>
    <w:rsid w:val="00EB04E9"/>
    <w:rsid w:val="00EB0839"/>
    <w:rsid w:val="00EB08C4"/>
    <w:rsid w:val="00EB0DD5"/>
    <w:rsid w:val="00EB2B90"/>
    <w:rsid w:val="00EB3A2E"/>
    <w:rsid w:val="00EB53BE"/>
    <w:rsid w:val="00EB54CA"/>
    <w:rsid w:val="00EB5562"/>
    <w:rsid w:val="00EB5E64"/>
    <w:rsid w:val="00EB5EBC"/>
    <w:rsid w:val="00EB6762"/>
    <w:rsid w:val="00EB73ED"/>
    <w:rsid w:val="00EB776D"/>
    <w:rsid w:val="00EB777A"/>
    <w:rsid w:val="00EB778B"/>
    <w:rsid w:val="00EC011F"/>
    <w:rsid w:val="00EC0493"/>
    <w:rsid w:val="00EC0758"/>
    <w:rsid w:val="00EC0A56"/>
    <w:rsid w:val="00EC0D3F"/>
    <w:rsid w:val="00EC11C6"/>
    <w:rsid w:val="00EC163D"/>
    <w:rsid w:val="00EC1E24"/>
    <w:rsid w:val="00EC2621"/>
    <w:rsid w:val="00EC262A"/>
    <w:rsid w:val="00EC284C"/>
    <w:rsid w:val="00EC28FD"/>
    <w:rsid w:val="00EC2BC6"/>
    <w:rsid w:val="00EC324D"/>
    <w:rsid w:val="00EC3E7C"/>
    <w:rsid w:val="00EC5C3B"/>
    <w:rsid w:val="00EC62A5"/>
    <w:rsid w:val="00EC65DF"/>
    <w:rsid w:val="00EC6CD8"/>
    <w:rsid w:val="00EC73D3"/>
    <w:rsid w:val="00EC7416"/>
    <w:rsid w:val="00EC7463"/>
    <w:rsid w:val="00EC7E0C"/>
    <w:rsid w:val="00ED08E7"/>
    <w:rsid w:val="00ED0A0C"/>
    <w:rsid w:val="00ED0A52"/>
    <w:rsid w:val="00ED2096"/>
    <w:rsid w:val="00ED2E0E"/>
    <w:rsid w:val="00ED3093"/>
    <w:rsid w:val="00ED331A"/>
    <w:rsid w:val="00ED3559"/>
    <w:rsid w:val="00ED3886"/>
    <w:rsid w:val="00ED3A58"/>
    <w:rsid w:val="00ED4362"/>
    <w:rsid w:val="00ED4D58"/>
    <w:rsid w:val="00ED4E82"/>
    <w:rsid w:val="00ED50D6"/>
    <w:rsid w:val="00ED55F0"/>
    <w:rsid w:val="00ED602F"/>
    <w:rsid w:val="00ED62DF"/>
    <w:rsid w:val="00ED66B5"/>
    <w:rsid w:val="00ED6A81"/>
    <w:rsid w:val="00ED6B10"/>
    <w:rsid w:val="00ED7222"/>
    <w:rsid w:val="00ED78CE"/>
    <w:rsid w:val="00EE0278"/>
    <w:rsid w:val="00EE0767"/>
    <w:rsid w:val="00EE0DE5"/>
    <w:rsid w:val="00EE2575"/>
    <w:rsid w:val="00EE25CD"/>
    <w:rsid w:val="00EE28BE"/>
    <w:rsid w:val="00EE2C36"/>
    <w:rsid w:val="00EE30B0"/>
    <w:rsid w:val="00EE313D"/>
    <w:rsid w:val="00EE3B8B"/>
    <w:rsid w:val="00EE3E95"/>
    <w:rsid w:val="00EE41F3"/>
    <w:rsid w:val="00EE44BD"/>
    <w:rsid w:val="00EE48E3"/>
    <w:rsid w:val="00EE48EA"/>
    <w:rsid w:val="00EE4DC4"/>
    <w:rsid w:val="00EE52B2"/>
    <w:rsid w:val="00EE5E22"/>
    <w:rsid w:val="00EE5EBE"/>
    <w:rsid w:val="00EE5FA6"/>
    <w:rsid w:val="00EE61CD"/>
    <w:rsid w:val="00EE67B7"/>
    <w:rsid w:val="00EE68A7"/>
    <w:rsid w:val="00EE6DA4"/>
    <w:rsid w:val="00EE7507"/>
    <w:rsid w:val="00EF0227"/>
    <w:rsid w:val="00EF0460"/>
    <w:rsid w:val="00EF0A96"/>
    <w:rsid w:val="00EF1201"/>
    <w:rsid w:val="00EF2C8D"/>
    <w:rsid w:val="00EF3C27"/>
    <w:rsid w:val="00EF4027"/>
    <w:rsid w:val="00EF40D9"/>
    <w:rsid w:val="00EF42A7"/>
    <w:rsid w:val="00EF4A74"/>
    <w:rsid w:val="00EF5E6D"/>
    <w:rsid w:val="00EF5EC8"/>
    <w:rsid w:val="00EF5FAD"/>
    <w:rsid w:val="00EF6249"/>
    <w:rsid w:val="00EF6362"/>
    <w:rsid w:val="00EF6EB6"/>
    <w:rsid w:val="00F01069"/>
    <w:rsid w:val="00F015E4"/>
    <w:rsid w:val="00F016C7"/>
    <w:rsid w:val="00F01A84"/>
    <w:rsid w:val="00F01DAB"/>
    <w:rsid w:val="00F0245D"/>
    <w:rsid w:val="00F02CFE"/>
    <w:rsid w:val="00F03145"/>
    <w:rsid w:val="00F03878"/>
    <w:rsid w:val="00F0396C"/>
    <w:rsid w:val="00F04030"/>
    <w:rsid w:val="00F04108"/>
    <w:rsid w:val="00F049DA"/>
    <w:rsid w:val="00F05100"/>
    <w:rsid w:val="00F05508"/>
    <w:rsid w:val="00F05F58"/>
    <w:rsid w:val="00F05FEE"/>
    <w:rsid w:val="00F06146"/>
    <w:rsid w:val="00F067C5"/>
    <w:rsid w:val="00F06EA4"/>
    <w:rsid w:val="00F070F8"/>
    <w:rsid w:val="00F075FC"/>
    <w:rsid w:val="00F07905"/>
    <w:rsid w:val="00F100EE"/>
    <w:rsid w:val="00F10535"/>
    <w:rsid w:val="00F10960"/>
    <w:rsid w:val="00F11385"/>
    <w:rsid w:val="00F1194E"/>
    <w:rsid w:val="00F1217F"/>
    <w:rsid w:val="00F1222C"/>
    <w:rsid w:val="00F12329"/>
    <w:rsid w:val="00F128D5"/>
    <w:rsid w:val="00F12FB4"/>
    <w:rsid w:val="00F1307B"/>
    <w:rsid w:val="00F134BA"/>
    <w:rsid w:val="00F1360C"/>
    <w:rsid w:val="00F1417C"/>
    <w:rsid w:val="00F142C5"/>
    <w:rsid w:val="00F1470E"/>
    <w:rsid w:val="00F14732"/>
    <w:rsid w:val="00F16044"/>
    <w:rsid w:val="00F161E6"/>
    <w:rsid w:val="00F16EA8"/>
    <w:rsid w:val="00F171BE"/>
    <w:rsid w:val="00F17557"/>
    <w:rsid w:val="00F175EE"/>
    <w:rsid w:val="00F17E35"/>
    <w:rsid w:val="00F205C0"/>
    <w:rsid w:val="00F215EA"/>
    <w:rsid w:val="00F21AB6"/>
    <w:rsid w:val="00F21D52"/>
    <w:rsid w:val="00F21EDF"/>
    <w:rsid w:val="00F22209"/>
    <w:rsid w:val="00F22411"/>
    <w:rsid w:val="00F2284C"/>
    <w:rsid w:val="00F235FC"/>
    <w:rsid w:val="00F236B8"/>
    <w:rsid w:val="00F23DFD"/>
    <w:rsid w:val="00F246FE"/>
    <w:rsid w:val="00F24A01"/>
    <w:rsid w:val="00F24B70"/>
    <w:rsid w:val="00F24ED7"/>
    <w:rsid w:val="00F25530"/>
    <w:rsid w:val="00F25E9B"/>
    <w:rsid w:val="00F269E4"/>
    <w:rsid w:val="00F3010E"/>
    <w:rsid w:val="00F302D5"/>
    <w:rsid w:val="00F3043B"/>
    <w:rsid w:val="00F30487"/>
    <w:rsid w:val="00F304B4"/>
    <w:rsid w:val="00F30870"/>
    <w:rsid w:val="00F311D9"/>
    <w:rsid w:val="00F3145A"/>
    <w:rsid w:val="00F3172D"/>
    <w:rsid w:val="00F31AD8"/>
    <w:rsid w:val="00F31B1A"/>
    <w:rsid w:val="00F32281"/>
    <w:rsid w:val="00F328DA"/>
    <w:rsid w:val="00F33746"/>
    <w:rsid w:val="00F347F6"/>
    <w:rsid w:val="00F34C2B"/>
    <w:rsid w:val="00F34F21"/>
    <w:rsid w:val="00F35463"/>
    <w:rsid w:val="00F354CB"/>
    <w:rsid w:val="00F355CF"/>
    <w:rsid w:val="00F35834"/>
    <w:rsid w:val="00F362C2"/>
    <w:rsid w:val="00F37101"/>
    <w:rsid w:val="00F371E0"/>
    <w:rsid w:val="00F37B2D"/>
    <w:rsid w:val="00F37B50"/>
    <w:rsid w:val="00F37FE8"/>
    <w:rsid w:val="00F4015D"/>
    <w:rsid w:val="00F41058"/>
    <w:rsid w:val="00F4118F"/>
    <w:rsid w:val="00F41883"/>
    <w:rsid w:val="00F421CA"/>
    <w:rsid w:val="00F42CE3"/>
    <w:rsid w:val="00F42E26"/>
    <w:rsid w:val="00F4332F"/>
    <w:rsid w:val="00F43376"/>
    <w:rsid w:val="00F43985"/>
    <w:rsid w:val="00F44369"/>
    <w:rsid w:val="00F448E3"/>
    <w:rsid w:val="00F4492C"/>
    <w:rsid w:val="00F45689"/>
    <w:rsid w:val="00F457AA"/>
    <w:rsid w:val="00F45D90"/>
    <w:rsid w:val="00F469F8"/>
    <w:rsid w:val="00F46A06"/>
    <w:rsid w:val="00F46D24"/>
    <w:rsid w:val="00F47D13"/>
    <w:rsid w:val="00F5005A"/>
    <w:rsid w:val="00F50481"/>
    <w:rsid w:val="00F50DF8"/>
    <w:rsid w:val="00F51068"/>
    <w:rsid w:val="00F51091"/>
    <w:rsid w:val="00F5151D"/>
    <w:rsid w:val="00F51DEA"/>
    <w:rsid w:val="00F5223C"/>
    <w:rsid w:val="00F52C00"/>
    <w:rsid w:val="00F52D35"/>
    <w:rsid w:val="00F535BA"/>
    <w:rsid w:val="00F53F38"/>
    <w:rsid w:val="00F540A2"/>
    <w:rsid w:val="00F5446D"/>
    <w:rsid w:val="00F55A85"/>
    <w:rsid w:val="00F55C9F"/>
    <w:rsid w:val="00F56B94"/>
    <w:rsid w:val="00F57D77"/>
    <w:rsid w:val="00F60749"/>
    <w:rsid w:val="00F6139F"/>
    <w:rsid w:val="00F614E3"/>
    <w:rsid w:val="00F61593"/>
    <w:rsid w:val="00F626E1"/>
    <w:rsid w:val="00F62EA4"/>
    <w:rsid w:val="00F636E4"/>
    <w:rsid w:val="00F63972"/>
    <w:rsid w:val="00F63C44"/>
    <w:rsid w:val="00F64278"/>
    <w:rsid w:val="00F64FD6"/>
    <w:rsid w:val="00F650F2"/>
    <w:rsid w:val="00F65799"/>
    <w:rsid w:val="00F659F7"/>
    <w:rsid w:val="00F65ACF"/>
    <w:rsid w:val="00F65FB7"/>
    <w:rsid w:val="00F663F9"/>
    <w:rsid w:val="00F6676C"/>
    <w:rsid w:val="00F667CE"/>
    <w:rsid w:val="00F66DC9"/>
    <w:rsid w:val="00F67407"/>
    <w:rsid w:val="00F67A5B"/>
    <w:rsid w:val="00F67ED5"/>
    <w:rsid w:val="00F70F7B"/>
    <w:rsid w:val="00F710C6"/>
    <w:rsid w:val="00F71357"/>
    <w:rsid w:val="00F714BB"/>
    <w:rsid w:val="00F7186F"/>
    <w:rsid w:val="00F72043"/>
    <w:rsid w:val="00F727B4"/>
    <w:rsid w:val="00F7291F"/>
    <w:rsid w:val="00F733DA"/>
    <w:rsid w:val="00F7406D"/>
    <w:rsid w:val="00F74080"/>
    <w:rsid w:val="00F74273"/>
    <w:rsid w:val="00F747DD"/>
    <w:rsid w:val="00F74877"/>
    <w:rsid w:val="00F74B37"/>
    <w:rsid w:val="00F74F2F"/>
    <w:rsid w:val="00F74F8D"/>
    <w:rsid w:val="00F75505"/>
    <w:rsid w:val="00F7565D"/>
    <w:rsid w:val="00F75EA7"/>
    <w:rsid w:val="00F760CC"/>
    <w:rsid w:val="00F7627A"/>
    <w:rsid w:val="00F763AF"/>
    <w:rsid w:val="00F76531"/>
    <w:rsid w:val="00F76EC5"/>
    <w:rsid w:val="00F770C0"/>
    <w:rsid w:val="00F77130"/>
    <w:rsid w:val="00F77CBE"/>
    <w:rsid w:val="00F805B1"/>
    <w:rsid w:val="00F809E4"/>
    <w:rsid w:val="00F81030"/>
    <w:rsid w:val="00F81643"/>
    <w:rsid w:val="00F81810"/>
    <w:rsid w:val="00F81E8D"/>
    <w:rsid w:val="00F82652"/>
    <w:rsid w:val="00F82685"/>
    <w:rsid w:val="00F82ABA"/>
    <w:rsid w:val="00F834A6"/>
    <w:rsid w:val="00F83D53"/>
    <w:rsid w:val="00F83E87"/>
    <w:rsid w:val="00F84113"/>
    <w:rsid w:val="00F841C2"/>
    <w:rsid w:val="00F845AB"/>
    <w:rsid w:val="00F85555"/>
    <w:rsid w:val="00F85AC9"/>
    <w:rsid w:val="00F86C53"/>
    <w:rsid w:val="00F86F76"/>
    <w:rsid w:val="00F870AD"/>
    <w:rsid w:val="00F87C16"/>
    <w:rsid w:val="00F90119"/>
    <w:rsid w:val="00F91804"/>
    <w:rsid w:val="00F9197A"/>
    <w:rsid w:val="00F91C7F"/>
    <w:rsid w:val="00F92441"/>
    <w:rsid w:val="00F925BE"/>
    <w:rsid w:val="00F92A6A"/>
    <w:rsid w:val="00F92C37"/>
    <w:rsid w:val="00F92DB5"/>
    <w:rsid w:val="00F9314C"/>
    <w:rsid w:val="00F93725"/>
    <w:rsid w:val="00F9438D"/>
    <w:rsid w:val="00F94973"/>
    <w:rsid w:val="00F94E93"/>
    <w:rsid w:val="00F950E2"/>
    <w:rsid w:val="00F95AA4"/>
    <w:rsid w:val="00F96F6D"/>
    <w:rsid w:val="00F9720A"/>
    <w:rsid w:val="00F97756"/>
    <w:rsid w:val="00F97A68"/>
    <w:rsid w:val="00F97AE1"/>
    <w:rsid w:val="00F97B5A"/>
    <w:rsid w:val="00F97B83"/>
    <w:rsid w:val="00FA0196"/>
    <w:rsid w:val="00FA0E80"/>
    <w:rsid w:val="00FA146B"/>
    <w:rsid w:val="00FA1FDE"/>
    <w:rsid w:val="00FA36C6"/>
    <w:rsid w:val="00FA3918"/>
    <w:rsid w:val="00FA4A6A"/>
    <w:rsid w:val="00FA5145"/>
    <w:rsid w:val="00FA5534"/>
    <w:rsid w:val="00FA5F5D"/>
    <w:rsid w:val="00FA5FC7"/>
    <w:rsid w:val="00FA6143"/>
    <w:rsid w:val="00FA6295"/>
    <w:rsid w:val="00FA6555"/>
    <w:rsid w:val="00FA6AF6"/>
    <w:rsid w:val="00FA7166"/>
    <w:rsid w:val="00FA7C76"/>
    <w:rsid w:val="00FA7E5C"/>
    <w:rsid w:val="00FB003E"/>
    <w:rsid w:val="00FB007A"/>
    <w:rsid w:val="00FB0081"/>
    <w:rsid w:val="00FB174F"/>
    <w:rsid w:val="00FB1AF0"/>
    <w:rsid w:val="00FB1C15"/>
    <w:rsid w:val="00FB1CF8"/>
    <w:rsid w:val="00FB1F46"/>
    <w:rsid w:val="00FB2473"/>
    <w:rsid w:val="00FB2B69"/>
    <w:rsid w:val="00FB2E42"/>
    <w:rsid w:val="00FB3E41"/>
    <w:rsid w:val="00FB3F28"/>
    <w:rsid w:val="00FB437C"/>
    <w:rsid w:val="00FB4889"/>
    <w:rsid w:val="00FB4B1C"/>
    <w:rsid w:val="00FB5129"/>
    <w:rsid w:val="00FB553F"/>
    <w:rsid w:val="00FB56D1"/>
    <w:rsid w:val="00FB6B48"/>
    <w:rsid w:val="00FB6C6D"/>
    <w:rsid w:val="00FB6DCB"/>
    <w:rsid w:val="00FB7112"/>
    <w:rsid w:val="00FB72F3"/>
    <w:rsid w:val="00FB75A1"/>
    <w:rsid w:val="00FB7EB5"/>
    <w:rsid w:val="00FC02DD"/>
    <w:rsid w:val="00FC0588"/>
    <w:rsid w:val="00FC21D2"/>
    <w:rsid w:val="00FC25F7"/>
    <w:rsid w:val="00FC2D4B"/>
    <w:rsid w:val="00FC3626"/>
    <w:rsid w:val="00FC386D"/>
    <w:rsid w:val="00FC3B84"/>
    <w:rsid w:val="00FC43D8"/>
    <w:rsid w:val="00FC442E"/>
    <w:rsid w:val="00FC4958"/>
    <w:rsid w:val="00FC4DAC"/>
    <w:rsid w:val="00FC5358"/>
    <w:rsid w:val="00FC55B3"/>
    <w:rsid w:val="00FC5F83"/>
    <w:rsid w:val="00FC748E"/>
    <w:rsid w:val="00FC76F9"/>
    <w:rsid w:val="00FC793C"/>
    <w:rsid w:val="00FD00E4"/>
    <w:rsid w:val="00FD067F"/>
    <w:rsid w:val="00FD0AE9"/>
    <w:rsid w:val="00FD17D3"/>
    <w:rsid w:val="00FD1FA6"/>
    <w:rsid w:val="00FD2878"/>
    <w:rsid w:val="00FD29F1"/>
    <w:rsid w:val="00FD31B2"/>
    <w:rsid w:val="00FD3809"/>
    <w:rsid w:val="00FD3CCB"/>
    <w:rsid w:val="00FD3EA5"/>
    <w:rsid w:val="00FD492B"/>
    <w:rsid w:val="00FD56DD"/>
    <w:rsid w:val="00FD58BC"/>
    <w:rsid w:val="00FD6398"/>
    <w:rsid w:val="00FD65DE"/>
    <w:rsid w:val="00FD686D"/>
    <w:rsid w:val="00FD764E"/>
    <w:rsid w:val="00FD7F31"/>
    <w:rsid w:val="00FE010C"/>
    <w:rsid w:val="00FE0972"/>
    <w:rsid w:val="00FE11C6"/>
    <w:rsid w:val="00FE1A56"/>
    <w:rsid w:val="00FE1D7F"/>
    <w:rsid w:val="00FE1D8C"/>
    <w:rsid w:val="00FE1E74"/>
    <w:rsid w:val="00FE206D"/>
    <w:rsid w:val="00FE23EA"/>
    <w:rsid w:val="00FE27DF"/>
    <w:rsid w:val="00FE2BEA"/>
    <w:rsid w:val="00FE2EEC"/>
    <w:rsid w:val="00FE409E"/>
    <w:rsid w:val="00FE44CB"/>
    <w:rsid w:val="00FE48B6"/>
    <w:rsid w:val="00FE5413"/>
    <w:rsid w:val="00FE54DD"/>
    <w:rsid w:val="00FE58AB"/>
    <w:rsid w:val="00FE60F9"/>
    <w:rsid w:val="00FE673E"/>
    <w:rsid w:val="00FE7973"/>
    <w:rsid w:val="00FF00D7"/>
    <w:rsid w:val="00FF13ED"/>
    <w:rsid w:val="00FF1955"/>
    <w:rsid w:val="00FF1EBA"/>
    <w:rsid w:val="00FF20C0"/>
    <w:rsid w:val="00FF28DE"/>
    <w:rsid w:val="00FF2B94"/>
    <w:rsid w:val="00FF356F"/>
    <w:rsid w:val="00FF452E"/>
    <w:rsid w:val="00FF4BFB"/>
    <w:rsid w:val="00FF50F8"/>
    <w:rsid w:val="00FF568F"/>
    <w:rsid w:val="00FF5743"/>
    <w:rsid w:val="00FF5844"/>
    <w:rsid w:val="00FF5B1B"/>
    <w:rsid w:val="00FF5B58"/>
    <w:rsid w:val="00FF5C61"/>
    <w:rsid w:val="00FF6853"/>
    <w:rsid w:val="00FF6CD9"/>
    <w:rsid w:val="00FF7234"/>
    <w:rsid w:val="00FF7ADC"/>
    <w:rsid w:val="00FF7DD1"/>
    <w:rsid w:val="00FF7F7C"/>
    <w:rsid w:val="00FF7F84"/>
    <w:rsid w:val="011DA571"/>
    <w:rsid w:val="01230799"/>
    <w:rsid w:val="024F4154"/>
    <w:rsid w:val="02DB2DEC"/>
    <w:rsid w:val="0313DC93"/>
    <w:rsid w:val="0326B6D1"/>
    <w:rsid w:val="0329B0E2"/>
    <w:rsid w:val="03C162E1"/>
    <w:rsid w:val="03CA8E71"/>
    <w:rsid w:val="03E50F24"/>
    <w:rsid w:val="043D585A"/>
    <w:rsid w:val="049E2AED"/>
    <w:rsid w:val="05190925"/>
    <w:rsid w:val="053E8C4C"/>
    <w:rsid w:val="055C8851"/>
    <w:rsid w:val="0564962B"/>
    <w:rsid w:val="056FC515"/>
    <w:rsid w:val="0598D270"/>
    <w:rsid w:val="05C1FE43"/>
    <w:rsid w:val="05C4825D"/>
    <w:rsid w:val="0692E68F"/>
    <w:rsid w:val="06986789"/>
    <w:rsid w:val="06B382DA"/>
    <w:rsid w:val="07251290"/>
    <w:rsid w:val="07D54DA1"/>
    <w:rsid w:val="07DA3A7B"/>
    <w:rsid w:val="07F88825"/>
    <w:rsid w:val="089338A5"/>
    <w:rsid w:val="08C3EBC2"/>
    <w:rsid w:val="08E432B7"/>
    <w:rsid w:val="08E6568E"/>
    <w:rsid w:val="09182008"/>
    <w:rsid w:val="093A0849"/>
    <w:rsid w:val="09507CE1"/>
    <w:rsid w:val="09F9DAF4"/>
    <w:rsid w:val="0A0BD6A9"/>
    <w:rsid w:val="0A2CD2FB"/>
    <w:rsid w:val="0A558F74"/>
    <w:rsid w:val="0A56A26C"/>
    <w:rsid w:val="0AC845B1"/>
    <w:rsid w:val="0B4CE508"/>
    <w:rsid w:val="0B6A7878"/>
    <w:rsid w:val="0BDE7EBE"/>
    <w:rsid w:val="0BF3D715"/>
    <w:rsid w:val="0BF70392"/>
    <w:rsid w:val="0C18830D"/>
    <w:rsid w:val="0C20C254"/>
    <w:rsid w:val="0C298069"/>
    <w:rsid w:val="0CA2B76A"/>
    <w:rsid w:val="0CB93B64"/>
    <w:rsid w:val="0D317DD0"/>
    <w:rsid w:val="0D94A10A"/>
    <w:rsid w:val="0DD9971D"/>
    <w:rsid w:val="0DE298CE"/>
    <w:rsid w:val="0DF94350"/>
    <w:rsid w:val="0E0475E4"/>
    <w:rsid w:val="0E1CCD76"/>
    <w:rsid w:val="0E3F3D9B"/>
    <w:rsid w:val="0E6F6F22"/>
    <w:rsid w:val="0EE0E6DC"/>
    <w:rsid w:val="0F2B353A"/>
    <w:rsid w:val="0FE97C91"/>
    <w:rsid w:val="0FF1484A"/>
    <w:rsid w:val="107FCD92"/>
    <w:rsid w:val="1083424E"/>
    <w:rsid w:val="10C6EEA8"/>
    <w:rsid w:val="1110EC11"/>
    <w:rsid w:val="11D8A8E1"/>
    <w:rsid w:val="11EC8F18"/>
    <w:rsid w:val="1205CFEA"/>
    <w:rsid w:val="123C5AFE"/>
    <w:rsid w:val="1318DF25"/>
    <w:rsid w:val="136EFAC4"/>
    <w:rsid w:val="1387CB25"/>
    <w:rsid w:val="1390DD0E"/>
    <w:rsid w:val="13A2DF00"/>
    <w:rsid w:val="13EDBB22"/>
    <w:rsid w:val="13F3119E"/>
    <w:rsid w:val="141C1A1A"/>
    <w:rsid w:val="143E1799"/>
    <w:rsid w:val="145F13CC"/>
    <w:rsid w:val="145F18DC"/>
    <w:rsid w:val="147BA2E6"/>
    <w:rsid w:val="1490779B"/>
    <w:rsid w:val="149E2666"/>
    <w:rsid w:val="14BB3B55"/>
    <w:rsid w:val="14D72D1F"/>
    <w:rsid w:val="14E3A2BD"/>
    <w:rsid w:val="14FAA347"/>
    <w:rsid w:val="151D6DCB"/>
    <w:rsid w:val="1532D971"/>
    <w:rsid w:val="159A5C78"/>
    <w:rsid w:val="15D696E2"/>
    <w:rsid w:val="162BE16E"/>
    <w:rsid w:val="16867845"/>
    <w:rsid w:val="1733A4DC"/>
    <w:rsid w:val="1746AB26"/>
    <w:rsid w:val="174ED893"/>
    <w:rsid w:val="174FDFDD"/>
    <w:rsid w:val="18B21493"/>
    <w:rsid w:val="18C83680"/>
    <w:rsid w:val="18D026C2"/>
    <w:rsid w:val="18F268FE"/>
    <w:rsid w:val="190342FD"/>
    <w:rsid w:val="19AB1D01"/>
    <w:rsid w:val="1A423235"/>
    <w:rsid w:val="1A80C946"/>
    <w:rsid w:val="1A8DA686"/>
    <w:rsid w:val="1AD0C56A"/>
    <w:rsid w:val="1B1B27C4"/>
    <w:rsid w:val="1B54DCAB"/>
    <w:rsid w:val="1B827513"/>
    <w:rsid w:val="1B9A111A"/>
    <w:rsid w:val="1BAA4757"/>
    <w:rsid w:val="1BACB464"/>
    <w:rsid w:val="1C0FB11A"/>
    <w:rsid w:val="1C23E3FA"/>
    <w:rsid w:val="1C92DD9A"/>
    <w:rsid w:val="1CD87140"/>
    <w:rsid w:val="1CEFEE2B"/>
    <w:rsid w:val="1CFD3DCD"/>
    <w:rsid w:val="1D8661CA"/>
    <w:rsid w:val="1D97A432"/>
    <w:rsid w:val="1DD02402"/>
    <w:rsid w:val="1DD1A422"/>
    <w:rsid w:val="1DEB32CB"/>
    <w:rsid w:val="1EB9E8E6"/>
    <w:rsid w:val="1EC0947F"/>
    <w:rsid w:val="1EE952F2"/>
    <w:rsid w:val="1F17F3EC"/>
    <w:rsid w:val="1F6844C9"/>
    <w:rsid w:val="1FA9B8FB"/>
    <w:rsid w:val="1FBFB719"/>
    <w:rsid w:val="1FF5F156"/>
    <w:rsid w:val="1FF706D7"/>
    <w:rsid w:val="200EC1B0"/>
    <w:rsid w:val="20139A0B"/>
    <w:rsid w:val="201A160F"/>
    <w:rsid w:val="202DA36D"/>
    <w:rsid w:val="20575E4E"/>
    <w:rsid w:val="2098F97B"/>
    <w:rsid w:val="20BD2881"/>
    <w:rsid w:val="20CFE149"/>
    <w:rsid w:val="20E25D24"/>
    <w:rsid w:val="20F639D0"/>
    <w:rsid w:val="21070AA6"/>
    <w:rsid w:val="2151C0CD"/>
    <w:rsid w:val="219FA59E"/>
    <w:rsid w:val="21E8C293"/>
    <w:rsid w:val="21FBEE3B"/>
    <w:rsid w:val="220A2E73"/>
    <w:rsid w:val="226220B7"/>
    <w:rsid w:val="22F47D3D"/>
    <w:rsid w:val="22FE0617"/>
    <w:rsid w:val="2308CB55"/>
    <w:rsid w:val="23092F86"/>
    <w:rsid w:val="233170DC"/>
    <w:rsid w:val="2356251F"/>
    <w:rsid w:val="23736CE6"/>
    <w:rsid w:val="23A70559"/>
    <w:rsid w:val="23D59FD0"/>
    <w:rsid w:val="24BAA344"/>
    <w:rsid w:val="25011781"/>
    <w:rsid w:val="25A5C98C"/>
    <w:rsid w:val="25A8F6B1"/>
    <w:rsid w:val="26065E75"/>
    <w:rsid w:val="26580C7F"/>
    <w:rsid w:val="265EDE80"/>
    <w:rsid w:val="269CFE6F"/>
    <w:rsid w:val="26B3065A"/>
    <w:rsid w:val="26E1E5D0"/>
    <w:rsid w:val="2785EFE9"/>
    <w:rsid w:val="27A70015"/>
    <w:rsid w:val="27B84030"/>
    <w:rsid w:val="2907B631"/>
    <w:rsid w:val="2935D5A5"/>
    <w:rsid w:val="2985DE9A"/>
    <w:rsid w:val="2A0A6612"/>
    <w:rsid w:val="2A532D06"/>
    <w:rsid w:val="2AB93A57"/>
    <w:rsid w:val="2AC32A63"/>
    <w:rsid w:val="2B65220C"/>
    <w:rsid w:val="2BDA8A49"/>
    <w:rsid w:val="2C5D32D5"/>
    <w:rsid w:val="2C6D1FE5"/>
    <w:rsid w:val="2C86CA92"/>
    <w:rsid w:val="2CC6F702"/>
    <w:rsid w:val="2CE8C4B1"/>
    <w:rsid w:val="2D32E55F"/>
    <w:rsid w:val="2D82BF6C"/>
    <w:rsid w:val="2DC0CEC6"/>
    <w:rsid w:val="2EC22ADF"/>
    <w:rsid w:val="2EC8C78E"/>
    <w:rsid w:val="2EE6B5F6"/>
    <w:rsid w:val="2FF16C49"/>
    <w:rsid w:val="30085782"/>
    <w:rsid w:val="3019F7C3"/>
    <w:rsid w:val="303A0464"/>
    <w:rsid w:val="30A071D9"/>
    <w:rsid w:val="310AA8F6"/>
    <w:rsid w:val="3162C3C6"/>
    <w:rsid w:val="31A7B284"/>
    <w:rsid w:val="31BB9B12"/>
    <w:rsid w:val="31FCC3E1"/>
    <w:rsid w:val="3205FE20"/>
    <w:rsid w:val="3248786E"/>
    <w:rsid w:val="324CF045"/>
    <w:rsid w:val="3259F221"/>
    <w:rsid w:val="32695F25"/>
    <w:rsid w:val="326C9B28"/>
    <w:rsid w:val="329F64EF"/>
    <w:rsid w:val="32BBBAF1"/>
    <w:rsid w:val="330D2D04"/>
    <w:rsid w:val="33101BE5"/>
    <w:rsid w:val="331EA958"/>
    <w:rsid w:val="3391C03B"/>
    <w:rsid w:val="33E9549B"/>
    <w:rsid w:val="3409D027"/>
    <w:rsid w:val="3439953F"/>
    <w:rsid w:val="3457F385"/>
    <w:rsid w:val="345834D6"/>
    <w:rsid w:val="34C4467A"/>
    <w:rsid w:val="34C4BCE8"/>
    <w:rsid w:val="34CCFAB4"/>
    <w:rsid w:val="3504DBD6"/>
    <w:rsid w:val="3526FA18"/>
    <w:rsid w:val="35396067"/>
    <w:rsid w:val="35965BBC"/>
    <w:rsid w:val="35CE10A7"/>
    <w:rsid w:val="35EB0B72"/>
    <w:rsid w:val="35F20888"/>
    <w:rsid w:val="360AD919"/>
    <w:rsid w:val="36268FF5"/>
    <w:rsid w:val="36612CA4"/>
    <w:rsid w:val="368507F7"/>
    <w:rsid w:val="36B08A62"/>
    <w:rsid w:val="36D07BCF"/>
    <w:rsid w:val="3736B473"/>
    <w:rsid w:val="378EDC95"/>
    <w:rsid w:val="37B81012"/>
    <w:rsid w:val="381C9B11"/>
    <w:rsid w:val="382D59EF"/>
    <w:rsid w:val="3836BA94"/>
    <w:rsid w:val="38512C06"/>
    <w:rsid w:val="386259FE"/>
    <w:rsid w:val="3864FE19"/>
    <w:rsid w:val="38867F41"/>
    <w:rsid w:val="38942DD7"/>
    <w:rsid w:val="3899BDB6"/>
    <w:rsid w:val="38A4D56A"/>
    <w:rsid w:val="38FAD5FE"/>
    <w:rsid w:val="39271DBB"/>
    <w:rsid w:val="39A8ACF9"/>
    <w:rsid w:val="39E29D54"/>
    <w:rsid w:val="3A108AF7"/>
    <w:rsid w:val="3A1A1286"/>
    <w:rsid w:val="3A30F00E"/>
    <w:rsid w:val="3A6FDF5C"/>
    <w:rsid w:val="3A807C09"/>
    <w:rsid w:val="3AAB8CFA"/>
    <w:rsid w:val="3AC353BB"/>
    <w:rsid w:val="3ADE0CDD"/>
    <w:rsid w:val="3AEF100B"/>
    <w:rsid w:val="3C068EFB"/>
    <w:rsid w:val="3C405727"/>
    <w:rsid w:val="3C54A152"/>
    <w:rsid w:val="3C922AAF"/>
    <w:rsid w:val="3D195B08"/>
    <w:rsid w:val="3D1F1DEF"/>
    <w:rsid w:val="3D3A4CE1"/>
    <w:rsid w:val="3D603A94"/>
    <w:rsid w:val="3DEC6B88"/>
    <w:rsid w:val="3E2CF917"/>
    <w:rsid w:val="3E48F943"/>
    <w:rsid w:val="3E59F12A"/>
    <w:rsid w:val="3F187CB9"/>
    <w:rsid w:val="3F5B05D1"/>
    <w:rsid w:val="3FB588D5"/>
    <w:rsid w:val="400B8F1D"/>
    <w:rsid w:val="4030144C"/>
    <w:rsid w:val="406352CF"/>
    <w:rsid w:val="407B1634"/>
    <w:rsid w:val="40AF0F44"/>
    <w:rsid w:val="40FD2A01"/>
    <w:rsid w:val="41569668"/>
    <w:rsid w:val="416176EA"/>
    <w:rsid w:val="4181C87D"/>
    <w:rsid w:val="42A0ADBB"/>
    <w:rsid w:val="42CFE015"/>
    <w:rsid w:val="4366742E"/>
    <w:rsid w:val="43C49D8B"/>
    <w:rsid w:val="448B1787"/>
    <w:rsid w:val="448F81A3"/>
    <w:rsid w:val="44CB0E21"/>
    <w:rsid w:val="44D2C558"/>
    <w:rsid w:val="450FEC68"/>
    <w:rsid w:val="4533731D"/>
    <w:rsid w:val="4585876F"/>
    <w:rsid w:val="4593B9CC"/>
    <w:rsid w:val="45989F0E"/>
    <w:rsid w:val="45AED829"/>
    <w:rsid w:val="461C31E8"/>
    <w:rsid w:val="462B136F"/>
    <w:rsid w:val="467506E8"/>
    <w:rsid w:val="46C930D7"/>
    <w:rsid w:val="47160E0D"/>
    <w:rsid w:val="47395B3A"/>
    <w:rsid w:val="48737D48"/>
    <w:rsid w:val="48D5AAF4"/>
    <w:rsid w:val="494168B4"/>
    <w:rsid w:val="49A9DFD8"/>
    <w:rsid w:val="4A15C0E9"/>
    <w:rsid w:val="4A1C0795"/>
    <w:rsid w:val="4A884BD3"/>
    <w:rsid w:val="4A9CE718"/>
    <w:rsid w:val="4AAF07FC"/>
    <w:rsid w:val="4ACD5913"/>
    <w:rsid w:val="4ADCD2AD"/>
    <w:rsid w:val="4AFA1045"/>
    <w:rsid w:val="4B3173B6"/>
    <w:rsid w:val="4B85F10E"/>
    <w:rsid w:val="4C074533"/>
    <w:rsid w:val="4C5B740F"/>
    <w:rsid w:val="4C626830"/>
    <w:rsid w:val="4CA7900C"/>
    <w:rsid w:val="4CB25038"/>
    <w:rsid w:val="4CBBFE3E"/>
    <w:rsid w:val="4D09DF29"/>
    <w:rsid w:val="4D2AD9DB"/>
    <w:rsid w:val="4D312497"/>
    <w:rsid w:val="4D35C076"/>
    <w:rsid w:val="4D6C897F"/>
    <w:rsid w:val="4D8B3E74"/>
    <w:rsid w:val="4DE0488D"/>
    <w:rsid w:val="4DF2FBB3"/>
    <w:rsid w:val="4DF97106"/>
    <w:rsid w:val="4DFF4EBF"/>
    <w:rsid w:val="4E2BB1FA"/>
    <w:rsid w:val="4E619180"/>
    <w:rsid w:val="4EDFC8A7"/>
    <w:rsid w:val="500AEEA8"/>
    <w:rsid w:val="5013F225"/>
    <w:rsid w:val="5044799A"/>
    <w:rsid w:val="50521D43"/>
    <w:rsid w:val="506FDD6E"/>
    <w:rsid w:val="50852D8F"/>
    <w:rsid w:val="508EB38F"/>
    <w:rsid w:val="50E21F9F"/>
    <w:rsid w:val="50F52FA4"/>
    <w:rsid w:val="526173E2"/>
    <w:rsid w:val="5284643E"/>
    <w:rsid w:val="52864521"/>
    <w:rsid w:val="529E3AA2"/>
    <w:rsid w:val="530EDACB"/>
    <w:rsid w:val="5333C5CC"/>
    <w:rsid w:val="5387FDF3"/>
    <w:rsid w:val="53CBF346"/>
    <w:rsid w:val="540685B4"/>
    <w:rsid w:val="545186EB"/>
    <w:rsid w:val="54B36D71"/>
    <w:rsid w:val="54F07A12"/>
    <w:rsid w:val="55366E74"/>
    <w:rsid w:val="5575B661"/>
    <w:rsid w:val="55BDC6FF"/>
    <w:rsid w:val="5600AFD4"/>
    <w:rsid w:val="56288804"/>
    <w:rsid w:val="56356411"/>
    <w:rsid w:val="565378DB"/>
    <w:rsid w:val="566C037E"/>
    <w:rsid w:val="56CFDA15"/>
    <w:rsid w:val="57219615"/>
    <w:rsid w:val="5730EFB3"/>
    <w:rsid w:val="5742D3A6"/>
    <w:rsid w:val="574DE723"/>
    <w:rsid w:val="5881C826"/>
    <w:rsid w:val="5920D633"/>
    <w:rsid w:val="5943DCCB"/>
    <w:rsid w:val="598F3F77"/>
    <w:rsid w:val="59B6971B"/>
    <w:rsid w:val="59DD8618"/>
    <w:rsid w:val="5A1F711C"/>
    <w:rsid w:val="5A52590A"/>
    <w:rsid w:val="5A5AB501"/>
    <w:rsid w:val="5A8DFAB2"/>
    <w:rsid w:val="5AA7FEDE"/>
    <w:rsid w:val="5AA97454"/>
    <w:rsid w:val="5AAF5E9C"/>
    <w:rsid w:val="5AD82B4E"/>
    <w:rsid w:val="5BB63D65"/>
    <w:rsid w:val="5BD5863A"/>
    <w:rsid w:val="5BE9A4B6"/>
    <w:rsid w:val="5BFC0765"/>
    <w:rsid w:val="5C539ADE"/>
    <w:rsid w:val="5CBAF601"/>
    <w:rsid w:val="5D1627C9"/>
    <w:rsid w:val="5D6E4253"/>
    <w:rsid w:val="5D850B17"/>
    <w:rsid w:val="5DFA12AF"/>
    <w:rsid w:val="5ED799BE"/>
    <w:rsid w:val="5F144E45"/>
    <w:rsid w:val="5F2A6B62"/>
    <w:rsid w:val="5F8933C6"/>
    <w:rsid w:val="5FAA9548"/>
    <w:rsid w:val="60336DCD"/>
    <w:rsid w:val="60555EB4"/>
    <w:rsid w:val="60C6F87F"/>
    <w:rsid w:val="60EC810C"/>
    <w:rsid w:val="6110E393"/>
    <w:rsid w:val="615C11F9"/>
    <w:rsid w:val="61B87ECF"/>
    <w:rsid w:val="61FDDFE2"/>
    <w:rsid w:val="62177FFC"/>
    <w:rsid w:val="62297FB0"/>
    <w:rsid w:val="62B3F87F"/>
    <w:rsid w:val="62C7BBFA"/>
    <w:rsid w:val="63484DB6"/>
    <w:rsid w:val="63521BBF"/>
    <w:rsid w:val="645ACA10"/>
    <w:rsid w:val="645BD944"/>
    <w:rsid w:val="645DDF88"/>
    <w:rsid w:val="646DA727"/>
    <w:rsid w:val="6476549C"/>
    <w:rsid w:val="64774C68"/>
    <w:rsid w:val="64B0FEFE"/>
    <w:rsid w:val="64E0EA34"/>
    <w:rsid w:val="655306FD"/>
    <w:rsid w:val="655E7E90"/>
    <w:rsid w:val="657EF20F"/>
    <w:rsid w:val="6580885B"/>
    <w:rsid w:val="658D47E5"/>
    <w:rsid w:val="6594D956"/>
    <w:rsid w:val="65A158AA"/>
    <w:rsid w:val="65B44D26"/>
    <w:rsid w:val="65D5E587"/>
    <w:rsid w:val="662A4F9C"/>
    <w:rsid w:val="662CEAF8"/>
    <w:rsid w:val="66333EED"/>
    <w:rsid w:val="6635636E"/>
    <w:rsid w:val="666FF3AE"/>
    <w:rsid w:val="66B0F5A8"/>
    <w:rsid w:val="6717F39E"/>
    <w:rsid w:val="672D876D"/>
    <w:rsid w:val="6766D683"/>
    <w:rsid w:val="676A1A28"/>
    <w:rsid w:val="677EB127"/>
    <w:rsid w:val="67A74C66"/>
    <w:rsid w:val="67D1777E"/>
    <w:rsid w:val="67F961CB"/>
    <w:rsid w:val="685310FD"/>
    <w:rsid w:val="6922A3E6"/>
    <w:rsid w:val="692CDBD3"/>
    <w:rsid w:val="695591C9"/>
    <w:rsid w:val="69C0B623"/>
    <w:rsid w:val="69E84EC0"/>
    <w:rsid w:val="69F11488"/>
    <w:rsid w:val="6A083CA6"/>
    <w:rsid w:val="6A29E086"/>
    <w:rsid w:val="6B52DBE0"/>
    <w:rsid w:val="6B5D9DEF"/>
    <w:rsid w:val="6B692682"/>
    <w:rsid w:val="6B8E3DA8"/>
    <w:rsid w:val="6BBE9F21"/>
    <w:rsid w:val="6C116861"/>
    <w:rsid w:val="6C29737E"/>
    <w:rsid w:val="6C90AA75"/>
    <w:rsid w:val="6C946464"/>
    <w:rsid w:val="6CC68778"/>
    <w:rsid w:val="6D35A150"/>
    <w:rsid w:val="6D62801D"/>
    <w:rsid w:val="6DA3F28A"/>
    <w:rsid w:val="6DA6B3CA"/>
    <w:rsid w:val="6E32DF8A"/>
    <w:rsid w:val="6E781252"/>
    <w:rsid w:val="6E97589A"/>
    <w:rsid w:val="6E98368A"/>
    <w:rsid w:val="6EA60E91"/>
    <w:rsid w:val="6EB2CFA4"/>
    <w:rsid w:val="6EBEAB38"/>
    <w:rsid w:val="6EC3B0D7"/>
    <w:rsid w:val="6F58948B"/>
    <w:rsid w:val="6F700A6D"/>
    <w:rsid w:val="6FB7A18C"/>
    <w:rsid w:val="6FEBAF75"/>
    <w:rsid w:val="703938DA"/>
    <w:rsid w:val="70622ADB"/>
    <w:rsid w:val="7079B637"/>
    <w:rsid w:val="70E143BC"/>
    <w:rsid w:val="70E99450"/>
    <w:rsid w:val="710D6529"/>
    <w:rsid w:val="7117E1E8"/>
    <w:rsid w:val="7137BF89"/>
    <w:rsid w:val="714C561C"/>
    <w:rsid w:val="7164F475"/>
    <w:rsid w:val="716796FC"/>
    <w:rsid w:val="71B1F580"/>
    <w:rsid w:val="71DA28CA"/>
    <w:rsid w:val="72036C96"/>
    <w:rsid w:val="72184EA5"/>
    <w:rsid w:val="72980C74"/>
    <w:rsid w:val="72D38169"/>
    <w:rsid w:val="736480D8"/>
    <w:rsid w:val="73D6DFEE"/>
    <w:rsid w:val="73F1E43E"/>
    <w:rsid w:val="74876467"/>
    <w:rsid w:val="74936C9E"/>
    <w:rsid w:val="74BD507A"/>
    <w:rsid w:val="74D1242C"/>
    <w:rsid w:val="751BCC84"/>
    <w:rsid w:val="7569BA22"/>
    <w:rsid w:val="75AB2EB0"/>
    <w:rsid w:val="75B71418"/>
    <w:rsid w:val="75CFA661"/>
    <w:rsid w:val="761F4B29"/>
    <w:rsid w:val="76228AF5"/>
    <w:rsid w:val="762D846E"/>
    <w:rsid w:val="7632AB15"/>
    <w:rsid w:val="76A623E9"/>
    <w:rsid w:val="76C81E29"/>
    <w:rsid w:val="76F67FFF"/>
    <w:rsid w:val="776D70A1"/>
    <w:rsid w:val="7796DE8D"/>
    <w:rsid w:val="77A7FB04"/>
    <w:rsid w:val="77B052DA"/>
    <w:rsid w:val="77B17279"/>
    <w:rsid w:val="77C145EC"/>
    <w:rsid w:val="77E8ABE8"/>
    <w:rsid w:val="77EF1956"/>
    <w:rsid w:val="77F8B099"/>
    <w:rsid w:val="792CE600"/>
    <w:rsid w:val="79F73477"/>
    <w:rsid w:val="7A6F5190"/>
    <w:rsid w:val="7A73023B"/>
    <w:rsid w:val="7A7B5BF6"/>
    <w:rsid w:val="7ABE5646"/>
    <w:rsid w:val="7C067D79"/>
    <w:rsid w:val="7C20EC25"/>
    <w:rsid w:val="7C225055"/>
    <w:rsid w:val="7C2D5103"/>
    <w:rsid w:val="7C6C76B1"/>
    <w:rsid w:val="7C9DC4C5"/>
    <w:rsid w:val="7CA33ACD"/>
    <w:rsid w:val="7CB9C1E5"/>
    <w:rsid w:val="7CD5B7C1"/>
    <w:rsid w:val="7D72CFE4"/>
    <w:rsid w:val="7D95B28D"/>
    <w:rsid w:val="7DAC5C57"/>
    <w:rsid w:val="7E170330"/>
    <w:rsid w:val="7E2B47D9"/>
    <w:rsid w:val="7E49BC5F"/>
    <w:rsid w:val="7E8F20E5"/>
    <w:rsid w:val="7F205763"/>
    <w:rsid w:val="7F365727"/>
    <w:rsid w:val="7F8F2FF6"/>
  </w:rsids>
  <m:mathPr>
    <m:mathFont m:val="Cambria Math"/>
    <m:brkBin m:val="before"/>
    <m:brkBinSub m:val="--"/>
    <m:smallFrac m:val="0"/>
    <m:dispDef/>
    <m:lMargin m:val="0"/>
    <m:rMargin m:val="0"/>
    <m:defJc m:val="centerGroup"/>
    <m:wrapIndent m:val="1440"/>
    <m:intLim m:val="subSup"/>
    <m:naryLim m:val="undOvr"/>
  </m:mathPr>
  <w:themeFontLang w:val="fr-B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49AE89"/>
  <w15:docId w15:val="{8DFB31FA-8310-4F40-8A6A-AAB1DFB4ED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747C"/>
    <w:rPr>
      <w:rFonts w:ascii="Aptos" w:hAnsi="Aptos"/>
      <w:sz w:val="24"/>
    </w:rPr>
  </w:style>
  <w:style w:type="paragraph" w:styleId="Heading1">
    <w:name w:val="heading 1"/>
    <w:basedOn w:val="Normal"/>
    <w:next w:val="Normal"/>
    <w:link w:val="Heading1Char"/>
    <w:uiPriority w:val="9"/>
    <w:qFormat/>
    <w:rsid w:val="0089152B"/>
    <w:pPr>
      <w:keepNext/>
      <w:keepLines/>
      <w:spacing w:before="240" w:after="120"/>
      <w:outlineLvl w:val="0"/>
    </w:pPr>
    <w:rPr>
      <w:rFonts w:eastAsiaTheme="majorEastAsia" w:cstheme="majorBidi"/>
      <w:b/>
      <w:color w:val="2F5496" w:themeColor="accent1" w:themeShade="BF"/>
      <w:sz w:val="32"/>
      <w:szCs w:val="32"/>
    </w:rPr>
  </w:style>
  <w:style w:type="paragraph" w:styleId="Heading2">
    <w:name w:val="heading 2"/>
    <w:basedOn w:val="Normal"/>
    <w:link w:val="Heading2Char"/>
    <w:uiPriority w:val="9"/>
    <w:qFormat/>
    <w:rsid w:val="0089152B"/>
    <w:pPr>
      <w:spacing w:before="120" w:after="120" w:line="240" w:lineRule="auto"/>
      <w:outlineLvl w:val="1"/>
    </w:pPr>
    <w:rPr>
      <w:rFonts w:eastAsia="Times New Roman" w:cs="Times New Roman"/>
      <w:b/>
      <w:bCs/>
      <w:color w:val="4472C4" w:themeColor="accent1"/>
      <w:sz w:val="28"/>
      <w:szCs w:val="36"/>
      <w:lang w:val="en-US"/>
    </w:rPr>
  </w:style>
  <w:style w:type="paragraph" w:styleId="Heading3">
    <w:name w:val="heading 3"/>
    <w:basedOn w:val="Normal"/>
    <w:link w:val="Heading3Char"/>
    <w:uiPriority w:val="9"/>
    <w:qFormat/>
    <w:rsid w:val="00801670"/>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paragraph" w:styleId="Heading4">
    <w:name w:val="heading 4"/>
    <w:basedOn w:val="Normal"/>
    <w:link w:val="Heading4Char"/>
    <w:uiPriority w:val="9"/>
    <w:qFormat/>
    <w:rsid w:val="00B572B1"/>
    <w:pPr>
      <w:spacing w:before="100" w:beforeAutospacing="1" w:after="100" w:afterAutospacing="1" w:line="240" w:lineRule="auto"/>
      <w:outlineLvl w:val="3"/>
    </w:pPr>
    <w:rPr>
      <w:rFonts w:ascii="Times New Roman" w:eastAsia="Times New Roman" w:hAnsi="Times New Roman" w:cs="Times New Roman"/>
      <w:b/>
      <w:bCs/>
      <w:szCs w:val="24"/>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 points - Level 1,Bullet List Paragraph,Heading 2_sj,Citation List,Chapter Subheaders,Kilder,Numbered Para 1,Dot pt,No Spacing1,List Paragraph Char Char Char,Indicator Text,List Paragraph1,Bullet Points,MAIN CONTENT,Paragrafo elenco"/>
    <w:basedOn w:val="Normal"/>
    <w:link w:val="ListParagraphChar"/>
    <w:uiPriority w:val="34"/>
    <w:qFormat/>
    <w:rsid w:val="00F659F7"/>
    <w:pPr>
      <w:ind w:left="720"/>
      <w:contextualSpacing/>
    </w:pPr>
  </w:style>
  <w:style w:type="character" w:styleId="CommentReference">
    <w:name w:val="annotation reference"/>
    <w:basedOn w:val="DefaultParagraphFont"/>
    <w:uiPriority w:val="99"/>
    <w:unhideWhenUsed/>
    <w:qFormat/>
    <w:rsid w:val="00895D13"/>
    <w:rPr>
      <w:sz w:val="16"/>
      <w:szCs w:val="16"/>
    </w:rPr>
  </w:style>
  <w:style w:type="paragraph" w:styleId="CommentText">
    <w:name w:val="annotation text"/>
    <w:basedOn w:val="Normal"/>
    <w:link w:val="CommentTextChar"/>
    <w:uiPriority w:val="99"/>
    <w:unhideWhenUsed/>
    <w:rsid w:val="00895D13"/>
    <w:pPr>
      <w:spacing w:line="240" w:lineRule="auto"/>
    </w:pPr>
    <w:rPr>
      <w:sz w:val="20"/>
      <w:szCs w:val="20"/>
    </w:rPr>
  </w:style>
  <w:style w:type="character" w:customStyle="1" w:styleId="CommentTextChar">
    <w:name w:val="Comment Text Char"/>
    <w:basedOn w:val="DefaultParagraphFont"/>
    <w:link w:val="CommentText"/>
    <w:uiPriority w:val="99"/>
    <w:qFormat/>
    <w:rsid w:val="00895D13"/>
    <w:rPr>
      <w:sz w:val="20"/>
      <w:szCs w:val="20"/>
    </w:rPr>
  </w:style>
  <w:style w:type="paragraph" w:styleId="CommentSubject">
    <w:name w:val="annotation subject"/>
    <w:basedOn w:val="CommentText"/>
    <w:next w:val="CommentText"/>
    <w:link w:val="CommentSubjectChar"/>
    <w:uiPriority w:val="99"/>
    <w:semiHidden/>
    <w:unhideWhenUsed/>
    <w:rsid w:val="00895D13"/>
    <w:rPr>
      <w:b/>
      <w:bCs/>
    </w:rPr>
  </w:style>
  <w:style w:type="character" w:customStyle="1" w:styleId="CommentSubjectChar">
    <w:name w:val="Comment Subject Char"/>
    <w:basedOn w:val="CommentTextChar"/>
    <w:link w:val="CommentSubject"/>
    <w:uiPriority w:val="99"/>
    <w:semiHidden/>
    <w:qFormat/>
    <w:rsid w:val="00895D13"/>
    <w:rPr>
      <w:b/>
      <w:bCs/>
      <w:sz w:val="20"/>
      <w:szCs w:val="20"/>
    </w:rPr>
  </w:style>
  <w:style w:type="paragraph" w:styleId="Header">
    <w:name w:val="header"/>
    <w:basedOn w:val="Normal"/>
    <w:link w:val="HeaderChar"/>
    <w:uiPriority w:val="99"/>
    <w:unhideWhenUsed/>
    <w:qFormat/>
    <w:rsid w:val="002754C9"/>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2754C9"/>
  </w:style>
  <w:style w:type="paragraph" w:styleId="Footer">
    <w:name w:val="footer"/>
    <w:basedOn w:val="Normal"/>
    <w:link w:val="FooterChar"/>
    <w:uiPriority w:val="99"/>
    <w:unhideWhenUsed/>
    <w:qFormat/>
    <w:rsid w:val="002754C9"/>
    <w:pPr>
      <w:tabs>
        <w:tab w:val="center" w:pos="4513"/>
        <w:tab w:val="right" w:pos="9026"/>
      </w:tabs>
      <w:spacing w:after="0" w:line="240" w:lineRule="auto"/>
    </w:pPr>
  </w:style>
  <w:style w:type="character" w:customStyle="1" w:styleId="FooterChar">
    <w:name w:val="Footer Char"/>
    <w:basedOn w:val="DefaultParagraphFont"/>
    <w:link w:val="Footer"/>
    <w:uiPriority w:val="99"/>
    <w:rsid w:val="002754C9"/>
  </w:style>
  <w:style w:type="character" w:styleId="Hyperlink">
    <w:name w:val="Hyperlink"/>
    <w:basedOn w:val="DefaultParagraphFont"/>
    <w:uiPriority w:val="99"/>
    <w:unhideWhenUsed/>
    <w:rsid w:val="00A20386"/>
    <w:rPr>
      <w:color w:val="0563C1" w:themeColor="hyperlink"/>
      <w:u w:val="single"/>
    </w:rPr>
  </w:style>
  <w:style w:type="character" w:customStyle="1" w:styleId="UnresolvedMention1">
    <w:name w:val="Unresolved Mention1"/>
    <w:basedOn w:val="DefaultParagraphFont"/>
    <w:uiPriority w:val="99"/>
    <w:semiHidden/>
    <w:unhideWhenUsed/>
    <w:rsid w:val="00A20386"/>
    <w:rPr>
      <w:color w:val="605E5C"/>
      <w:shd w:val="clear" w:color="auto" w:fill="E1DFDD"/>
    </w:rPr>
  </w:style>
  <w:style w:type="paragraph" w:styleId="FootnoteText">
    <w:name w:val="footnote text"/>
    <w:basedOn w:val="Normal"/>
    <w:link w:val="FootnoteTextChar"/>
    <w:uiPriority w:val="99"/>
    <w:semiHidden/>
    <w:unhideWhenUsed/>
    <w:qFormat/>
    <w:rsid w:val="006A1862"/>
    <w:pPr>
      <w:spacing w:after="0" w:line="240" w:lineRule="auto"/>
    </w:pPr>
    <w:rPr>
      <w:sz w:val="20"/>
      <w:szCs w:val="20"/>
    </w:rPr>
  </w:style>
  <w:style w:type="character" w:customStyle="1" w:styleId="FootnoteTextChar">
    <w:name w:val="Footnote Text Char"/>
    <w:basedOn w:val="DefaultParagraphFont"/>
    <w:link w:val="FootnoteText"/>
    <w:uiPriority w:val="99"/>
    <w:qFormat/>
    <w:rsid w:val="006A1862"/>
    <w:rPr>
      <w:sz w:val="20"/>
      <w:szCs w:val="20"/>
    </w:rPr>
  </w:style>
  <w:style w:type="character" w:styleId="FootnoteReference">
    <w:name w:val="footnote reference"/>
    <w:aliases w:val="Footnote number,Footnote#,-E Fußnotenzeichen,(Diplomarbeit FZ),(Diplomarbeit FZ)1,(Diplomarbeit FZ)2,(Diplomarbeit FZ)3,(Diplomarbeit FZ)4,(Diplomarbeit FZ)5,(Diplomarbeit FZ)6,(Diplomarbeit FZ)7,(Diplomarbeit FZ)8,(Diplomarbeit FZ)9"/>
    <w:basedOn w:val="DefaultParagraphFont"/>
    <w:link w:val="FootnotesymbolCarZchn"/>
    <w:uiPriority w:val="99"/>
    <w:unhideWhenUsed/>
    <w:qFormat/>
    <w:rsid w:val="006A1862"/>
    <w:rPr>
      <w:vertAlign w:val="superscript"/>
    </w:rPr>
  </w:style>
  <w:style w:type="table" w:styleId="TableGrid">
    <w:name w:val="Table Grid"/>
    <w:basedOn w:val="TableNormal"/>
    <w:uiPriority w:val="59"/>
    <w:qFormat/>
    <w:rsid w:val="00A35C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om">
    <w:name w:val="Z_Com"/>
    <w:basedOn w:val="Normal"/>
    <w:next w:val="Normal"/>
    <w:uiPriority w:val="2"/>
    <w:rsid w:val="00491E63"/>
    <w:pPr>
      <w:widowControl w:val="0"/>
      <w:spacing w:before="90" w:after="0" w:line="240" w:lineRule="auto"/>
      <w:ind w:right="85"/>
    </w:pPr>
    <w:rPr>
      <w:rFonts w:ascii="Times New Roman" w:eastAsia="Times New Roman" w:hAnsi="Times New Roman" w:cs="Times New Roman"/>
      <w:szCs w:val="20"/>
      <w:lang w:val="en-GB" w:eastAsia="en-IE"/>
    </w:rPr>
  </w:style>
  <w:style w:type="paragraph" w:customStyle="1" w:styleId="ZDGName">
    <w:name w:val="Z_DGName"/>
    <w:basedOn w:val="Normal"/>
    <w:uiPriority w:val="2"/>
    <w:qFormat/>
    <w:rsid w:val="00491E63"/>
    <w:pPr>
      <w:widowControl w:val="0"/>
      <w:spacing w:after="0" w:line="240" w:lineRule="auto"/>
      <w:ind w:right="85"/>
    </w:pPr>
    <w:rPr>
      <w:rFonts w:ascii="Times New Roman" w:eastAsia="Times New Roman" w:hAnsi="Times New Roman" w:cs="Times New Roman"/>
      <w:sz w:val="16"/>
      <w:szCs w:val="20"/>
      <w:lang w:val="en-GB" w:eastAsia="en-IE"/>
    </w:rPr>
  </w:style>
  <w:style w:type="paragraph" w:customStyle="1" w:styleId="ZFlag">
    <w:name w:val="Z_Flag"/>
    <w:basedOn w:val="Normal"/>
    <w:next w:val="Normal"/>
    <w:uiPriority w:val="2"/>
    <w:rsid w:val="00491E63"/>
    <w:pPr>
      <w:widowControl w:val="0"/>
      <w:spacing w:after="0" w:line="240" w:lineRule="auto"/>
      <w:ind w:right="85"/>
      <w:jc w:val="both"/>
    </w:pPr>
    <w:rPr>
      <w:rFonts w:ascii="Times New Roman" w:eastAsia="Times New Roman" w:hAnsi="Times New Roman" w:cs="Times New Roman"/>
      <w:szCs w:val="20"/>
      <w:lang w:val="en-GB" w:eastAsia="en-IE"/>
    </w:rPr>
  </w:style>
  <w:style w:type="table" w:customStyle="1" w:styleId="TableLetterhead">
    <w:name w:val="Table Letterhead"/>
    <w:basedOn w:val="TableNormal"/>
    <w:semiHidden/>
    <w:rsid w:val="00491E63"/>
    <w:pPr>
      <w:spacing w:after="0" w:line="240" w:lineRule="auto"/>
    </w:pPr>
    <w:rPr>
      <w:rFonts w:ascii="Times New Roman" w:eastAsia="Times New Roman" w:hAnsi="Times New Roman" w:cs="Times New Roman"/>
      <w:sz w:val="24"/>
      <w:szCs w:val="20"/>
      <w:lang w:val="en-GB" w:eastAsia="en-IE"/>
    </w:rPr>
    <w:tblPr>
      <w:tblCellMar>
        <w:left w:w="0" w:type="dxa"/>
        <w:bottom w:w="340" w:type="dxa"/>
        <w:right w:w="0" w:type="dxa"/>
      </w:tblCellMar>
    </w:tblPr>
  </w:style>
  <w:style w:type="paragraph" w:styleId="Revision">
    <w:name w:val="Revision"/>
    <w:hidden/>
    <w:uiPriority w:val="99"/>
    <w:semiHidden/>
    <w:rsid w:val="00205498"/>
    <w:pPr>
      <w:spacing w:after="0" w:line="240" w:lineRule="auto"/>
    </w:pPr>
  </w:style>
  <w:style w:type="paragraph" w:customStyle="1" w:styleId="oj-normal">
    <w:name w:val="oj-normal"/>
    <w:basedOn w:val="Normal"/>
    <w:rsid w:val="00A52E7E"/>
    <w:pPr>
      <w:spacing w:before="100" w:beforeAutospacing="1" w:after="100" w:afterAutospacing="1" w:line="240" w:lineRule="auto"/>
    </w:pPr>
    <w:rPr>
      <w:rFonts w:ascii="Times New Roman" w:eastAsia="Times New Roman" w:hAnsi="Times New Roman" w:cs="Times New Roman"/>
      <w:szCs w:val="24"/>
      <w:lang w:val="en-IE" w:eastAsia="en-IE"/>
    </w:rPr>
  </w:style>
  <w:style w:type="paragraph" w:styleId="BalloonText">
    <w:name w:val="Balloon Text"/>
    <w:basedOn w:val="Normal"/>
    <w:link w:val="BalloonTextChar"/>
    <w:uiPriority w:val="99"/>
    <w:semiHidden/>
    <w:unhideWhenUsed/>
    <w:qFormat/>
    <w:rsid w:val="002266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26621"/>
    <w:rPr>
      <w:rFonts w:ascii="Segoe UI" w:hAnsi="Segoe UI" w:cs="Segoe UI"/>
      <w:sz w:val="18"/>
      <w:szCs w:val="18"/>
    </w:rPr>
  </w:style>
  <w:style w:type="paragraph" w:styleId="NormalWeb">
    <w:name w:val="Normal (Web)"/>
    <w:basedOn w:val="Normal"/>
    <w:uiPriority w:val="99"/>
    <w:unhideWhenUsed/>
    <w:qFormat/>
    <w:rsid w:val="00AC48B8"/>
    <w:pPr>
      <w:spacing w:before="100" w:beforeAutospacing="1" w:after="100" w:afterAutospacing="1" w:line="240" w:lineRule="auto"/>
    </w:pPr>
    <w:rPr>
      <w:rFonts w:ascii="Times New Roman" w:eastAsia="Times New Roman" w:hAnsi="Times New Roman" w:cs="Times New Roman"/>
      <w:szCs w:val="24"/>
      <w:lang w:val="en-GB" w:eastAsia="en-GB"/>
    </w:rPr>
  </w:style>
  <w:style w:type="character" w:customStyle="1" w:styleId="Mention1">
    <w:name w:val="Mention1"/>
    <w:basedOn w:val="DefaultParagraphFont"/>
    <w:uiPriority w:val="99"/>
    <w:unhideWhenUsed/>
    <w:qFormat/>
    <w:rsid w:val="00F83E87"/>
    <w:rPr>
      <w:color w:val="2B579A"/>
      <w:shd w:val="clear" w:color="auto" w:fill="E1DFDD"/>
    </w:rPr>
  </w:style>
  <w:style w:type="character" w:customStyle="1" w:styleId="Mention10">
    <w:name w:val="Mention10"/>
    <w:basedOn w:val="DefaultParagraphFont"/>
    <w:uiPriority w:val="99"/>
    <w:unhideWhenUsed/>
    <w:qFormat/>
    <w:rsid w:val="00FB2473"/>
    <w:rPr>
      <w:color w:val="2B579A"/>
      <w:shd w:val="clear" w:color="auto" w:fill="E1DFDD"/>
    </w:rPr>
  </w:style>
  <w:style w:type="character" w:customStyle="1" w:styleId="UnresolvedMention2">
    <w:name w:val="Unresolved Mention2"/>
    <w:basedOn w:val="DefaultParagraphFont"/>
    <w:uiPriority w:val="99"/>
    <w:semiHidden/>
    <w:unhideWhenUsed/>
    <w:qFormat/>
    <w:rsid w:val="00FB2473"/>
    <w:rPr>
      <w:color w:val="605E5C"/>
      <w:shd w:val="clear" w:color="auto" w:fill="E1DFDD"/>
    </w:rPr>
  </w:style>
  <w:style w:type="character" w:customStyle="1" w:styleId="Mention2">
    <w:name w:val="Mention2"/>
    <w:basedOn w:val="DefaultParagraphFont"/>
    <w:uiPriority w:val="99"/>
    <w:unhideWhenUsed/>
    <w:rsid w:val="0068346A"/>
    <w:rPr>
      <w:color w:val="2B579A"/>
      <w:shd w:val="clear" w:color="auto" w:fill="E1DFDD"/>
    </w:rPr>
  </w:style>
  <w:style w:type="character" w:customStyle="1" w:styleId="Mention3">
    <w:name w:val="Mention3"/>
    <w:basedOn w:val="DefaultParagraphFont"/>
    <w:uiPriority w:val="99"/>
    <w:unhideWhenUsed/>
    <w:qFormat/>
    <w:rsid w:val="00BC07B6"/>
    <w:rPr>
      <w:color w:val="2B579A"/>
      <w:shd w:val="clear" w:color="auto" w:fill="E1DFDD"/>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link w:val="FootnoteReference"/>
    <w:uiPriority w:val="99"/>
    <w:qFormat/>
    <w:rsid w:val="009A742E"/>
    <w:pPr>
      <w:spacing w:line="240" w:lineRule="exact"/>
      <w:jc w:val="both"/>
    </w:pPr>
    <w:rPr>
      <w:vertAlign w:val="superscript"/>
    </w:rPr>
  </w:style>
  <w:style w:type="paragraph" w:styleId="BodyText">
    <w:name w:val="Body Text"/>
    <w:basedOn w:val="Normal"/>
    <w:link w:val="BodyTextChar"/>
    <w:unhideWhenUsed/>
    <w:qFormat/>
    <w:rsid w:val="001D3A32"/>
    <w:pPr>
      <w:spacing w:before="120" w:after="120" w:line="260" w:lineRule="atLeast"/>
      <w:ind w:left="851"/>
    </w:pPr>
    <w:rPr>
      <w:rFonts w:ascii="Arial" w:eastAsiaTheme="minorEastAsia" w:hAnsi="Arial" w:cs="Times New Roman"/>
      <w:lang w:val="en-GB"/>
    </w:rPr>
  </w:style>
  <w:style w:type="character" w:customStyle="1" w:styleId="BodyTextChar">
    <w:name w:val="Body Text Char"/>
    <w:basedOn w:val="DefaultParagraphFont"/>
    <w:link w:val="BodyText"/>
    <w:qFormat/>
    <w:rsid w:val="001D3A32"/>
    <w:rPr>
      <w:rFonts w:ascii="Arial" w:eastAsiaTheme="minorEastAsia" w:hAnsi="Arial" w:cs="Times New Roman"/>
      <w:lang w:val="en-GB"/>
    </w:rPr>
  </w:style>
  <w:style w:type="character" w:customStyle="1" w:styleId="UnresolvedMention3">
    <w:name w:val="Unresolved Mention3"/>
    <w:basedOn w:val="DefaultParagraphFont"/>
    <w:uiPriority w:val="99"/>
    <w:semiHidden/>
    <w:unhideWhenUsed/>
    <w:rsid w:val="00122E60"/>
    <w:rPr>
      <w:color w:val="605E5C"/>
      <w:shd w:val="clear" w:color="auto" w:fill="E1DFDD"/>
    </w:rPr>
  </w:style>
  <w:style w:type="character" w:styleId="FollowedHyperlink">
    <w:name w:val="FollowedHyperlink"/>
    <w:basedOn w:val="DefaultParagraphFont"/>
    <w:uiPriority w:val="99"/>
    <w:semiHidden/>
    <w:unhideWhenUsed/>
    <w:rsid w:val="00122E60"/>
    <w:rPr>
      <w:color w:val="954F72" w:themeColor="followedHyperlink"/>
      <w:u w:val="single"/>
    </w:rPr>
  </w:style>
  <w:style w:type="paragraph" w:customStyle="1" w:styleId="Text1">
    <w:name w:val="Text 1"/>
    <w:basedOn w:val="Normal"/>
    <w:qFormat/>
    <w:rsid w:val="000C637F"/>
    <w:pPr>
      <w:spacing w:before="120" w:after="120" w:line="240" w:lineRule="auto"/>
      <w:ind w:left="850"/>
      <w:jc w:val="both"/>
    </w:pPr>
    <w:rPr>
      <w:rFonts w:ascii="Times New Roman" w:hAnsi="Times New Roman" w:cs="Times New Roman"/>
      <w:lang w:val="en-GB"/>
    </w:rPr>
  </w:style>
  <w:style w:type="character" w:customStyle="1" w:styleId="ListParagraphChar">
    <w:name w:val="List Paragraph Char"/>
    <w:aliases w:val="Bullet points - Level 1 Char,Bullet List Paragraph Char,Heading 2_sj Char,Citation List Char,Chapter Subheaders Char,Kilder Char,Numbered Para 1 Char,Dot pt Char,No Spacing1 Char,List Paragraph Char Char Char Char,Indicator Text Char"/>
    <w:link w:val="ListParagraph"/>
    <w:uiPriority w:val="34"/>
    <w:qFormat/>
    <w:locked/>
    <w:rsid w:val="007633CD"/>
  </w:style>
  <w:style w:type="character" w:customStyle="1" w:styleId="normaltextrun">
    <w:name w:val="normaltextrun"/>
    <w:basedOn w:val="DefaultParagraphFont"/>
    <w:qFormat/>
    <w:rsid w:val="00AF1A27"/>
  </w:style>
  <w:style w:type="character" w:styleId="UnresolvedMention">
    <w:name w:val="Unresolved Mention"/>
    <w:basedOn w:val="DefaultParagraphFont"/>
    <w:uiPriority w:val="99"/>
    <w:semiHidden/>
    <w:unhideWhenUsed/>
    <w:rsid w:val="00D207D3"/>
    <w:rPr>
      <w:color w:val="605E5C"/>
      <w:shd w:val="clear" w:color="auto" w:fill="E1DFDD"/>
    </w:rPr>
  </w:style>
  <w:style w:type="character" w:styleId="Mention">
    <w:name w:val="Mention"/>
    <w:basedOn w:val="DefaultParagraphFont"/>
    <w:uiPriority w:val="99"/>
    <w:unhideWhenUsed/>
    <w:rsid w:val="00CA08F5"/>
    <w:rPr>
      <w:color w:val="2B579A"/>
      <w:shd w:val="clear" w:color="auto" w:fill="E1DFDD"/>
    </w:rPr>
  </w:style>
  <w:style w:type="paragraph" w:customStyle="1" w:styleId="SUPERSCharCharCharCharCharCharCharChar">
    <w:name w:val="SUPERS Char Char Char Char Char Char Char Char"/>
    <w:aliases w:val="SUPERS Tegn Char Char Char Char Char Char Char Char Char,Footnote Reference Number Tegn Char Char Char Char Char Char Char Char Char"/>
    <w:basedOn w:val="Normal"/>
    <w:uiPriority w:val="99"/>
    <w:rsid w:val="004D7EAF"/>
    <w:pPr>
      <w:spacing w:line="240" w:lineRule="exact"/>
    </w:pPr>
    <w:rPr>
      <w:vertAlign w:val="superscript"/>
      <w:lang w:val="en-US"/>
    </w:rPr>
  </w:style>
  <w:style w:type="character" w:customStyle="1" w:styleId="Heading2Char">
    <w:name w:val="Heading 2 Char"/>
    <w:basedOn w:val="DefaultParagraphFont"/>
    <w:link w:val="Heading2"/>
    <w:uiPriority w:val="9"/>
    <w:rsid w:val="0089152B"/>
    <w:rPr>
      <w:rFonts w:ascii="Aptos" w:eastAsia="Times New Roman" w:hAnsi="Aptos" w:cs="Times New Roman"/>
      <w:b/>
      <w:bCs/>
      <w:color w:val="4472C4" w:themeColor="accent1"/>
      <w:sz w:val="28"/>
      <w:szCs w:val="36"/>
      <w:lang w:val="en-US"/>
    </w:rPr>
  </w:style>
  <w:style w:type="character" w:customStyle="1" w:styleId="Heading3Char">
    <w:name w:val="Heading 3 Char"/>
    <w:basedOn w:val="DefaultParagraphFont"/>
    <w:link w:val="Heading3"/>
    <w:uiPriority w:val="9"/>
    <w:qFormat/>
    <w:rsid w:val="00801670"/>
    <w:rPr>
      <w:rFonts w:ascii="Times New Roman" w:eastAsia="Times New Roman" w:hAnsi="Times New Roman" w:cs="Times New Roman"/>
      <w:b/>
      <w:bCs/>
      <w:sz w:val="27"/>
      <w:szCs w:val="27"/>
      <w:lang w:val="en-US"/>
    </w:rPr>
  </w:style>
  <w:style w:type="character" w:styleId="Strong">
    <w:name w:val="Strong"/>
    <w:basedOn w:val="DefaultParagraphFont"/>
    <w:uiPriority w:val="22"/>
    <w:qFormat/>
    <w:rsid w:val="00801670"/>
    <w:rPr>
      <w:b/>
      <w:bCs/>
    </w:rPr>
  </w:style>
  <w:style w:type="table" w:styleId="GridTable4-Accent1">
    <w:name w:val="Grid Table 4 Accent 1"/>
    <w:basedOn w:val="TableNormal"/>
    <w:uiPriority w:val="49"/>
    <w:rsid w:val="00681B74"/>
    <w:pPr>
      <w:spacing w:after="0" w:line="240" w:lineRule="auto"/>
    </w:pPr>
    <w:rPr>
      <w:kern w:val="2"/>
      <w:sz w:val="24"/>
      <w:szCs w:val="24"/>
      <w:lang w:val="bg-BG"/>
      <w14:ligatures w14:val="standardContextual"/>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5">
    <w:name w:val="Grid Table 4 Accent 5"/>
    <w:basedOn w:val="TableNormal"/>
    <w:uiPriority w:val="49"/>
    <w:rsid w:val="000C44D1"/>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1Char">
    <w:name w:val="Heading 1 Char"/>
    <w:basedOn w:val="DefaultParagraphFont"/>
    <w:link w:val="Heading1"/>
    <w:uiPriority w:val="9"/>
    <w:qFormat/>
    <w:rsid w:val="0089152B"/>
    <w:rPr>
      <w:rFonts w:ascii="Aptos" w:eastAsiaTheme="majorEastAsia" w:hAnsi="Aptos" w:cstheme="majorBidi"/>
      <w:b/>
      <w:color w:val="2F5496" w:themeColor="accent1" w:themeShade="BF"/>
      <w:sz w:val="32"/>
      <w:szCs w:val="32"/>
    </w:rPr>
  </w:style>
  <w:style w:type="character" w:customStyle="1" w:styleId="Heading4Char">
    <w:name w:val="Heading 4 Char"/>
    <w:basedOn w:val="DefaultParagraphFont"/>
    <w:link w:val="Heading4"/>
    <w:uiPriority w:val="9"/>
    <w:qFormat/>
    <w:rsid w:val="00B572B1"/>
    <w:rPr>
      <w:rFonts w:ascii="Times New Roman" w:eastAsia="Times New Roman" w:hAnsi="Times New Roman" w:cs="Times New Roman"/>
      <w:b/>
      <w:bCs/>
      <w:sz w:val="24"/>
      <w:szCs w:val="24"/>
      <w:lang w:val="bg-BG" w:eastAsia="bg-BG"/>
    </w:rPr>
  </w:style>
  <w:style w:type="character" w:customStyle="1" w:styleId="relative">
    <w:name w:val="relative"/>
    <w:basedOn w:val="DefaultParagraphFont"/>
    <w:rsid w:val="00B572B1"/>
  </w:style>
  <w:style w:type="paragraph" w:customStyle="1" w:styleId="not-prose">
    <w:name w:val="not-prose"/>
    <w:basedOn w:val="Normal"/>
    <w:qFormat/>
    <w:rsid w:val="00B572B1"/>
    <w:pPr>
      <w:spacing w:before="100" w:beforeAutospacing="1" w:after="100" w:afterAutospacing="1" w:line="240" w:lineRule="auto"/>
    </w:pPr>
    <w:rPr>
      <w:rFonts w:ascii="Times New Roman" w:eastAsia="Times New Roman" w:hAnsi="Times New Roman" w:cs="Times New Roman"/>
      <w:szCs w:val="24"/>
      <w:lang w:val="bg-BG" w:eastAsia="bg-BG"/>
    </w:rPr>
  </w:style>
  <w:style w:type="character" w:customStyle="1" w:styleId="ms-1">
    <w:name w:val="ms-1"/>
    <w:basedOn w:val="DefaultParagraphFont"/>
    <w:rsid w:val="00B572B1"/>
  </w:style>
  <w:style w:type="character" w:customStyle="1" w:styleId="max-w-15ch">
    <w:name w:val="max-w-[15ch]"/>
    <w:basedOn w:val="DefaultParagraphFont"/>
    <w:qFormat/>
    <w:rsid w:val="00B572B1"/>
  </w:style>
  <w:style w:type="table" w:styleId="GridTable5Dark-Accent1">
    <w:name w:val="Grid Table 5 Dark Accent 1"/>
    <w:basedOn w:val="TableNormal"/>
    <w:uiPriority w:val="50"/>
    <w:rsid w:val="00B572B1"/>
    <w:pPr>
      <w:spacing w:after="0" w:line="240" w:lineRule="auto"/>
    </w:pPr>
    <w:rPr>
      <w:lang w:val="bg-BG"/>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Emphasis">
    <w:name w:val="Emphasis"/>
    <w:basedOn w:val="DefaultParagraphFont"/>
    <w:uiPriority w:val="20"/>
    <w:qFormat/>
    <w:rsid w:val="00B572B1"/>
    <w:rPr>
      <w:i/>
      <w:iCs/>
    </w:rPr>
  </w:style>
  <w:style w:type="paragraph" w:styleId="NoSpacing">
    <w:name w:val="No Spacing"/>
    <w:uiPriority w:val="1"/>
    <w:qFormat/>
    <w:rsid w:val="0089152B"/>
    <w:pPr>
      <w:spacing w:after="0" w:line="240" w:lineRule="auto"/>
    </w:pPr>
  </w:style>
  <w:style w:type="paragraph" w:styleId="TOCHeading">
    <w:name w:val="TOC Heading"/>
    <w:basedOn w:val="Heading1"/>
    <w:next w:val="Normal"/>
    <w:uiPriority w:val="39"/>
    <w:unhideWhenUsed/>
    <w:qFormat/>
    <w:rsid w:val="001F747C"/>
    <w:pPr>
      <w:spacing w:after="0"/>
      <w:outlineLvl w:val="9"/>
    </w:pPr>
    <w:rPr>
      <w:rFonts w:asciiTheme="majorHAnsi" w:hAnsiTheme="majorHAnsi"/>
      <w:b w:val="0"/>
      <w:lang w:val="en-US"/>
    </w:rPr>
  </w:style>
  <w:style w:type="paragraph" w:styleId="TOC2">
    <w:name w:val="toc 2"/>
    <w:basedOn w:val="Normal"/>
    <w:next w:val="Normal"/>
    <w:autoRedefine/>
    <w:uiPriority w:val="39"/>
    <w:unhideWhenUsed/>
    <w:qFormat/>
    <w:rsid w:val="001F747C"/>
    <w:pPr>
      <w:spacing w:after="100"/>
      <w:ind w:left="220"/>
    </w:pPr>
  </w:style>
  <w:style w:type="paragraph" w:styleId="TOC1">
    <w:name w:val="toc 1"/>
    <w:basedOn w:val="Normal"/>
    <w:next w:val="Normal"/>
    <w:autoRedefine/>
    <w:uiPriority w:val="39"/>
    <w:unhideWhenUsed/>
    <w:qFormat/>
    <w:rsid w:val="00EA1E95"/>
    <w:pPr>
      <w:tabs>
        <w:tab w:val="right" w:leader="dot" w:pos="9062"/>
      </w:tabs>
      <w:spacing w:after="100"/>
    </w:pPr>
    <w:rPr>
      <w:b/>
      <w:bCs/>
      <w:noProof/>
      <w:lang w:val="bg-BG"/>
    </w:rPr>
  </w:style>
  <w:style w:type="paragraph" w:styleId="TOC3">
    <w:name w:val="toc 3"/>
    <w:basedOn w:val="Normal"/>
    <w:next w:val="Normal"/>
    <w:autoRedefine/>
    <w:uiPriority w:val="39"/>
    <w:unhideWhenUsed/>
    <w:qFormat/>
    <w:rsid w:val="001F747C"/>
    <w:pPr>
      <w:spacing w:after="100"/>
      <w:ind w:left="440"/>
    </w:pPr>
  </w:style>
  <w:style w:type="paragraph" w:styleId="TOC4">
    <w:name w:val="toc 4"/>
    <w:basedOn w:val="Normal"/>
    <w:next w:val="Normal"/>
    <w:autoRedefine/>
    <w:uiPriority w:val="39"/>
    <w:unhideWhenUsed/>
    <w:qFormat/>
    <w:rsid w:val="001F747C"/>
    <w:pPr>
      <w:spacing w:after="100" w:line="278" w:lineRule="auto"/>
      <w:ind w:left="720"/>
    </w:pPr>
    <w:rPr>
      <w:rFonts w:eastAsiaTheme="minorEastAsia"/>
      <w:kern w:val="2"/>
      <w:szCs w:val="24"/>
      <w:lang w:val="bg-BG" w:eastAsia="bg-BG"/>
      <w14:ligatures w14:val="standardContextual"/>
    </w:rPr>
  </w:style>
  <w:style w:type="paragraph" w:styleId="TOC5">
    <w:name w:val="toc 5"/>
    <w:basedOn w:val="Normal"/>
    <w:next w:val="Normal"/>
    <w:autoRedefine/>
    <w:uiPriority w:val="39"/>
    <w:unhideWhenUsed/>
    <w:qFormat/>
    <w:rsid w:val="001F747C"/>
    <w:pPr>
      <w:spacing w:after="100" w:line="278" w:lineRule="auto"/>
      <w:ind w:left="960"/>
    </w:pPr>
    <w:rPr>
      <w:rFonts w:eastAsiaTheme="minorEastAsia"/>
      <w:kern w:val="2"/>
      <w:szCs w:val="24"/>
      <w:lang w:val="bg-BG" w:eastAsia="bg-BG"/>
      <w14:ligatures w14:val="standardContextual"/>
    </w:rPr>
  </w:style>
  <w:style w:type="paragraph" w:styleId="TOC6">
    <w:name w:val="toc 6"/>
    <w:basedOn w:val="Normal"/>
    <w:next w:val="Normal"/>
    <w:autoRedefine/>
    <w:uiPriority w:val="39"/>
    <w:unhideWhenUsed/>
    <w:qFormat/>
    <w:rsid w:val="001F747C"/>
    <w:pPr>
      <w:spacing w:after="100" w:line="278" w:lineRule="auto"/>
      <w:ind w:left="1200"/>
    </w:pPr>
    <w:rPr>
      <w:rFonts w:eastAsiaTheme="minorEastAsia"/>
      <w:kern w:val="2"/>
      <w:szCs w:val="24"/>
      <w:lang w:val="bg-BG" w:eastAsia="bg-BG"/>
      <w14:ligatures w14:val="standardContextual"/>
    </w:rPr>
  </w:style>
  <w:style w:type="paragraph" w:styleId="TOC7">
    <w:name w:val="toc 7"/>
    <w:basedOn w:val="Normal"/>
    <w:next w:val="Normal"/>
    <w:autoRedefine/>
    <w:uiPriority w:val="39"/>
    <w:unhideWhenUsed/>
    <w:qFormat/>
    <w:rsid w:val="001F747C"/>
    <w:pPr>
      <w:spacing w:after="100" w:line="278" w:lineRule="auto"/>
      <w:ind w:left="1440"/>
    </w:pPr>
    <w:rPr>
      <w:rFonts w:eastAsiaTheme="minorEastAsia"/>
      <w:kern w:val="2"/>
      <w:szCs w:val="24"/>
      <w:lang w:val="bg-BG" w:eastAsia="bg-BG"/>
      <w14:ligatures w14:val="standardContextual"/>
    </w:rPr>
  </w:style>
  <w:style w:type="paragraph" w:styleId="TOC8">
    <w:name w:val="toc 8"/>
    <w:basedOn w:val="Normal"/>
    <w:next w:val="Normal"/>
    <w:autoRedefine/>
    <w:uiPriority w:val="39"/>
    <w:unhideWhenUsed/>
    <w:rsid w:val="001F747C"/>
    <w:pPr>
      <w:spacing w:after="100" w:line="278" w:lineRule="auto"/>
      <w:ind w:left="1680"/>
    </w:pPr>
    <w:rPr>
      <w:rFonts w:eastAsiaTheme="minorEastAsia"/>
      <w:kern w:val="2"/>
      <w:szCs w:val="24"/>
      <w:lang w:val="bg-BG" w:eastAsia="bg-BG"/>
      <w14:ligatures w14:val="standardContextual"/>
    </w:rPr>
  </w:style>
  <w:style w:type="paragraph" w:styleId="TOC9">
    <w:name w:val="toc 9"/>
    <w:basedOn w:val="Normal"/>
    <w:next w:val="Normal"/>
    <w:autoRedefine/>
    <w:uiPriority w:val="39"/>
    <w:unhideWhenUsed/>
    <w:qFormat/>
    <w:rsid w:val="001F747C"/>
    <w:pPr>
      <w:spacing w:after="100" w:line="278" w:lineRule="auto"/>
      <w:ind w:left="1920"/>
    </w:pPr>
    <w:rPr>
      <w:rFonts w:eastAsiaTheme="minorEastAsia"/>
      <w:kern w:val="2"/>
      <w:szCs w:val="24"/>
      <w:lang w:val="bg-BG" w:eastAsia="bg-BG"/>
      <w14:ligatures w14:val="standardContextual"/>
    </w:rPr>
  </w:style>
  <w:style w:type="numbering" w:customStyle="1" w:styleId="NoList1">
    <w:name w:val="No List1"/>
    <w:next w:val="NoList"/>
    <w:uiPriority w:val="99"/>
    <w:semiHidden/>
    <w:unhideWhenUsed/>
    <w:rsid w:val="0039488E"/>
  </w:style>
  <w:style w:type="paragraph" w:customStyle="1" w:styleId="Revision1">
    <w:name w:val="Revision1"/>
    <w:hidden/>
    <w:uiPriority w:val="99"/>
    <w:semiHidden/>
    <w:rsid w:val="00E6313A"/>
    <w:pPr>
      <w:spacing w:after="0" w:line="240" w:lineRule="auto"/>
    </w:pPr>
  </w:style>
  <w:style w:type="character" w:customStyle="1" w:styleId="UnresolvedMention4">
    <w:name w:val="Unresolved Mention4"/>
    <w:basedOn w:val="DefaultParagraphFont"/>
    <w:uiPriority w:val="99"/>
    <w:semiHidden/>
    <w:unhideWhenUsed/>
    <w:rsid w:val="00E6313A"/>
    <w:rPr>
      <w:color w:val="605E5C"/>
      <w:shd w:val="clear" w:color="auto" w:fill="E1DFDD"/>
    </w:rPr>
  </w:style>
  <w:style w:type="character" w:customStyle="1" w:styleId="Mention4">
    <w:name w:val="Mention4"/>
    <w:basedOn w:val="DefaultParagraphFont"/>
    <w:uiPriority w:val="99"/>
    <w:unhideWhenUsed/>
    <w:rsid w:val="00E6313A"/>
    <w:rPr>
      <w:color w:val="2B579A"/>
      <w:shd w:val="clear" w:color="auto" w:fill="E1DFDD"/>
    </w:rPr>
  </w:style>
  <w:style w:type="table" w:customStyle="1" w:styleId="GridTable4-Accent11">
    <w:name w:val="Grid Table 4 - Accent 11"/>
    <w:basedOn w:val="TableNormal"/>
    <w:uiPriority w:val="49"/>
    <w:rsid w:val="00E6313A"/>
    <w:pPr>
      <w:spacing w:after="0" w:line="240" w:lineRule="auto"/>
    </w:pPr>
    <w:rPr>
      <w:kern w:val="2"/>
      <w:sz w:val="24"/>
      <w:szCs w:val="24"/>
      <w:lang w:val="bg-BG"/>
      <w14:ligatures w14:val="standardContextual"/>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51">
    <w:name w:val="Grid Table 4 - Accent 51"/>
    <w:basedOn w:val="TableNormal"/>
    <w:uiPriority w:val="49"/>
    <w:rsid w:val="00E6313A"/>
    <w:pPr>
      <w:spacing w:after="0" w:line="240" w:lineRule="auto"/>
    </w:pPr>
    <w:rPr>
      <w:sz w:val="20"/>
      <w:szCs w:val="20"/>
      <w:lang w:val="en-US"/>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5Dark-Accent11">
    <w:name w:val="Grid Table 5 Dark - Accent 11"/>
    <w:basedOn w:val="TableNormal"/>
    <w:uiPriority w:val="50"/>
    <w:qFormat/>
    <w:rsid w:val="00E6313A"/>
    <w:pPr>
      <w:spacing w:after="0" w:line="240" w:lineRule="auto"/>
    </w:pPr>
    <w:rPr>
      <w:sz w:val="20"/>
      <w:szCs w:val="20"/>
      <w:lang w:val="bg-BG"/>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TOCHeading1">
    <w:name w:val="TOC Heading1"/>
    <w:basedOn w:val="Heading1"/>
    <w:next w:val="Normal"/>
    <w:uiPriority w:val="39"/>
    <w:unhideWhenUsed/>
    <w:qFormat/>
    <w:rsid w:val="00E6313A"/>
    <w:pPr>
      <w:spacing w:after="0"/>
      <w:outlineLvl w:val="9"/>
    </w:pPr>
    <w:rPr>
      <w:rFonts w:asciiTheme="majorHAnsi" w:hAnsiTheme="majorHAnsi"/>
      <w:b w:val="0"/>
      <w:lang w:val="en-US"/>
    </w:rPr>
  </w:style>
  <w:style w:type="paragraph" w:customStyle="1" w:styleId="BVIfnrChar">
    <w:name w:val="BVI fnr Char"/>
    <w:basedOn w:val="Normal"/>
    <w:uiPriority w:val="99"/>
    <w:qFormat/>
    <w:rsid w:val="00E6313A"/>
    <w:pPr>
      <w:spacing w:line="240" w:lineRule="exact"/>
    </w:pPr>
    <w:rPr>
      <w:rFonts w:ascii="Calibri" w:hAnsi="Calibri"/>
      <w:sz w:val="22"/>
      <w:vertAlign w:val="superscript"/>
      <w:lang w:val="bg-BG"/>
    </w:rPr>
  </w:style>
  <w:style w:type="table" w:customStyle="1" w:styleId="TableGrid1">
    <w:name w:val="Table Grid1"/>
    <w:basedOn w:val="TableNormal"/>
    <w:uiPriority w:val="59"/>
    <w:qFormat/>
    <w:rsid w:val="00E6313A"/>
    <w:pPr>
      <w:spacing w:after="0" w:line="240" w:lineRule="auto"/>
    </w:pPr>
    <w:rPr>
      <w:rFonts w:ascii="Calibri" w:eastAsia="Calibri" w:hAnsi="Calibri"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TableNormal"/>
    <w:uiPriority w:val="45"/>
    <w:rsid w:val="00E6313A"/>
    <w:pPr>
      <w:spacing w:before="120" w:after="0" w:line="240" w:lineRule="auto"/>
      <w:jc w:val="both"/>
    </w:pPr>
    <w:rPr>
      <w:rFonts w:ascii="Calibri" w:eastAsia="SimSun" w:hAnsi="Calibri"/>
      <w:sz w:val="24"/>
      <w:szCs w:val="20"/>
      <w:lang w:val="en-US"/>
    </w:rP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2">
    <w:name w:val="Table Grid2"/>
    <w:basedOn w:val="TableNormal"/>
    <w:next w:val="TableGrid"/>
    <w:uiPriority w:val="59"/>
    <w:rsid w:val="00E63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6313A"/>
    <w:pPr>
      <w:spacing w:after="200" w:line="240" w:lineRule="auto"/>
    </w:pPr>
    <w:rPr>
      <w:i/>
      <w:iCs/>
      <w:color w:val="44546A" w:themeColor="text2"/>
      <w:sz w:val="18"/>
      <w:szCs w:val="18"/>
      <w:lang w:val="bg-BG"/>
    </w:rPr>
  </w:style>
  <w:style w:type="paragraph" w:styleId="TableofFigures">
    <w:name w:val="table of figures"/>
    <w:basedOn w:val="Normal"/>
    <w:next w:val="Normal"/>
    <w:uiPriority w:val="99"/>
    <w:unhideWhenUsed/>
    <w:rsid w:val="00E6313A"/>
    <w:pPr>
      <w:spacing w:after="0"/>
    </w:pPr>
    <w:rPr>
      <w:lang w:val="bg-BG"/>
    </w:rPr>
  </w:style>
  <w:style w:type="table" w:customStyle="1" w:styleId="TableGrid3">
    <w:name w:val="Table Grid3"/>
    <w:basedOn w:val="TableNormal"/>
    <w:next w:val="TableGrid"/>
    <w:uiPriority w:val="99"/>
    <w:rsid w:val="00E6313A"/>
    <w:pPr>
      <w:spacing w:after="0" w:line="240" w:lineRule="auto"/>
    </w:pPr>
    <w:rPr>
      <w:rFonts w:ascii="Times New Roman" w:eastAsia="Calibri" w:hAnsi="Times New Roman" w:cs="Arial"/>
      <w:sz w:val="20"/>
      <w:szCs w:val="20"/>
    </w:rPr>
    <w:tblPr>
      <w:tblInd w:w="0" w:type="nil"/>
      <w:tblCellMar>
        <w:left w:w="0" w:type="dxa"/>
        <w:right w:w="0" w:type="dxa"/>
      </w:tblCellMar>
    </w:tblPr>
  </w:style>
  <w:style w:type="table" w:customStyle="1" w:styleId="TableGrid4">
    <w:name w:val="Table Grid4"/>
    <w:basedOn w:val="TableNormal"/>
    <w:next w:val="TableGrid"/>
    <w:uiPriority w:val="59"/>
    <w:rsid w:val="00E6313A"/>
    <w:pPr>
      <w:spacing w:after="0" w:line="240" w:lineRule="auto"/>
    </w:pPr>
    <w:rPr>
      <w:rFonts w:ascii="Times New Roman" w:eastAsia="Calibri" w:hAnsi="Times New Roman" w:cs="Arial"/>
      <w:sz w:val="20"/>
      <w:szCs w:val="20"/>
    </w:rPr>
    <w:tblPr>
      <w:tblInd w:w="0" w:type="nil"/>
      <w:tblCellMar>
        <w:left w:w="0" w:type="dxa"/>
        <w:right w:w="0" w:type="dxa"/>
      </w:tblCellMar>
    </w:tblPr>
  </w:style>
  <w:style w:type="table" w:customStyle="1" w:styleId="TableGrid11">
    <w:name w:val="Table Grid11"/>
    <w:basedOn w:val="TableNormal"/>
    <w:uiPriority w:val="59"/>
    <w:rsid w:val="00E6313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qFormat/>
    <w:rsid w:val="00E6313A"/>
    <w:pPr>
      <w:spacing w:after="0" w:line="240" w:lineRule="auto"/>
    </w:pPr>
    <w:rPr>
      <w:rFonts w:ascii="Times New Roman" w:eastAsia="Calibri" w:hAnsi="Times New Roman" w:cs="Arial"/>
      <w:sz w:val="20"/>
      <w:szCs w:val="20"/>
    </w:rPr>
    <w:tblPr>
      <w:tblInd w:w="0" w:type="nil"/>
      <w:tblCellMar>
        <w:left w:w="0" w:type="dxa"/>
        <w:right w:w="0" w:type="dxa"/>
      </w:tblCellMar>
    </w:tblPr>
  </w:style>
  <w:style w:type="table" w:customStyle="1" w:styleId="TableGrid6">
    <w:name w:val="Table Grid6"/>
    <w:basedOn w:val="TableNormal"/>
    <w:next w:val="TableGrid"/>
    <w:uiPriority w:val="59"/>
    <w:qFormat/>
    <w:rsid w:val="00E6313A"/>
    <w:pPr>
      <w:spacing w:after="0" w:line="240" w:lineRule="auto"/>
    </w:pPr>
    <w:rPr>
      <w:rFonts w:ascii="Times New Roman" w:eastAsia="Calibri" w:hAnsi="Times New Roman" w:cs="Arial"/>
      <w:sz w:val="20"/>
      <w:szCs w:val="20"/>
    </w:rPr>
    <w:tblPr>
      <w:tblInd w:w="0" w:type="nil"/>
      <w:tblCellMar>
        <w:left w:w="0" w:type="dxa"/>
        <w:right w:w="0" w:type="dxa"/>
      </w:tblCellMar>
    </w:tblPr>
  </w:style>
  <w:style w:type="table" w:styleId="ListTable4-Accent5">
    <w:name w:val="List Table 4 Accent 5"/>
    <w:basedOn w:val="TableNormal"/>
    <w:uiPriority w:val="49"/>
    <w:rsid w:val="00E6313A"/>
    <w:pPr>
      <w:spacing w:after="0" w:line="240" w:lineRule="auto"/>
    </w:pPr>
    <w:rPr>
      <w:sz w:val="20"/>
      <w:szCs w:val="20"/>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eGrid21">
    <w:name w:val="Table Grid21"/>
    <w:basedOn w:val="TableNormal"/>
    <w:next w:val="TableGrid"/>
    <w:uiPriority w:val="59"/>
    <w:rsid w:val="0059670A"/>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5716">
      <w:bodyDiv w:val="1"/>
      <w:marLeft w:val="0"/>
      <w:marRight w:val="0"/>
      <w:marTop w:val="0"/>
      <w:marBottom w:val="0"/>
      <w:divBdr>
        <w:top w:val="none" w:sz="0" w:space="0" w:color="auto"/>
        <w:left w:val="none" w:sz="0" w:space="0" w:color="auto"/>
        <w:bottom w:val="none" w:sz="0" w:space="0" w:color="auto"/>
        <w:right w:val="none" w:sz="0" w:space="0" w:color="auto"/>
      </w:divBdr>
    </w:div>
    <w:div w:id="27726367">
      <w:bodyDiv w:val="1"/>
      <w:marLeft w:val="0"/>
      <w:marRight w:val="0"/>
      <w:marTop w:val="0"/>
      <w:marBottom w:val="0"/>
      <w:divBdr>
        <w:top w:val="none" w:sz="0" w:space="0" w:color="auto"/>
        <w:left w:val="none" w:sz="0" w:space="0" w:color="auto"/>
        <w:bottom w:val="none" w:sz="0" w:space="0" w:color="auto"/>
        <w:right w:val="none" w:sz="0" w:space="0" w:color="auto"/>
      </w:divBdr>
    </w:div>
    <w:div w:id="56247433">
      <w:bodyDiv w:val="1"/>
      <w:marLeft w:val="0"/>
      <w:marRight w:val="0"/>
      <w:marTop w:val="0"/>
      <w:marBottom w:val="0"/>
      <w:divBdr>
        <w:top w:val="none" w:sz="0" w:space="0" w:color="auto"/>
        <w:left w:val="none" w:sz="0" w:space="0" w:color="auto"/>
        <w:bottom w:val="none" w:sz="0" w:space="0" w:color="auto"/>
        <w:right w:val="none" w:sz="0" w:space="0" w:color="auto"/>
      </w:divBdr>
    </w:div>
    <w:div w:id="71397247">
      <w:bodyDiv w:val="1"/>
      <w:marLeft w:val="0"/>
      <w:marRight w:val="0"/>
      <w:marTop w:val="0"/>
      <w:marBottom w:val="0"/>
      <w:divBdr>
        <w:top w:val="none" w:sz="0" w:space="0" w:color="auto"/>
        <w:left w:val="none" w:sz="0" w:space="0" w:color="auto"/>
        <w:bottom w:val="none" w:sz="0" w:space="0" w:color="auto"/>
        <w:right w:val="none" w:sz="0" w:space="0" w:color="auto"/>
      </w:divBdr>
    </w:div>
    <w:div w:id="74791880">
      <w:bodyDiv w:val="1"/>
      <w:marLeft w:val="0"/>
      <w:marRight w:val="0"/>
      <w:marTop w:val="0"/>
      <w:marBottom w:val="0"/>
      <w:divBdr>
        <w:top w:val="none" w:sz="0" w:space="0" w:color="auto"/>
        <w:left w:val="none" w:sz="0" w:space="0" w:color="auto"/>
        <w:bottom w:val="none" w:sz="0" w:space="0" w:color="auto"/>
        <w:right w:val="none" w:sz="0" w:space="0" w:color="auto"/>
      </w:divBdr>
    </w:div>
    <w:div w:id="79447315">
      <w:bodyDiv w:val="1"/>
      <w:marLeft w:val="0"/>
      <w:marRight w:val="0"/>
      <w:marTop w:val="0"/>
      <w:marBottom w:val="0"/>
      <w:divBdr>
        <w:top w:val="none" w:sz="0" w:space="0" w:color="auto"/>
        <w:left w:val="none" w:sz="0" w:space="0" w:color="auto"/>
        <w:bottom w:val="none" w:sz="0" w:space="0" w:color="auto"/>
        <w:right w:val="none" w:sz="0" w:space="0" w:color="auto"/>
      </w:divBdr>
    </w:div>
    <w:div w:id="102961905">
      <w:bodyDiv w:val="1"/>
      <w:marLeft w:val="0"/>
      <w:marRight w:val="0"/>
      <w:marTop w:val="0"/>
      <w:marBottom w:val="0"/>
      <w:divBdr>
        <w:top w:val="none" w:sz="0" w:space="0" w:color="auto"/>
        <w:left w:val="none" w:sz="0" w:space="0" w:color="auto"/>
        <w:bottom w:val="none" w:sz="0" w:space="0" w:color="auto"/>
        <w:right w:val="none" w:sz="0" w:space="0" w:color="auto"/>
      </w:divBdr>
    </w:div>
    <w:div w:id="111676532">
      <w:bodyDiv w:val="1"/>
      <w:marLeft w:val="0"/>
      <w:marRight w:val="0"/>
      <w:marTop w:val="0"/>
      <w:marBottom w:val="0"/>
      <w:divBdr>
        <w:top w:val="none" w:sz="0" w:space="0" w:color="auto"/>
        <w:left w:val="none" w:sz="0" w:space="0" w:color="auto"/>
        <w:bottom w:val="none" w:sz="0" w:space="0" w:color="auto"/>
        <w:right w:val="none" w:sz="0" w:space="0" w:color="auto"/>
      </w:divBdr>
    </w:div>
    <w:div w:id="117528965">
      <w:bodyDiv w:val="1"/>
      <w:marLeft w:val="0"/>
      <w:marRight w:val="0"/>
      <w:marTop w:val="0"/>
      <w:marBottom w:val="0"/>
      <w:divBdr>
        <w:top w:val="none" w:sz="0" w:space="0" w:color="auto"/>
        <w:left w:val="none" w:sz="0" w:space="0" w:color="auto"/>
        <w:bottom w:val="none" w:sz="0" w:space="0" w:color="auto"/>
        <w:right w:val="none" w:sz="0" w:space="0" w:color="auto"/>
      </w:divBdr>
    </w:div>
    <w:div w:id="127093245">
      <w:bodyDiv w:val="1"/>
      <w:marLeft w:val="0"/>
      <w:marRight w:val="0"/>
      <w:marTop w:val="0"/>
      <w:marBottom w:val="0"/>
      <w:divBdr>
        <w:top w:val="none" w:sz="0" w:space="0" w:color="auto"/>
        <w:left w:val="none" w:sz="0" w:space="0" w:color="auto"/>
        <w:bottom w:val="none" w:sz="0" w:space="0" w:color="auto"/>
        <w:right w:val="none" w:sz="0" w:space="0" w:color="auto"/>
      </w:divBdr>
    </w:div>
    <w:div w:id="155344141">
      <w:bodyDiv w:val="1"/>
      <w:marLeft w:val="0"/>
      <w:marRight w:val="0"/>
      <w:marTop w:val="0"/>
      <w:marBottom w:val="0"/>
      <w:divBdr>
        <w:top w:val="none" w:sz="0" w:space="0" w:color="auto"/>
        <w:left w:val="none" w:sz="0" w:space="0" w:color="auto"/>
        <w:bottom w:val="none" w:sz="0" w:space="0" w:color="auto"/>
        <w:right w:val="none" w:sz="0" w:space="0" w:color="auto"/>
      </w:divBdr>
    </w:div>
    <w:div w:id="158693737">
      <w:bodyDiv w:val="1"/>
      <w:marLeft w:val="0"/>
      <w:marRight w:val="0"/>
      <w:marTop w:val="0"/>
      <w:marBottom w:val="0"/>
      <w:divBdr>
        <w:top w:val="none" w:sz="0" w:space="0" w:color="auto"/>
        <w:left w:val="none" w:sz="0" w:space="0" w:color="auto"/>
        <w:bottom w:val="none" w:sz="0" w:space="0" w:color="auto"/>
        <w:right w:val="none" w:sz="0" w:space="0" w:color="auto"/>
      </w:divBdr>
    </w:div>
    <w:div w:id="160391268">
      <w:bodyDiv w:val="1"/>
      <w:marLeft w:val="0"/>
      <w:marRight w:val="0"/>
      <w:marTop w:val="0"/>
      <w:marBottom w:val="0"/>
      <w:divBdr>
        <w:top w:val="none" w:sz="0" w:space="0" w:color="auto"/>
        <w:left w:val="none" w:sz="0" w:space="0" w:color="auto"/>
        <w:bottom w:val="none" w:sz="0" w:space="0" w:color="auto"/>
        <w:right w:val="none" w:sz="0" w:space="0" w:color="auto"/>
      </w:divBdr>
    </w:div>
    <w:div w:id="167599293">
      <w:bodyDiv w:val="1"/>
      <w:marLeft w:val="0"/>
      <w:marRight w:val="0"/>
      <w:marTop w:val="0"/>
      <w:marBottom w:val="0"/>
      <w:divBdr>
        <w:top w:val="none" w:sz="0" w:space="0" w:color="auto"/>
        <w:left w:val="none" w:sz="0" w:space="0" w:color="auto"/>
        <w:bottom w:val="none" w:sz="0" w:space="0" w:color="auto"/>
        <w:right w:val="none" w:sz="0" w:space="0" w:color="auto"/>
      </w:divBdr>
      <w:divsChild>
        <w:div w:id="1586185571">
          <w:marLeft w:val="0"/>
          <w:marRight w:val="0"/>
          <w:marTop w:val="0"/>
          <w:marBottom w:val="0"/>
          <w:divBdr>
            <w:top w:val="none" w:sz="0" w:space="0" w:color="auto"/>
            <w:left w:val="none" w:sz="0" w:space="0" w:color="auto"/>
            <w:bottom w:val="none" w:sz="0" w:space="0" w:color="auto"/>
            <w:right w:val="none" w:sz="0" w:space="0" w:color="auto"/>
          </w:divBdr>
          <w:divsChild>
            <w:div w:id="106970889">
              <w:marLeft w:val="0"/>
              <w:marRight w:val="0"/>
              <w:marTop w:val="0"/>
              <w:marBottom w:val="0"/>
              <w:divBdr>
                <w:top w:val="none" w:sz="0" w:space="0" w:color="auto"/>
                <w:left w:val="none" w:sz="0" w:space="0" w:color="auto"/>
                <w:bottom w:val="none" w:sz="0" w:space="0" w:color="auto"/>
                <w:right w:val="none" w:sz="0" w:space="0" w:color="auto"/>
              </w:divBdr>
            </w:div>
            <w:div w:id="256865573">
              <w:marLeft w:val="0"/>
              <w:marRight w:val="0"/>
              <w:marTop w:val="0"/>
              <w:marBottom w:val="0"/>
              <w:divBdr>
                <w:top w:val="none" w:sz="0" w:space="0" w:color="auto"/>
                <w:left w:val="none" w:sz="0" w:space="0" w:color="auto"/>
                <w:bottom w:val="none" w:sz="0" w:space="0" w:color="auto"/>
                <w:right w:val="none" w:sz="0" w:space="0" w:color="auto"/>
              </w:divBdr>
              <w:divsChild>
                <w:div w:id="20716409">
                  <w:marLeft w:val="0"/>
                  <w:marRight w:val="0"/>
                  <w:marTop w:val="0"/>
                  <w:marBottom w:val="0"/>
                  <w:divBdr>
                    <w:top w:val="none" w:sz="0" w:space="0" w:color="auto"/>
                    <w:left w:val="none" w:sz="0" w:space="0" w:color="auto"/>
                    <w:bottom w:val="none" w:sz="0" w:space="0" w:color="auto"/>
                    <w:right w:val="none" w:sz="0" w:space="0" w:color="auto"/>
                  </w:divBdr>
                </w:div>
                <w:div w:id="1294673337">
                  <w:marLeft w:val="0"/>
                  <w:marRight w:val="0"/>
                  <w:marTop w:val="0"/>
                  <w:marBottom w:val="0"/>
                  <w:divBdr>
                    <w:top w:val="none" w:sz="0" w:space="0" w:color="auto"/>
                    <w:left w:val="none" w:sz="0" w:space="0" w:color="auto"/>
                    <w:bottom w:val="none" w:sz="0" w:space="0" w:color="auto"/>
                    <w:right w:val="none" w:sz="0" w:space="0" w:color="auto"/>
                  </w:divBdr>
                </w:div>
                <w:div w:id="1332836883">
                  <w:marLeft w:val="0"/>
                  <w:marRight w:val="0"/>
                  <w:marTop w:val="0"/>
                  <w:marBottom w:val="0"/>
                  <w:divBdr>
                    <w:top w:val="none" w:sz="0" w:space="0" w:color="auto"/>
                    <w:left w:val="none" w:sz="0" w:space="0" w:color="auto"/>
                    <w:bottom w:val="none" w:sz="0" w:space="0" w:color="auto"/>
                    <w:right w:val="none" w:sz="0" w:space="0" w:color="auto"/>
                  </w:divBdr>
                </w:div>
                <w:div w:id="1629311411">
                  <w:marLeft w:val="0"/>
                  <w:marRight w:val="0"/>
                  <w:marTop w:val="0"/>
                  <w:marBottom w:val="0"/>
                  <w:divBdr>
                    <w:top w:val="none" w:sz="0" w:space="0" w:color="auto"/>
                    <w:left w:val="none" w:sz="0" w:space="0" w:color="auto"/>
                    <w:bottom w:val="none" w:sz="0" w:space="0" w:color="auto"/>
                    <w:right w:val="none" w:sz="0" w:space="0" w:color="auto"/>
                  </w:divBdr>
                </w:div>
                <w:div w:id="1670449627">
                  <w:marLeft w:val="0"/>
                  <w:marRight w:val="0"/>
                  <w:marTop w:val="0"/>
                  <w:marBottom w:val="0"/>
                  <w:divBdr>
                    <w:top w:val="none" w:sz="0" w:space="0" w:color="auto"/>
                    <w:left w:val="none" w:sz="0" w:space="0" w:color="auto"/>
                    <w:bottom w:val="none" w:sz="0" w:space="0" w:color="auto"/>
                    <w:right w:val="none" w:sz="0" w:space="0" w:color="auto"/>
                  </w:divBdr>
                </w:div>
                <w:div w:id="1674992563">
                  <w:marLeft w:val="0"/>
                  <w:marRight w:val="0"/>
                  <w:marTop w:val="0"/>
                  <w:marBottom w:val="0"/>
                  <w:divBdr>
                    <w:top w:val="none" w:sz="0" w:space="0" w:color="auto"/>
                    <w:left w:val="none" w:sz="0" w:space="0" w:color="auto"/>
                    <w:bottom w:val="none" w:sz="0" w:space="0" w:color="auto"/>
                    <w:right w:val="none" w:sz="0" w:space="0" w:color="auto"/>
                  </w:divBdr>
                </w:div>
              </w:divsChild>
            </w:div>
            <w:div w:id="414671784">
              <w:marLeft w:val="0"/>
              <w:marRight w:val="0"/>
              <w:marTop w:val="0"/>
              <w:marBottom w:val="0"/>
              <w:divBdr>
                <w:top w:val="none" w:sz="0" w:space="0" w:color="auto"/>
                <w:left w:val="none" w:sz="0" w:space="0" w:color="auto"/>
                <w:bottom w:val="none" w:sz="0" w:space="0" w:color="auto"/>
                <w:right w:val="none" w:sz="0" w:space="0" w:color="auto"/>
              </w:divBdr>
            </w:div>
            <w:div w:id="415202617">
              <w:marLeft w:val="0"/>
              <w:marRight w:val="0"/>
              <w:marTop w:val="0"/>
              <w:marBottom w:val="0"/>
              <w:divBdr>
                <w:top w:val="none" w:sz="0" w:space="0" w:color="auto"/>
                <w:left w:val="none" w:sz="0" w:space="0" w:color="auto"/>
                <w:bottom w:val="none" w:sz="0" w:space="0" w:color="auto"/>
                <w:right w:val="none" w:sz="0" w:space="0" w:color="auto"/>
              </w:divBdr>
            </w:div>
            <w:div w:id="957489437">
              <w:marLeft w:val="0"/>
              <w:marRight w:val="0"/>
              <w:marTop w:val="0"/>
              <w:marBottom w:val="0"/>
              <w:divBdr>
                <w:top w:val="none" w:sz="0" w:space="0" w:color="auto"/>
                <w:left w:val="none" w:sz="0" w:space="0" w:color="auto"/>
                <w:bottom w:val="none" w:sz="0" w:space="0" w:color="auto"/>
                <w:right w:val="none" w:sz="0" w:space="0" w:color="auto"/>
              </w:divBdr>
            </w:div>
            <w:div w:id="1097168681">
              <w:marLeft w:val="0"/>
              <w:marRight w:val="0"/>
              <w:marTop w:val="0"/>
              <w:marBottom w:val="0"/>
              <w:divBdr>
                <w:top w:val="none" w:sz="0" w:space="0" w:color="auto"/>
                <w:left w:val="none" w:sz="0" w:space="0" w:color="auto"/>
                <w:bottom w:val="none" w:sz="0" w:space="0" w:color="auto"/>
                <w:right w:val="none" w:sz="0" w:space="0" w:color="auto"/>
              </w:divBdr>
              <w:divsChild>
                <w:div w:id="2035618198">
                  <w:marLeft w:val="0"/>
                  <w:marRight w:val="0"/>
                  <w:marTop w:val="0"/>
                  <w:marBottom w:val="0"/>
                  <w:divBdr>
                    <w:top w:val="none" w:sz="0" w:space="0" w:color="auto"/>
                    <w:left w:val="none" w:sz="0" w:space="0" w:color="auto"/>
                    <w:bottom w:val="none" w:sz="0" w:space="0" w:color="auto"/>
                    <w:right w:val="none" w:sz="0" w:space="0" w:color="auto"/>
                  </w:divBdr>
                  <w:divsChild>
                    <w:div w:id="68043771">
                      <w:marLeft w:val="0"/>
                      <w:marRight w:val="0"/>
                      <w:marTop w:val="0"/>
                      <w:marBottom w:val="0"/>
                      <w:divBdr>
                        <w:top w:val="none" w:sz="0" w:space="0" w:color="auto"/>
                        <w:left w:val="none" w:sz="0" w:space="0" w:color="auto"/>
                        <w:bottom w:val="none" w:sz="0" w:space="0" w:color="auto"/>
                        <w:right w:val="none" w:sz="0" w:space="0" w:color="auto"/>
                      </w:divBdr>
                      <w:divsChild>
                        <w:div w:id="163710946">
                          <w:marLeft w:val="0"/>
                          <w:marRight w:val="0"/>
                          <w:marTop w:val="0"/>
                          <w:marBottom w:val="0"/>
                          <w:divBdr>
                            <w:top w:val="none" w:sz="0" w:space="0" w:color="auto"/>
                            <w:left w:val="none" w:sz="0" w:space="0" w:color="auto"/>
                            <w:bottom w:val="none" w:sz="0" w:space="0" w:color="auto"/>
                            <w:right w:val="none" w:sz="0" w:space="0" w:color="auto"/>
                          </w:divBdr>
                        </w:div>
                      </w:divsChild>
                    </w:div>
                    <w:div w:id="76364245">
                      <w:marLeft w:val="0"/>
                      <w:marRight w:val="0"/>
                      <w:marTop w:val="0"/>
                      <w:marBottom w:val="0"/>
                      <w:divBdr>
                        <w:top w:val="none" w:sz="0" w:space="0" w:color="auto"/>
                        <w:left w:val="none" w:sz="0" w:space="0" w:color="auto"/>
                        <w:bottom w:val="none" w:sz="0" w:space="0" w:color="auto"/>
                        <w:right w:val="none" w:sz="0" w:space="0" w:color="auto"/>
                      </w:divBdr>
                      <w:divsChild>
                        <w:div w:id="2140225107">
                          <w:marLeft w:val="0"/>
                          <w:marRight w:val="0"/>
                          <w:marTop w:val="0"/>
                          <w:marBottom w:val="0"/>
                          <w:divBdr>
                            <w:top w:val="none" w:sz="0" w:space="0" w:color="auto"/>
                            <w:left w:val="none" w:sz="0" w:space="0" w:color="auto"/>
                            <w:bottom w:val="none" w:sz="0" w:space="0" w:color="auto"/>
                            <w:right w:val="none" w:sz="0" w:space="0" w:color="auto"/>
                          </w:divBdr>
                        </w:div>
                      </w:divsChild>
                    </w:div>
                    <w:div w:id="116680814">
                      <w:marLeft w:val="0"/>
                      <w:marRight w:val="0"/>
                      <w:marTop w:val="0"/>
                      <w:marBottom w:val="0"/>
                      <w:divBdr>
                        <w:top w:val="none" w:sz="0" w:space="0" w:color="auto"/>
                        <w:left w:val="none" w:sz="0" w:space="0" w:color="auto"/>
                        <w:bottom w:val="none" w:sz="0" w:space="0" w:color="auto"/>
                        <w:right w:val="none" w:sz="0" w:space="0" w:color="auto"/>
                      </w:divBdr>
                      <w:divsChild>
                        <w:div w:id="98918650">
                          <w:marLeft w:val="0"/>
                          <w:marRight w:val="0"/>
                          <w:marTop w:val="0"/>
                          <w:marBottom w:val="0"/>
                          <w:divBdr>
                            <w:top w:val="none" w:sz="0" w:space="0" w:color="auto"/>
                            <w:left w:val="none" w:sz="0" w:space="0" w:color="auto"/>
                            <w:bottom w:val="none" w:sz="0" w:space="0" w:color="auto"/>
                            <w:right w:val="none" w:sz="0" w:space="0" w:color="auto"/>
                          </w:divBdr>
                        </w:div>
                      </w:divsChild>
                    </w:div>
                    <w:div w:id="145053594">
                      <w:marLeft w:val="0"/>
                      <w:marRight w:val="0"/>
                      <w:marTop w:val="0"/>
                      <w:marBottom w:val="0"/>
                      <w:divBdr>
                        <w:top w:val="none" w:sz="0" w:space="0" w:color="auto"/>
                        <w:left w:val="none" w:sz="0" w:space="0" w:color="auto"/>
                        <w:bottom w:val="none" w:sz="0" w:space="0" w:color="auto"/>
                        <w:right w:val="none" w:sz="0" w:space="0" w:color="auto"/>
                      </w:divBdr>
                      <w:divsChild>
                        <w:div w:id="2131126343">
                          <w:marLeft w:val="0"/>
                          <w:marRight w:val="0"/>
                          <w:marTop w:val="0"/>
                          <w:marBottom w:val="0"/>
                          <w:divBdr>
                            <w:top w:val="none" w:sz="0" w:space="0" w:color="auto"/>
                            <w:left w:val="none" w:sz="0" w:space="0" w:color="auto"/>
                            <w:bottom w:val="none" w:sz="0" w:space="0" w:color="auto"/>
                            <w:right w:val="none" w:sz="0" w:space="0" w:color="auto"/>
                          </w:divBdr>
                        </w:div>
                      </w:divsChild>
                    </w:div>
                    <w:div w:id="245111199">
                      <w:marLeft w:val="0"/>
                      <w:marRight w:val="0"/>
                      <w:marTop w:val="0"/>
                      <w:marBottom w:val="0"/>
                      <w:divBdr>
                        <w:top w:val="none" w:sz="0" w:space="0" w:color="auto"/>
                        <w:left w:val="none" w:sz="0" w:space="0" w:color="auto"/>
                        <w:bottom w:val="none" w:sz="0" w:space="0" w:color="auto"/>
                        <w:right w:val="none" w:sz="0" w:space="0" w:color="auto"/>
                      </w:divBdr>
                      <w:divsChild>
                        <w:div w:id="986858057">
                          <w:marLeft w:val="0"/>
                          <w:marRight w:val="0"/>
                          <w:marTop w:val="0"/>
                          <w:marBottom w:val="0"/>
                          <w:divBdr>
                            <w:top w:val="none" w:sz="0" w:space="0" w:color="auto"/>
                            <w:left w:val="none" w:sz="0" w:space="0" w:color="auto"/>
                            <w:bottom w:val="none" w:sz="0" w:space="0" w:color="auto"/>
                            <w:right w:val="none" w:sz="0" w:space="0" w:color="auto"/>
                          </w:divBdr>
                        </w:div>
                      </w:divsChild>
                    </w:div>
                    <w:div w:id="251595368">
                      <w:marLeft w:val="0"/>
                      <w:marRight w:val="0"/>
                      <w:marTop w:val="0"/>
                      <w:marBottom w:val="0"/>
                      <w:divBdr>
                        <w:top w:val="none" w:sz="0" w:space="0" w:color="auto"/>
                        <w:left w:val="none" w:sz="0" w:space="0" w:color="auto"/>
                        <w:bottom w:val="none" w:sz="0" w:space="0" w:color="auto"/>
                        <w:right w:val="none" w:sz="0" w:space="0" w:color="auto"/>
                      </w:divBdr>
                      <w:divsChild>
                        <w:div w:id="1776947675">
                          <w:marLeft w:val="0"/>
                          <w:marRight w:val="0"/>
                          <w:marTop w:val="0"/>
                          <w:marBottom w:val="0"/>
                          <w:divBdr>
                            <w:top w:val="none" w:sz="0" w:space="0" w:color="auto"/>
                            <w:left w:val="none" w:sz="0" w:space="0" w:color="auto"/>
                            <w:bottom w:val="none" w:sz="0" w:space="0" w:color="auto"/>
                            <w:right w:val="none" w:sz="0" w:space="0" w:color="auto"/>
                          </w:divBdr>
                        </w:div>
                      </w:divsChild>
                    </w:div>
                    <w:div w:id="305667108">
                      <w:marLeft w:val="0"/>
                      <w:marRight w:val="0"/>
                      <w:marTop w:val="0"/>
                      <w:marBottom w:val="0"/>
                      <w:divBdr>
                        <w:top w:val="none" w:sz="0" w:space="0" w:color="auto"/>
                        <w:left w:val="none" w:sz="0" w:space="0" w:color="auto"/>
                        <w:bottom w:val="none" w:sz="0" w:space="0" w:color="auto"/>
                        <w:right w:val="none" w:sz="0" w:space="0" w:color="auto"/>
                      </w:divBdr>
                      <w:divsChild>
                        <w:div w:id="602692024">
                          <w:marLeft w:val="0"/>
                          <w:marRight w:val="0"/>
                          <w:marTop w:val="0"/>
                          <w:marBottom w:val="0"/>
                          <w:divBdr>
                            <w:top w:val="none" w:sz="0" w:space="0" w:color="auto"/>
                            <w:left w:val="none" w:sz="0" w:space="0" w:color="auto"/>
                            <w:bottom w:val="none" w:sz="0" w:space="0" w:color="auto"/>
                            <w:right w:val="none" w:sz="0" w:space="0" w:color="auto"/>
                          </w:divBdr>
                        </w:div>
                      </w:divsChild>
                    </w:div>
                    <w:div w:id="403139223">
                      <w:marLeft w:val="0"/>
                      <w:marRight w:val="0"/>
                      <w:marTop w:val="0"/>
                      <w:marBottom w:val="0"/>
                      <w:divBdr>
                        <w:top w:val="none" w:sz="0" w:space="0" w:color="auto"/>
                        <w:left w:val="none" w:sz="0" w:space="0" w:color="auto"/>
                        <w:bottom w:val="none" w:sz="0" w:space="0" w:color="auto"/>
                        <w:right w:val="none" w:sz="0" w:space="0" w:color="auto"/>
                      </w:divBdr>
                      <w:divsChild>
                        <w:div w:id="154758691">
                          <w:marLeft w:val="0"/>
                          <w:marRight w:val="0"/>
                          <w:marTop w:val="0"/>
                          <w:marBottom w:val="0"/>
                          <w:divBdr>
                            <w:top w:val="none" w:sz="0" w:space="0" w:color="auto"/>
                            <w:left w:val="none" w:sz="0" w:space="0" w:color="auto"/>
                            <w:bottom w:val="none" w:sz="0" w:space="0" w:color="auto"/>
                            <w:right w:val="none" w:sz="0" w:space="0" w:color="auto"/>
                          </w:divBdr>
                        </w:div>
                        <w:div w:id="1196116316">
                          <w:marLeft w:val="0"/>
                          <w:marRight w:val="0"/>
                          <w:marTop w:val="0"/>
                          <w:marBottom w:val="0"/>
                          <w:divBdr>
                            <w:top w:val="none" w:sz="0" w:space="0" w:color="auto"/>
                            <w:left w:val="none" w:sz="0" w:space="0" w:color="auto"/>
                            <w:bottom w:val="none" w:sz="0" w:space="0" w:color="auto"/>
                            <w:right w:val="none" w:sz="0" w:space="0" w:color="auto"/>
                          </w:divBdr>
                        </w:div>
                        <w:div w:id="1497068942">
                          <w:marLeft w:val="0"/>
                          <w:marRight w:val="0"/>
                          <w:marTop w:val="0"/>
                          <w:marBottom w:val="0"/>
                          <w:divBdr>
                            <w:top w:val="none" w:sz="0" w:space="0" w:color="auto"/>
                            <w:left w:val="none" w:sz="0" w:space="0" w:color="auto"/>
                            <w:bottom w:val="none" w:sz="0" w:space="0" w:color="auto"/>
                            <w:right w:val="none" w:sz="0" w:space="0" w:color="auto"/>
                          </w:divBdr>
                        </w:div>
                        <w:div w:id="1615137002">
                          <w:marLeft w:val="0"/>
                          <w:marRight w:val="0"/>
                          <w:marTop w:val="0"/>
                          <w:marBottom w:val="0"/>
                          <w:divBdr>
                            <w:top w:val="none" w:sz="0" w:space="0" w:color="auto"/>
                            <w:left w:val="none" w:sz="0" w:space="0" w:color="auto"/>
                            <w:bottom w:val="none" w:sz="0" w:space="0" w:color="auto"/>
                            <w:right w:val="none" w:sz="0" w:space="0" w:color="auto"/>
                          </w:divBdr>
                        </w:div>
                        <w:div w:id="1722441655">
                          <w:marLeft w:val="0"/>
                          <w:marRight w:val="0"/>
                          <w:marTop w:val="0"/>
                          <w:marBottom w:val="0"/>
                          <w:divBdr>
                            <w:top w:val="none" w:sz="0" w:space="0" w:color="auto"/>
                            <w:left w:val="none" w:sz="0" w:space="0" w:color="auto"/>
                            <w:bottom w:val="none" w:sz="0" w:space="0" w:color="auto"/>
                            <w:right w:val="none" w:sz="0" w:space="0" w:color="auto"/>
                          </w:divBdr>
                        </w:div>
                      </w:divsChild>
                    </w:div>
                    <w:div w:id="533425073">
                      <w:marLeft w:val="0"/>
                      <w:marRight w:val="0"/>
                      <w:marTop w:val="0"/>
                      <w:marBottom w:val="0"/>
                      <w:divBdr>
                        <w:top w:val="none" w:sz="0" w:space="0" w:color="auto"/>
                        <w:left w:val="none" w:sz="0" w:space="0" w:color="auto"/>
                        <w:bottom w:val="none" w:sz="0" w:space="0" w:color="auto"/>
                        <w:right w:val="none" w:sz="0" w:space="0" w:color="auto"/>
                      </w:divBdr>
                      <w:divsChild>
                        <w:div w:id="794833938">
                          <w:marLeft w:val="0"/>
                          <w:marRight w:val="0"/>
                          <w:marTop w:val="0"/>
                          <w:marBottom w:val="0"/>
                          <w:divBdr>
                            <w:top w:val="none" w:sz="0" w:space="0" w:color="auto"/>
                            <w:left w:val="none" w:sz="0" w:space="0" w:color="auto"/>
                            <w:bottom w:val="none" w:sz="0" w:space="0" w:color="auto"/>
                            <w:right w:val="none" w:sz="0" w:space="0" w:color="auto"/>
                          </w:divBdr>
                        </w:div>
                        <w:div w:id="1122967235">
                          <w:marLeft w:val="0"/>
                          <w:marRight w:val="0"/>
                          <w:marTop w:val="0"/>
                          <w:marBottom w:val="0"/>
                          <w:divBdr>
                            <w:top w:val="none" w:sz="0" w:space="0" w:color="auto"/>
                            <w:left w:val="none" w:sz="0" w:space="0" w:color="auto"/>
                            <w:bottom w:val="none" w:sz="0" w:space="0" w:color="auto"/>
                            <w:right w:val="none" w:sz="0" w:space="0" w:color="auto"/>
                          </w:divBdr>
                        </w:div>
                      </w:divsChild>
                    </w:div>
                    <w:div w:id="554782141">
                      <w:marLeft w:val="0"/>
                      <w:marRight w:val="0"/>
                      <w:marTop w:val="0"/>
                      <w:marBottom w:val="0"/>
                      <w:divBdr>
                        <w:top w:val="none" w:sz="0" w:space="0" w:color="auto"/>
                        <w:left w:val="none" w:sz="0" w:space="0" w:color="auto"/>
                        <w:bottom w:val="none" w:sz="0" w:space="0" w:color="auto"/>
                        <w:right w:val="none" w:sz="0" w:space="0" w:color="auto"/>
                      </w:divBdr>
                      <w:divsChild>
                        <w:div w:id="823202464">
                          <w:marLeft w:val="0"/>
                          <w:marRight w:val="0"/>
                          <w:marTop w:val="0"/>
                          <w:marBottom w:val="0"/>
                          <w:divBdr>
                            <w:top w:val="none" w:sz="0" w:space="0" w:color="auto"/>
                            <w:left w:val="none" w:sz="0" w:space="0" w:color="auto"/>
                            <w:bottom w:val="none" w:sz="0" w:space="0" w:color="auto"/>
                            <w:right w:val="none" w:sz="0" w:space="0" w:color="auto"/>
                          </w:divBdr>
                        </w:div>
                      </w:divsChild>
                    </w:div>
                    <w:div w:id="684284140">
                      <w:marLeft w:val="0"/>
                      <w:marRight w:val="0"/>
                      <w:marTop w:val="0"/>
                      <w:marBottom w:val="0"/>
                      <w:divBdr>
                        <w:top w:val="none" w:sz="0" w:space="0" w:color="auto"/>
                        <w:left w:val="none" w:sz="0" w:space="0" w:color="auto"/>
                        <w:bottom w:val="none" w:sz="0" w:space="0" w:color="auto"/>
                        <w:right w:val="none" w:sz="0" w:space="0" w:color="auto"/>
                      </w:divBdr>
                      <w:divsChild>
                        <w:div w:id="1667826122">
                          <w:marLeft w:val="0"/>
                          <w:marRight w:val="0"/>
                          <w:marTop w:val="0"/>
                          <w:marBottom w:val="0"/>
                          <w:divBdr>
                            <w:top w:val="none" w:sz="0" w:space="0" w:color="auto"/>
                            <w:left w:val="none" w:sz="0" w:space="0" w:color="auto"/>
                            <w:bottom w:val="none" w:sz="0" w:space="0" w:color="auto"/>
                            <w:right w:val="none" w:sz="0" w:space="0" w:color="auto"/>
                          </w:divBdr>
                        </w:div>
                      </w:divsChild>
                    </w:div>
                    <w:div w:id="771242888">
                      <w:marLeft w:val="0"/>
                      <w:marRight w:val="0"/>
                      <w:marTop w:val="0"/>
                      <w:marBottom w:val="0"/>
                      <w:divBdr>
                        <w:top w:val="none" w:sz="0" w:space="0" w:color="auto"/>
                        <w:left w:val="none" w:sz="0" w:space="0" w:color="auto"/>
                        <w:bottom w:val="none" w:sz="0" w:space="0" w:color="auto"/>
                        <w:right w:val="none" w:sz="0" w:space="0" w:color="auto"/>
                      </w:divBdr>
                      <w:divsChild>
                        <w:div w:id="1821649347">
                          <w:marLeft w:val="0"/>
                          <w:marRight w:val="0"/>
                          <w:marTop w:val="0"/>
                          <w:marBottom w:val="0"/>
                          <w:divBdr>
                            <w:top w:val="none" w:sz="0" w:space="0" w:color="auto"/>
                            <w:left w:val="none" w:sz="0" w:space="0" w:color="auto"/>
                            <w:bottom w:val="none" w:sz="0" w:space="0" w:color="auto"/>
                            <w:right w:val="none" w:sz="0" w:space="0" w:color="auto"/>
                          </w:divBdr>
                        </w:div>
                      </w:divsChild>
                    </w:div>
                    <w:div w:id="805859037">
                      <w:marLeft w:val="0"/>
                      <w:marRight w:val="0"/>
                      <w:marTop w:val="0"/>
                      <w:marBottom w:val="0"/>
                      <w:divBdr>
                        <w:top w:val="none" w:sz="0" w:space="0" w:color="auto"/>
                        <w:left w:val="none" w:sz="0" w:space="0" w:color="auto"/>
                        <w:bottom w:val="none" w:sz="0" w:space="0" w:color="auto"/>
                        <w:right w:val="none" w:sz="0" w:space="0" w:color="auto"/>
                      </w:divBdr>
                      <w:divsChild>
                        <w:div w:id="701631760">
                          <w:marLeft w:val="0"/>
                          <w:marRight w:val="0"/>
                          <w:marTop w:val="0"/>
                          <w:marBottom w:val="0"/>
                          <w:divBdr>
                            <w:top w:val="none" w:sz="0" w:space="0" w:color="auto"/>
                            <w:left w:val="none" w:sz="0" w:space="0" w:color="auto"/>
                            <w:bottom w:val="none" w:sz="0" w:space="0" w:color="auto"/>
                            <w:right w:val="none" w:sz="0" w:space="0" w:color="auto"/>
                          </w:divBdr>
                        </w:div>
                      </w:divsChild>
                    </w:div>
                    <w:div w:id="878661442">
                      <w:marLeft w:val="0"/>
                      <w:marRight w:val="0"/>
                      <w:marTop w:val="0"/>
                      <w:marBottom w:val="0"/>
                      <w:divBdr>
                        <w:top w:val="none" w:sz="0" w:space="0" w:color="auto"/>
                        <w:left w:val="none" w:sz="0" w:space="0" w:color="auto"/>
                        <w:bottom w:val="none" w:sz="0" w:space="0" w:color="auto"/>
                        <w:right w:val="none" w:sz="0" w:space="0" w:color="auto"/>
                      </w:divBdr>
                      <w:divsChild>
                        <w:div w:id="390428695">
                          <w:marLeft w:val="0"/>
                          <w:marRight w:val="0"/>
                          <w:marTop w:val="0"/>
                          <w:marBottom w:val="0"/>
                          <w:divBdr>
                            <w:top w:val="none" w:sz="0" w:space="0" w:color="auto"/>
                            <w:left w:val="none" w:sz="0" w:space="0" w:color="auto"/>
                            <w:bottom w:val="none" w:sz="0" w:space="0" w:color="auto"/>
                            <w:right w:val="none" w:sz="0" w:space="0" w:color="auto"/>
                          </w:divBdr>
                        </w:div>
                        <w:div w:id="1200626931">
                          <w:marLeft w:val="0"/>
                          <w:marRight w:val="0"/>
                          <w:marTop w:val="0"/>
                          <w:marBottom w:val="0"/>
                          <w:divBdr>
                            <w:top w:val="none" w:sz="0" w:space="0" w:color="auto"/>
                            <w:left w:val="none" w:sz="0" w:space="0" w:color="auto"/>
                            <w:bottom w:val="none" w:sz="0" w:space="0" w:color="auto"/>
                            <w:right w:val="none" w:sz="0" w:space="0" w:color="auto"/>
                          </w:divBdr>
                        </w:div>
                      </w:divsChild>
                    </w:div>
                    <w:div w:id="898788701">
                      <w:marLeft w:val="0"/>
                      <w:marRight w:val="0"/>
                      <w:marTop w:val="0"/>
                      <w:marBottom w:val="0"/>
                      <w:divBdr>
                        <w:top w:val="none" w:sz="0" w:space="0" w:color="auto"/>
                        <w:left w:val="none" w:sz="0" w:space="0" w:color="auto"/>
                        <w:bottom w:val="none" w:sz="0" w:space="0" w:color="auto"/>
                        <w:right w:val="none" w:sz="0" w:space="0" w:color="auto"/>
                      </w:divBdr>
                      <w:divsChild>
                        <w:div w:id="73208795">
                          <w:marLeft w:val="0"/>
                          <w:marRight w:val="0"/>
                          <w:marTop w:val="0"/>
                          <w:marBottom w:val="0"/>
                          <w:divBdr>
                            <w:top w:val="none" w:sz="0" w:space="0" w:color="auto"/>
                            <w:left w:val="none" w:sz="0" w:space="0" w:color="auto"/>
                            <w:bottom w:val="none" w:sz="0" w:space="0" w:color="auto"/>
                            <w:right w:val="none" w:sz="0" w:space="0" w:color="auto"/>
                          </w:divBdr>
                        </w:div>
                      </w:divsChild>
                    </w:div>
                    <w:div w:id="959995422">
                      <w:marLeft w:val="0"/>
                      <w:marRight w:val="0"/>
                      <w:marTop w:val="0"/>
                      <w:marBottom w:val="0"/>
                      <w:divBdr>
                        <w:top w:val="none" w:sz="0" w:space="0" w:color="auto"/>
                        <w:left w:val="none" w:sz="0" w:space="0" w:color="auto"/>
                        <w:bottom w:val="none" w:sz="0" w:space="0" w:color="auto"/>
                        <w:right w:val="none" w:sz="0" w:space="0" w:color="auto"/>
                      </w:divBdr>
                      <w:divsChild>
                        <w:div w:id="141508527">
                          <w:marLeft w:val="0"/>
                          <w:marRight w:val="0"/>
                          <w:marTop w:val="0"/>
                          <w:marBottom w:val="0"/>
                          <w:divBdr>
                            <w:top w:val="none" w:sz="0" w:space="0" w:color="auto"/>
                            <w:left w:val="none" w:sz="0" w:space="0" w:color="auto"/>
                            <w:bottom w:val="none" w:sz="0" w:space="0" w:color="auto"/>
                            <w:right w:val="none" w:sz="0" w:space="0" w:color="auto"/>
                          </w:divBdr>
                        </w:div>
                      </w:divsChild>
                    </w:div>
                    <w:div w:id="1020815827">
                      <w:marLeft w:val="0"/>
                      <w:marRight w:val="0"/>
                      <w:marTop w:val="0"/>
                      <w:marBottom w:val="0"/>
                      <w:divBdr>
                        <w:top w:val="none" w:sz="0" w:space="0" w:color="auto"/>
                        <w:left w:val="none" w:sz="0" w:space="0" w:color="auto"/>
                        <w:bottom w:val="none" w:sz="0" w:space="0" w:color="auto"/>
                        <w:right w:val="none" w:sz="0" w:space="0" w:color="auto"/>
                      </w:divBdr>
                      <w:divsChild>
                        <w:div w:id="1595939747">
                          <w:marLeft w:val="0"/>
                          <w:marRight w:val="0"/>
                          <w:marTop w:val="0"/>
                          <w:marBottom w:val="0"/>
                          <w:divBdr>
                            <w:top w:val="none" w:sz="0" w:space="0" w:color="auto"/>
                            <w:left w:val="none" w:sz="0" w:space="0" w:color="auto"/>
                            <w:bottom w:val="none" w:sz="0" w:space="0" w:color="auto"/>
                            <w:right w:val="none" w:sz="0" w:space="0" w:color="auto"/>
                          </w:divBdr>
                        </w:div>
                      </w:divsChild>
                    </w:div>
                    <w:div w:id="1032533637">
                      <w:marLeft w:val="0"/>
                      <w:marRight w:val="0"/>
                      <w:marTop w:val="0"/>
                      <w:marBottom w:val="0"/>
                      <w:divBdr>
                        <w:top w:val="none" w:sz="0" w:space="0" w:color="auto"/>
                        <w:left w:val="none" w:sz="0" w:space="0" w:color="auto"/>
                        <w:bottom w:val="none" w:sz="0" w:space="0" w:color="auto"/>
                        <w:right w:val="none" w:sz="0" w:space="0" w:color="auto"/>
                      </w:divBdr>
                      <w:divsChild>
                        <w:div w:id="958603738">
                          <w:marLeft w:val="0"/>
                          <w:marRight w:val="0"/>
                          <w:marTop w:val="0"/>
                          <w:marBottom w:val="0"/>
                          <w:divBdr>
                            <w:top w:val="none" w:sz="0" w:space="0" w:color="auto"/>
                            <w:left w:val="none" w:sz="0" w:space="0" w:color="auto"/>
                            <w:bottom w:val="none" w:sz="0" w:space="0" w:color="auto"/>
                            <w:right w:val="none" w:sz="0" w:space="0" w:color="auto"/>
                          </w:divBdr>
                        </w:div>
                      </w:divsChild>
                    </w:div>
                    <w:div w:id="1033267794">
                      <w:marLeft w:val="0"/>
                      <w:marRight w:val="0"/>
                      <w:marTop w:val="0"/>
                      <w:marBottom w:val="0"/>
                      <w:divBdr>
                        <w:top w:val="none" w:sz="0" w:space="0" w:color="auto"/>
                        <w:left w:val="none" w:sz="0" w:space="0" w:color="auto"/>
                        <w:bottom w:val="none" w:sz="0" w:space="0" w:color="auto"/>
                        <w:right w:val="none" w:sz="0" w:space="0" w:color="auto"/>
                      </w:divBdr>
                      <w:divsChild>
                        <w:div w:id="18435936">
                          <w:marLeft w:val="0"/>
                          <w:marRight w:val="0"/>
                          <w:marTop w:val="0"/>
                          <w:marBottom w:val="0"/>
                          <w:divBdr>
                            <w:top w:val="none" w:sz="0" w:space="0" w:color="auto"/>
                            <w:left w:val="none" w:sz="0" w:space="0" w:color="auto"/>
                            <w:bottom w:val="none" w:sz="0" w:space="0" w:color="auto"/>
                            <w:right w:val="none" w:sz="0" w:space="0" w:color="auto"/>
                          </w:divBdr>
                        </w:div>
                      </w:divsChild>
                    </w:div>
                    <w:div w:id="1087389053">
                      <w:marLeft w:val="0"/>
                      <w:marRight w:val="0"/>
                      <w:marTop w:val="0"/>
                      <w:marBottom w:val="0"/>
                      <w:divBdr>
                        <w:top w:val="none" w:sz="0" w:space="0" w:color="auto"/>
                        <w:left w:val="none" w:sz="0" w:space="0" w:color="auto"/>
                        <w:bottom w:val="none" w:sz="0" w:space="0" w:color="auto"/>
                        <w:right w:val="none" w:sz="0" w:space="0" w:color="auto"/>
                      </w:divBdr>
                      <w:divsChild>
                        <w:div w:id="1372342122">
                          <w:marLeft w:val="0"/>
                          <w:marRight w:val="0"/>
                          <w:marTop w:val="0"/>
                          <w:marBottom w:val="0"/>
                          <w:divBdr>
                            <w:top w:val="none" w:sz="0" w:space="0" w:color="auto"/>
                            <w:left w:val="none" w:sz="0" w:space="0" w:color="auto"/>
                            <w:bottom w:val="none" w:sz="0" w:space="0" w:color="auto"/>
                            <w:right w:val="none" w:sz="0" w:space="0" w:color="auto"/>
                          </w:divBdr>
                        </w:div>
                      </w:divsChild>
                    </w:div>
                    <w:div w:id="1126511391">
                      <w:marLeft w:val="0"/>
                      <w:marRight w:val="0"/>
                      <w:marTop w:val="0"/>
                      <w:marBottom w:val="0"/>
                      <w:divBdr>
                        <w:top w:val="none" w:sz="0" w:space="0" w:color="auto"/>
                        <w:left w:val="none" w:sz="0" w:space="0" w:color="auto"/>
                        <w:bottom w:val="none" w:sz="0" w:space="0" w:color="auto"/>
                        <w:right w:val="none" w:sz="0" w:space="0" w:color="auto"/>
                      </w:divBdr>
                      <w:divsChild>
                        <w:div w:id="916205556">
                          <w:marLeft w:val="0"/>
                          <w:marRight w:val="0"/>
                          <w:marTop w:val="0"/>
                          <w:marBottom w:val="0"/>
                          <w:divBdr>
                            <w:top w:val="none" w:sz="0" w:space="0" w:color="auto"/>
                            <w:left w:val="none" w:sz="0" w:space="0" w:color="auto"/>
                            <w:bottom w:val="none" w:sz="0" w:space="0" w:color="auto"/>
                            <w:right w:val="none" w:sz="0" w:space="0" w:color="auto"/>
                          </w:divBdr>
                        </w:div>
                      </w:divsChild>
                    </w:div>
                    <w:div w:id="1143503419">
                      <w:marLeft w:val="0"/>
                      <w:marRight w:val="0"/>
                      <w:marTop w:val="0"/>
                      <w:marBottom w:val="0"/>
                      <w:divBdr>
                        <w:top w:val="none" w:sz="0" w:space="0" w:color="auto"/>
                        <w:left w:val="none" w:sz="0" w:space="0" w:color="auto"/>
                        <w:bottom w:val="none" w:sz="0" w:space="0" w:color="auto"/>
                        <w:right w:val="none" w:sz="0" w:space="0" w:color="auto"/>
                      </w:divBdr>
                      <w:divsChild>
                        <w:div w:id="1306280483">
                          <w:marLeft w:val="0"/>
                          <w:marRight w:val="0"/>
                          <w:marTop w:val="0"/>
                          <w:marBottom w:val="0"/>
                          <w:divBdr>
                            <w:top w:val="none" w:sz="0" w:space="0" w:color="auto"/>
                            <w:left w:val="none" w:sz="0" w:space="0" w:color="auto"/>
                            <w:bottom w:val="none" w:sz="0" w:space="0" w:color="auto"/>
                            <w:right w:val="none" w:sz="0" w:space="0" w:color="auto"/>
                          </w:divBdr>
                        </w:div>
                      </w:divsChild>
                    </w:div>
                    <w:div w:id="1184132226">
                      <w:marLeft w:val="0"/>
                      <w:marRight w:val="0"/>
                      <w:marTop w:val="0"/>
                      <w:marBottom w:val="0"/>
                      <w:divBdr>
                        <w:top w:val="none" w:sz="0" w:space="0" w:color="auto"/>
                        <w:left w:val="none" w:sz="0" w:space="0" w:color="auto"/>
                        <w:bottom w:val="none" w:sz="0" w:space="0" w:color="auto"/>
                        <w:right w:val="none" w:sz="0" w:space="0" w:color="auto"/>
                      </w:divBdr>
                      <w:divsChild>
                        <w:div w:id="1390611051">
                          <w:marLeft w:val="0"/>
                          <w:marRight w:val="0"/>
                          <w:marTop w:val="0"/>
                          <w:marBottom w:val="0"/>
                          <w:divBdr>
                            <w:top w:val="none" w:sz="0" w:space="0" w:color="auto"/>
                            <w:left w:val="none" w:sz="0" w:space="0" w:color="auto"/>
                            <w:bottom w:val="none" w:sz="0" w:space="0" w:color="auto"/>
                            <w:right w:val="none" w:sz="0" w:space="0" w:color="auto"/>
                          </w:divBdr>
                        </w:div>
                      </w:divsChild>
                    </w:div>
                    <w:div w:id="1184324191">
                      <w:marLeft w:val="0"/>
                      <w:marRight w:val="0"/>
                      <w:marTop w:val="0"/>
                      <w:marBottom w:val="0"/>
                      <w:divBdr>
                        <w:top w:val="none" w:sz="0" w:space="0" w:color="auto"/>
                        <w:left w:val="none" w:sz="0" w:space="0" w:color="auto"/>
                        <w:bottom w:val="none" w:sz="0" w:space="0" w:color="auto"/>
                        <w:right w:val="none" w:sz="0" w:space="0" w:color="auto"/>
                      </w:divBdr>
                      <w:divsChild>
                        <w:div w:id="2038851967">
                          <w:marLeft w:val="0"/>
                          <w:marRight w:val="0"/>
                          <w:marTop w:val="0"/>
                          <w:marBottom w:val="0"/>
                          <w:divBdr>
                            <w:top w:val="none" w:sz="0" w:space="0" w:color="auto"/>
                            <w:left w:val="none" w:sz="0" w:space="0" w:color="auto"/>
                            <w:bottom w:val="none" w:sz="0" w:space="0" w:color="auto"/>
                            <w:right w:val="none" w:sz="0" w:space="0" w:color="auto"/>
                          </w:divBdr>
                        </w:div>
                      </w:divsChild>
                    </w:div>
                    <w:div w:id="1193886286">
                      <w:marLeft w:val="0"/>
                      <w:marRight w:val="0"/>
                      <w:marTop w:val="0"/>
                      <w:marBottom w:val="0"/>
                      <w:divBdr>
                        <w:top w:val="none" w:sz="0" w:space="0" w:color="auto"/>
                        <w:left w:val="none" w:sz="0" w:space="0" w:color="auto"/>
                        <w:bottom w:val="none" w:sz="0" w:space="0" w:color="auto"/>
                        <w:right w:val="none" w:sz="0" w:space="0" w:color="auto"/>
                      </w:divBdr>
                      <w:divsChild>
                        <w:div w:id="317809409">
                          <w:marLeft w:val="0"/>
                          <w:marRight w:val="0"/>
                          <w:marTop w:val="0"/>
                          <w:marBottom w:val="0"/>
                          <w:divBdr>
                            <w:top w:val="none" w:sz="0" w:space="0" w:color="auto"/>
                            <w:left w:val="none" w:sz="0" w:space="0" w:color="auto"/>
                            <w:bottom w:val="none" w:sz="0" w:space="0" w:color="auto"/>
                            <w:right w:val="none" w:sz="0" w:space="0" w:color="auto"/>
                          </w:divBdr>
                        </w:div>
                      </w:divsChild>
                    </w:div>
                    <w:div w:id="1280914382">
                      <w:marLeft w:val="0"/>
                      <w:marRight w:val="0"/>
                      <w:marTop w:val="0"/>
                      <w:marBottom w:val="0"/>
                      <w:divBdr>
                        <w:top w:val="none" w:sz="0" w:space="0" w:color="auto"/>
                        <w:left w:val="none" w:sz="0" w:space="0" w:color="auto"/>
                        <w:bottom w:val="none" w:sz="0" w:space="0" w:color="auto"/>
                        <w:right w:val="none" w:sz="0" w:space="0" w:color="auto"/>
                      </w:divBdr>
                      <w:divsChild>
                        <w:div w:id="1111239882">
                          <w:marLeft w:val="0"/>
                          <w:marRight w:val="0"/>
                          <w:marTop w:val="0"/>
                          <w:marBottom w:val="0"/>
                          <w:divBdr>
                            <w:top w:val="none" w:sz="0" w:space="0" w:color="auto"/>
                            <w:left w:val="none" w:sz="0" w:space="0" w:color="auto"/>
                            <w:bottom w:val="none" w:sz="0" w:space="0" w:color="auto"/>
                            <w:right w:val="none" w:sz="0" w:space="0" w:color="auto"/>
                          </w:divBdr>
                        </w:div>
                      </w:divsChild>
                    </w:div>
                    <w:div w:id="1290892973">
                      <w:marLeft w:val="0"/>
                      <w:marRight w:val="0"/>
                      <w:marTop w:val="0"/>
                      <w:marBottom w:val="0"/>
                      <w:divBdr>
                        <w:top w:val="none" w:sz="0" w:space="0" w:color="auto"/>
                        <w:left w:val="none" w:sz="0" w:space="0" w:color="auto"/>
                        <w:bottom w:val="none" w:sz="0" w:space="0" w:color="auto"/>
                        <w:right w:val="none" w:sz="0" w:space="0" w:color="auto"/>
                      </w:divBdr>
                      <w:divsChild>
                        <w:div w:id="101153853">
                          <w:marLeft w:val="0"/>
                          <w:marRight w:val="0"/>
                          <w:marTop w:val="0"/>
                          <w:marBottom w:val="0"/>
                          <w:divBdr>
                            <w:top w:val="none" w:sz="0" w:space="0" w:color="auto"/>
                            <w:left w:val="none" w:sz="0" w:space="0" w:color="auto"/>
                            <w:bottom w:val="none" w:sz="0" w:space="0" w:color="auto"/>
                            <w:right w:val="none" w:sz="0" w:space="0" w:color="auto"/>
                          </w:divBdr>
                        </w:div>
                      </w:divsChild>
                    </w:div>
                    <w:div w:id="1326282742">
                      <w:marLeft w:val="0"/>
                      <w:marRight w:val="0"/>
                      <w:marTop w:val="0"/>
                      <w:marBottom w:val="0"/>
                      <w:divBdr>
                        <w:top w:val="none" w:sz="0" w:space="0" w:color="auto"/>
                        <w:left w:val="none" w:sz="0" w:space="0" w:color="auto"/>
                        <w:bottom w:val="none" w:sz="0" w:space="0" w:color="auto"/>
                        <w:right w:val="none" w:sz="0" w:space="0" w:color="auto"/>
                      </w:divBdr>
                      <w:divsChild>
                        <w:div w:id="711467596">
                          <w:marLeft w:val="0"/>
                          <w:marRight w:val="0"/>
                          <w:marTop w:val="0"/>
                          <w:marBottom w:val="0"/>
                          <w:divBdr>
                            <w:top w:val="none" w:sz="0" w:space="0" w:color="auto"/>
                            <w:left w:val="none" w:sz="0" w:space="0" w:color="auto"/>
                            <w:bottom w:val="none" w:sz="0" w:space="0" w:color="auto"/>
                            <w:right w:val="none" w:sz="0" w:space="0" w:color="auto"/>
                          </w:divBdr>
                        </w:div>
                        <w:div w:id="1017194090">
                          <w:marLeft w:val="0"/>
                          <w:marRight w:val="0"/>
                          <w:marTop w:val="0"/>
                          <w:marBottom w:val="0"/>
                          <w:divBdr>
                            <w:top w:val="none" w:sz="0" w:space="0" w:color="auto"/>
                            <w:left w:val="none" w:sz="0" w:space="0" w:color="auto"/>
                            <w:bottom w:val="none" w:sz="0" w:space="0" w:color="auto"/>
                            <w:right w:val="none" w:sz="0" w:space="0" w:color="auto"/>
                          </w:divBdr>
                        </w:div>
                      </w:divsChild>
                    </w:div>
                    <w:div w:id="1387558792">
                      <w:marLeft w:val="0"/>
                      <w:marRight w:val="0"/>
                      <w:marTop w:val="0"/>
                      <w:marBottom w:val="0"/>
                      <w:divBdr>
                        <w:top w:val="none" w:sz="0" w:space="0" w:color="auto"/>
                        <w:left w:val="none" w:sz="0" w:space="0" w:color="auto"/>
                        <w:bottom w:val="none" w:sz="0" w:space="0" w:color="auto"/>
                        <w:right w:val="none" w:sz="0" w:space="0" w:color="auto"/>
                      </w:divBdr>
                      <w:divsChild>
                        <w:div w:id="1876649947">
                          <w:marLeft w:val="0"/>
                          <w:marRight w:val="0"/>
                          <w:marTop w:val="0"/>
                          <w:marBottom w:val="0"/>
                          <w:divBdr>
                            <w:top w:val="none" w:sz="0" w:space="0" w:color="auto"/>
                            <w:left w:val="none" w:sz="0" w:space="0" w:color="auto"/>
                            <w:bottom w:val="none" w:sz="0" w:space="0" w:color="auto"/>
                            <w:right w:val="none" w:sz="0" w:space="0" w:color="auto"/>
                          </w:divBdr>
                        </w:div>
                      </w:divsChild>
                    </w:div>
                    <w:div w:id="1400129925">
                      <w:marLeft w:val="0"/>
                      <w:marRight w:val="0"/>
                      <w:marTop w:val="0"/>
                      <w:marBottom w:val="0"/>
                      <w:divBdr>
                        <w:top w:val="none" w:sz="0" w:space="0" w:color="auto"/>
                        <w:left w:val="none" w:sz="0" w:space="0" w:color="auto"/>
                        <w:bottom w:val="none" w:sz="0" w:space="0" w:color="auto"/>
                        <w:right w:val="none" w:sz="0" w:space="0" w:color="auto"/>
                      </w:divBdr>
                      <w:divsChild>
                        <w:div w:id="1847329277">
                          <w:marLeft w:val="0"/>
                          <w:marRight w:val="0"/>
                          <w:marTop w:val="0"/>
                          <w:marBottom w:val="0"/>
                          <w:divBdr>
                            <w:top w:val="none" w:sz="0" w:space="0" w:color="auto"/>
                            <w:left w:val="none" w:sz="0" w:space="0" w:color="auto"/>
                            <w:bottom w:val="none" w:sz="0" w:space="0" w:color="auto"/>
                            <w:right w:val="none" w:sz="0" w:space="0" w:color="auto"/>
                          </w:divBdr>
                        </w:div>
                      </w:divsChild>
                    </w:div>
                    <w:div w:id="1464077640">
                      <w:marLeft w:val="0"/>
                      <w:marRight w:val="0"/>
                      <w:marTop w:val="0"/>
                      <w:marBottom w:val="0"/>
                      <w:divBdr>
                        <w:top w:val="none" w:sz="0" w:space="0" w:color="auto"/>
                        <w:left w:val="none" w:sz="0" w:space="0" w:color="auto"/>
                        <w:bottom w:val="none" w:sz="0" w:space="0" w:color="auto"/>
                        <w:right w:val="none" w:sz="0" w:space="0" w:color="auto"/>
                      </w:divBdr>
                      <w:divsChild>
                        <w:div w:id="116528295">
                          <w:marLeft w:val="0"/>
                          <w:marRight w:val="0"/>
                          <w:marTop w:val="0"/>
                          <w:marBottom w:val="0"/>
                          <w:divBdr>
                            <w:top w:val="none" w:sz="0" w:space="0" w:color="auto"/>
                            <w:left w:val="none" w:sz="0" w:space="0" w:color="auto"/>
                            <w:bottom w:val="none" w:sz="0" w:space="0" w:color="auto"/>
                            <w:right w:val="none" w:sz="0" w:space="0" w:color="auto"/>
                          </w:divBdr>
                        </w:div>
                      </w:divsChild>
                    </w:div>
                    <w:div w:id="1479761738">
                      <w:marLeft w:val="0"/>
                      <w:marRight w:val="0"/>
                      <w:marTop w:val="0"/>
                      <w:marBottom w:val="0"/>
                      <w:divBdr>
                        <w:top w:val="none" w:sz="0" w:space="0" w:color="auto"/>
                        <w:left w:val="none" w:sz="0" w:space="0" w:color="auto"/>
                        <w:bottom w:val="none" w:sz="0" w:space="0" w:color="auto"/>
                        <w:right w:val="none" w:sz="0" w:space="0" w:color="auto"/>
                      </w:divBdr>
                      <w:divsChild>
                        <w:div w:id="688264863">
                          <w:marLeft w:val="0"/>
                          <w:marRight w:val="0"/>
                          <w:marTop w:val="0"/>
                          <w:marBottom w:val="0"/>
                          <w:divBdr>
                            <w:top w:val="none" w:sz="0" w:space="0" w:color="auto"/>
                            <w:left w:val="none" w:sz="0" w:space="0" w:color="auto"/>
                            <w:bottom w:val="none" w:sz="0" w:space="0" w:color="auto"/>
                            <w:right w:val="none" w:sz="0" w:space="0" w:color="auto"/>
                          </w:divBdr>
                        </w:div>
                      </w:divsChild>
                    </w:div>
                    <w:div w:id="1554076359">
                      <w:marLeft w:val="0"/>
                      <w:marRight w:val="0"/>
                      <w:marTop w:val="0"/>
                      <w:marBottom w:val="0"/>
                      <w:divBdr>
                        <w:top w:val="none" w:sz="0" w:space="0" w:color="auto"/>
                        <w:left w:val="none" w:sz="0" w:space="0" w:color="auto"/>
                        <w:bottom w:val="none" w:sz="0" w:space="0" w:color="auto"/>
                        <w:right w:val="none" w:sz="0" w:space="0" w:color="auto"/>
                      </w:divBdr>
                      <w:divsChild>
                        <w:div w:id="825049652">
                          <w:marLeft w:val="0"/>
                          <w:marRight w:val="0"/>
                          <w:marTop w:val="0"/>
                          <w:marBottom w:val="0"/>
                          <w:divBdr>
                            <w:top w:val="none" w:sz="0" w:space="0" w:color="auto"/>
                            <w:left w:val="none" w:sz="0" w:space="0" w:color="auto"/>
                            <w:bottom w:val="none" w:sz="0" w:space="0" w:color="auto"/>
                            <w:right w:val="none" w:sz="0" w:space="0" w:color="auto"/>
                          </w:divBdr>
                        </w:div>
                      </w:divsChild>
                    </w:div>
                    <w:div w:id="1649629519">
                      <w:marLeft w:val="0"/>
                      <w:marRight w:val="0"/>
                      <w:marTop w:val="0"/>
                      <w:marBottom w:val="0"/>
                      <w:divBdr>
                        <w:top w:val="none" w:sz="0" w:space="0" w:color="auto"/>
                        <w:left w:val="none" w:sz="0" w:space="0" w:color="auto"/>
                        <w:bottom w:val="none" w:sz="0" w:space="0" w:color="auto"/>
                        <w:right w:val="none" w:sz="0" w:space="0" w:color="auto"/>
                      </w:divBdr>
                      <w:divsChild>
                        <w:div w:id="458648322">
                          <w:marLeft w:val="0"/>
                          <w:marRight w:val="0"/>
                          <w:marTop w:val="0"/>
                          <w:marBottom w:val="0"/>
                          <w:divBdr>
                            <w:top w:val="none" w:sz="0" w:space="0" w:color="auto"/>
                            <w:left w:val="none" w:sz="0" w:space="0" w:color="auto"/>
                            <w:bottom w:val="none" w:sz="0" w:space="0" w:color="auto"/>
                            <w:right w:val="none" w:sz="0" w:space="0" w:color="auto"/>
                          </w:divBdr>
                        </w:div>
                        <w:div w:id="1399860516">
                          <w:marLeft w:val="0"/>
                          <w:marRight w:val="0"/>
                          <w:marTop w:val="0"/>
                          <w:marBottom w:val="0"/>
                          <w:divBdr>
                            <w:top w:val="none" w:sz="0" w:space="0" w:color="auto"/>
                            <w:left w:val="none" w:sz="0" w:space="0" w:color="auto"/>
                            <w:bottom w:val="none" w:sz="0" w:space="0" w:color="auto"/>
                            <w:right w:val="none" w:sz="0" w:space="0" w:color="auto"/>
                          </w:divBdr>
                        </w:div>
                      </w:divsChild>
                    </w:div>
                    <w:div w:id="1654529705">
                      <w:marLeft w:val="0"/>
                      <w:marRight w:val="0"/>
                      <w:marTop w:val="0"/>
                      <w:marBottom w:val="0"/>
                      <w:divBdr>
                        <w:top w:val="none" w:sz="0" w:space="0" w:color="auto"/>
                        <w:left w:val="none" w:sz="0" w:space="0" w:color="auto"/>
                        <w:bottom w:val="none" w:sz="0" w:space="0" w:color="auto"/>
                        <w:right w:val="none" w:sz="0" w:space="0" w:color="auto"/>
                      </w:divBdr>
                      <w:divsChild>
                        <w:div w:id="1876773629">
                          <w:marLeft w:val="0"/>
                          <w:marRight w:val="0"/>
                          <w:marTop w:val="0"/>
                          <w:marBottom w:val="0"/>
                          <w:divBdr>
                            <w:top w:val="none" w:sz="0" w:space="0" w:color="auto"/>
                            <w:left w:val="none" w:sz="0" w:space="0" w:color="auto"/>
                            <w:bottom w:val="none" w:sz="0" w:space="0" w:color="auto"/>
                            <w:right w:val="none" w:sz="0" w:space="0" w:color="auto"/>
                          </w:divBdr>
                        </w:div>
                      </w:divsChild>
                    </w:div>
                    <w:div w:id="1671177775">
                      <w:marLeft w:val="0"/>
                      <w:marRight w:val="0"/>
                      <w:marTop w:val="0"/>
                      <w:marBottom w:val="0"/>
                      <w:divBdr>
                        <w:top w:val="none" w:sz="0" w:space="0" w:color="auto"/>
                        <w:left w:val="none" w:sz="0" w:space="0" w:color="auto"/>
                        <w:bottom w:val="none" w:sz="0" w:space="0" w:color="auto"/>
                        <w:right w:val="none" w:sz="0" w:space="0" w:color="auto"/>
                      </w:divBdr>
                      <w:divsChild>
                        <w:div w:id="1672564414">
                          <w:marLeft w:val="0"/>
                          <w:marRight w:val="0"/>
                          <w:marTop w:val="0"/>
                          <w:marBottom w:val="0"/>
                          <w:divBdr>
                            <w:top w:val="none" w:sz="0" w:space="0" w:color="auto"/>
                            <w:left w:val="none" w:sz="0" w:space="0" w:color="auto"/>
                            <w:bottom w:val="none" w:sz="0" w:space="0" w:color="auto"/>
                            <w:right w:val="none" w:sz="0" w:space="0" w:color="auto"/>
                          </w:divBdr>
                        </w:div>
                        <w:div w:id="1839538321">
                          <w:marLeft w:val="0"/>
                          <w:marRight w:val="0"/>
                          <w:marTop w:val="0"/>
                          <w:marBottom w:val="0"/>
                          <w:divBdr>
                            <w:top w:val="none" w:sz="0" w:space="0" w:color="auto"/>
                            <w:left w:val="none" w:sz="0" w:space="0" w:color="auto"/>
                            <w:bottom w:val="none" w:sz="0" w:space="0" w:color="auto"/>
                            <w:right w:val="none" w:sz="0" w:space="0" w:color="auto"/>
                          </w:divBdr>
                        </w:div>
                      </w:divsChild>
                    </w:div>
                    <w:div w:id="1724675045">
                      <w:marLeft w:val="0"/>
                      <w:marRight w:val="0"/>
                      <w:marTop w:val="0"/>
                      <w:marBottom w:val="0"/>
                      <w:divBdr>
                        <w:top w:val="none" w:sz="0" w:space="0" w:color="auto"/>
                        <w:left w:val="none" w:sz="0" w:space="0" w:color="auto"/>
                        <w:bottom w:val="none" w:sz="0" w:space="0" w:color="auto"/>
                        <w:right w:val="none" w:sz="0" w:space="0" w:color="auto"/>
                      </w:divBdr>
                      <w:divsChild>
                        <w:div w:id="1702632656">
                          <w:marLeft w:val="0"/>
                          <w:marRight w:val="0"/>
                          <w:marTop w:val="0"/>
                          <w:marBottom w:val="0"/>
                          <w:divBdr>
                            <w:top w:val="none" w:sz="0" w:space="0" w:color="auto"/>
                            <w:left w:val="none" w:sz="0" w:space="0" w:color="auto"/>
                            <w:bottom w:val="none" w:sz="0" w:space="0" w:color="auto"/>
                            <w:right w:val="none" w:sz="0" w:space="0" w:color="auto"/>
                          </w:divBdr>
                        </w:div>
                      </w:divsChild>
                    </w:div>
                    <w:div w:id="1743674739">
                      <w:marLeft w:val="0"/>
                      <w:marRight w:val="0"/>
                      <w:marTop w:val="0"/>
                      <w:marBottom w:val="0"/>
                      <w:divBdr>
                        <w:top w:val="none" w:sz="0" w:space="0" w:color="auto"/>
                        <w:left w:val="none" w:sz="0" w:space="0" w:color="auto"/>
                        <w:bottom w:val="none" w:sz="0" w:space="0" w:color="auto"/>
                        <w:right w:val="none" w:sz="0" w:space="0" w:color="auto"/>
                      </w:divBdr>
                      <w:divsChild>
                        <w:div w:id="544368867">
                          <w:marLeft w:val="0"/>
                          <w:marRight w:val="0"/>
                          <w:marTop w:val="0"/>
                          <w:marBottom w:val="0"/>
                          <w:divBdr>
                            <w:top w:val="none" w:sz="0" w:space="0" w:color="auto"/>
                            <w:left w:val="none" w:sz="0" w:space="0" w:color="auto"/>
                            <w:bottom w:val="none" w:sz="0" w:space="0" w:color="auto"/>
                            <w:right w:val="none" w:sz="0" w:space="0" w:color="auto"/>
                          </w:divBdr>
                        </w:div>
                        <w:div w:id="1924951128">
                          <w:marLeft w:val="0"/>
                          <w:marRight w:val="0"/>
                          <w:marTop w:val="0"/>
                          <w:marBottom w:val="0"/>
                          <w:divBdr>
                            <w:top w:val="none" w:sz="0" w:space="0" w:color="auto"/>
                            <w:left w:val="none" w:sz="0" w:space="0" w:color="auto"/>
                            <w:bottom w:val="none" w:sz="0" w:space="0" w:color="auto"/>
                            <w:right w:val="none" w:sz="0" w:space="0" w:color="auto"/>
                          </w:divBdr>
                        </w:div>
                      </w:divsChild>
                    </w:div>
                    <w:div w:id="1790930164">
                      <w:marLeft w:val="0"/>
                      <w:marRight w:val="0"/>
                      <w:marTop w:val="0"/>
                      <w:marBottom w:val="0"/>
                      <w:divBdr>
                        <w:top w:val="none" w:sz="0" w:space="0" w:color="auto"/>
                        <w:left w:val="none" w:sz="0" w:space="0" w:color="auto"/>
                        <w:bottom w:val="none" w:sz="0" w:space="0" w:color="auto"/>
                        <w:right w:val="none" w:sz="0" w:space="0" w:color="auto"/>
                      </w:divBdr>
                      <w:divsChild>
                        <w:div w:id="1790733703">
                          <w:marLeft w:val="0"/>
                          <w:marRight w:val="0"/>
                          <w:marTop w:val="0"/>
                          <w:marBottom w:val="0"/>
                          <w:divBdr>
                            <w:top w:val="none" w:sz="0" w:space="0" w:color="auto"/>
                            <w:left w:val="none" w:sz="0" w:space="0" w:color="auto"/>
                            <w:bottom w:val="none" w:sz="0" w:space="0" w:color="auto"/>
                            <w:right w:val="none" w:sz="0" w:space="0" w:color="auto"/>
                          </w:divBdr>
                        </w:div>
                      </w:divsChild>
                    </w:div>
                    <w:div w:id="1850176814">
                      <w:marLeft w:val="0"/>
                      <w:marRight w:val="0"/>
                      <w:marTop w:val="0"/>
                      <w:marBottom w:val="0"/>
                      <w:divBdr>
                        <w:top w:val="none" w:sz="0" w:space="0" w:color="auto"/>
                        <w:left w:val="none" w:sz="0" w:space="0" w:color="auto"/>
                        <w:bottom w:val="none" w:sz="0" w:space="0" w:color="auto"/>
                        <w:right w:val="none" w:sz="0" w:space="0" w:color="auto"/>
                      </w:divBdr>
                      <w:divsChild>
                        <w:div w:id="18895330">
                          <w:marLeft w:val="0"/>
                          <w:marRight w:val="0"/>
                          <w:marTop w:val="0"/>
                          <w:marBottom w:val="0"/>
                          <w:divBdr>
                            <w:top w:val="none" w:sz="0" w:space="0" w:color="auto"/>
                            <w:left w:val="none" w:sz="0" w:space="0" w:color="auto"/>
                            <w:bottom w:val="none" w:sz="0" w:space="0" w:color="auto"/>
                            <w:right w:val="none" w:sz="0" w:space="0" w:color="auto"/>
                          </w:divBdr>
                        </w:div>
                        <w:div w:id="1399326704">
                          <w:marLeft w:val="0"/>
                          <w:marRight w:val="0"/>
                          <w:marTop w:val="0"/>
                          <w:marBottom w:val="0"/>
                          <w:divBdr>
                            <w:top w:val="none" w:sz="0" w:space="0" w:color="auto"/>
                            <w:left w:val="none" w:sz="0" w:space="0" w:color="auto"/>
                            <w:bottom w:val="none" w:sz="0" w:space="0" w:color="auto"/>
                            <w:right w:val="none" w:sz="0" w:space="0" w:color="auto"/>
                          </w:divBdr>
                        </w:div>
                      </w:divsChild>
                    </w:div>
                    <w:div w:id="1850291167">
                      <w:marLeft w:val="0"/>
                      <w:marRight w:val="0"/>
                      <w:marTop w:val="0"/>
                      <w:marBottom w:val="0"/>
                      <w:divBdr>
                        <w:top w:val="none" w:sz="0" w:space="0" w:color="auto"/>
                        <w:left w:val="none" w:sz="0" w:space="0" w:color="auto"/>
                        <w:bottom w:val="none" w:sz="0" w:space="0" w:color="auto"/>
                        <w:right w:val="none" w:sz="0" w:space="0" w:color="auto"/>
                      </w:divBdr>
                      <w:divsChild>
                        <w:div w:id="99495265">
                          <w:marLeft w:val="0"/>
                          <w:marRight w:val="0"/>
                          <w:marTop w:val="0"/>
                          <w:marBottom w:val="0"/>
                          <w:divBdr>
                            <w:top w:val="none" w:sz="0" w:space="0" w:color="auto"/>
                            <w:left w:val="none" w:sz="0" w:space="0" w:color="auto"/>
                            <w:bottom w:val="none" w:sz="0" w:space="0" w:color="auto"/>
                            <w:right w:val="none" w:sz="0" w:space="0" w:color="auto"/>
                          </w:divBdr>
                        </w:div>
                      </w:divsChild>
                    </w:div>
                    <w:div w:id="1903448424">
                      <w:marLeft w:val="0"/>
                      <w:marRight w:val="0"/>
                      <w:marTop w:val="0"/>
                      <w:marBottom w:val="0"/>
                      <w:divBdr>
                        <w:top w:val="none" w:sz="0" w:space="0" w:color="auto"/>
                        <w:left w:val="none" w:sz="0" w:space="0" w:color="auto"/>
                        <w:bottom w:val="none" w:sz="0" w:space="0" w:color="auto"/>
                        <w:right w:val="none" w:sz="0" w:space="0" w:color="auto"/>
                      </w:divBdr>
                      <w:divsChild>
                        <w:div w:id="931082710">
                          <w:marLeft w:val="0"/>
                          <w:marRight w:val="0"/>
                          <w:marTop w:val="0"/>
                          <w:marBottom w:val="0"/>
                          <w:divBdr>
                            <w:top w:val="none" w:sz="0" w:space="0" w:color="auto"/>
                            <w:left w:val="none" w:sz="0" w:space="0" w:color="auto"/>
                            <w:bottom w:val="none" w:sz="0" w:space="0" w:color="auto"/>
                            <w:right w:val="none" w:sz="0" w:space="0" w:color="auto"/>
                          </w:divBdr>
                        </w:div>
                      </w:divsChild>
                    </w:div>
                    <w:div w:id="2007514011">
                      <w:marLeft w:val="0"/>
                      <w:marRight w:val="0"/>
                      <w:marTop w:val="0"/>
                      <w:marBottom w:val="0"/>
                      <w:divBdr>
                        <w:top w:val="none" w:sz="0" w:space="0" w:color="auto"/>
                        <w:left w:val="none" w:sz="0" w:space="0" w:color="auto"/>
                        <w:bottom w:val="none" w:sz="0" w:space="0" w:color="auto"/>
                        <w:right w:val="none" w:sz="0" w:space="0" w:color="auto"/>
                      </w:divBdr>
                      <w:divsChild>
                        <w:div w:id="379937620">
                          <w:marLeft w:val="0"/>
                          <w:marRight w:val="0"/>
                          <w:marTop w:val="0"/>
                          <w:marBottom w:val="0"/>
                          <w:divBdr>
                            <w:top w:val="none" w:sz="0" w:space="0" w:color="auto"/>
                            <w:left w:val="none" w:sz="0" w:space="0" w:color="auto"/>
                            <w:bottom w:val="none" w:sz="0" w:space="0" w:color="auto"/>
                            <w:right w:val="none" w:sz="0" w:space="0" w:color="auto"/>
                          </w:divBdr>
                        </w:div>
                        <w:div w:id="1046023002">
                          <w:marLeft w:val="0"/>
                          <w:marRight w:val="0"/>
                          <w:marTop w:val="0"/>
                          <w:marBottom w:val="0"/>
                          <w:divBdr>
                            <w:top w:val="none" w:sz="0" w:space="0" w:color="auto"/>
                            <w:left w:val="none" w:sz="0" w:space="0" w:color="auto"/>
                            <w:bottom w:val="none" w:sz="0" w:space="0" w:color="auto"/>
                            <w:right w:val="none" w:sz="0" w:space="0" w:color="auto"/>
                          </w:divBdr>
                        </w:div>
                      </w:divsChild>
                    </w:div>
                    <w:div w:id="2041203756">
                      <w:marLeft w:val="0"/>
                      <w:marRight w:val="0"/>
                      <w:marTop w:val="0"/>
                      <w:marBottom w:val="0"/>
                      <w:divBdr>
                        <w:top w:val="none" w:sz="0" w:space="0" w:color="auto"/>
                        <w:left w:val="none" w:sz="0" w:space="0" w:color="auto"/>
                        <w:bottom w:val="none" w:sz="0" w:space="0" w:color="auto"/>
                        <w:right w:val="none" w:sz="0" w:space="0" w:color="auto"/>
                      </w:divBdr>
                      <w:divsChild>
                        <w:div w:id="2125728462">
                          <w:marLeft w:val="0"/>
                          <w:marRight w:val="0"/>
                          <w:marTop w:val="0"/>
                          <w:marBottom w:val="0"/>
                          <w:divBdr>
                            <w:top w:val="none" w:sz="0" w:space="0" w:color="auto"/>
                            <w:left w:val="none" w:sz="0" w:space="0" w:color="auto"/>
                            <w:bottom w:val="none" w:sz="0" w:space="0" w:color="auto"/>
                            <w:right w:val="none" w:sz="0" w:space="0" w:color="auto"/>
                          </w:divBdr>
                        </w:div>
                      </w:divsChild>
                    </w:div>
                    <w:div w:id="2054577492">
                      <w:marLeft w:val="0"/>
                      <w:marRight w:val="0"/>
                      <w:marTop w:val="0"/>
                      <w:marBottom w:val="0"/>
                      <w:divBdr>
                        <w:top w:val="none" w:sz="0" w:space="0" w:color="auto"/>
                        <w:left w:val="none" w:sz="0" w:space="0" w:color="auto"/>
                        <w:bottom w:val="none" w:sz="0" w:space="0" w:color="auto"/>
                        <w:right w:val="none" w:sz="0" w:space="0" w:color="auto"/>
                      </w:divBdr>
                      <w:divsChild>
                        <w:div w:id="1230574329">
                          <w:marLeft w:val="0"/>
                          <w:marRight w:val="0"/>
                          <w:marTop w:val="0"/>
                          <w:marBottom w:val="0"/>
                          <w:divBdr>
                            <w:top w:val="none" w:sz="0" w:space="0" w:color="auto"/>
                            <w:left w:val="none" w:sz="0" w:space="0" w:color="auto"/>
                            <w:bottom w:val="none" w:sz="0" w:space="0" w:color="auto"/>
                            <w:right w:val="none" w:sz="0" w:space="0" w:color="auto"/>
                          </w:divBdr>
                        </w:div>
                      </w:divsChild>
                    </w:div>
                    <w:div w:id="2056538204">
                      <w:marLeft w:val="0"/>
                      <w:marRight w:val="0"/>
                      <w:marTop w:val="0"/>
                      <w:marBottom w:val="0"/>
                      <w:divBdr>
                        <w:top w:val="none" w:sz="0" w:space="0" w:color="auto"/>
                        <w:left w:val="none" w:sz="0" w:space="0" w:color="auto"/>
                        <w:bottom w:val="none" w:sz="0" w:space="0" w:color="auto"/>
                        <w:right w:val="none" w:sz="0" w:space="0" w:color="auto"/>
                      </w:divBdr>
                      <w:divsChild>
                        <w:div w:id="1528369370">
                          <w:marLeft w:val="0"/>
                          <w:marRight w:val="0"/>
                          <w:marTop w:val="0"/>
                          <w:marBottom w:val="0"/>
                          <w:divBdr>
                            <w:top w:val="none" w:sz="0" w:space="0" w:color="auto"/>
                            <w:left w:val="none" w:sz="0" w:space="0" w:color="auto"/>
                            <w:bottom w:val="none" w:sz="0" w:space="0" w:color="auto"/>
                            <w:right w:val="none" w:sz="0" w:space="0" w:color="auto"/>
                          </w:divBdr>
                        </w:div>
                      </w:divsChild>
                    </w:div>
                    <w:div w:id="2061854446">
                      <w:marLeft w:val="0"/>
                      <w:marRight w:val="0"/>
                      <w:marTop w:val="0"/>
                      <w:marBottom w:val="0"/>
                      <w:divBdr>
                        <w:top w:val="none" w:sz="0" w:space="0" w:color="auto"/>
                        <w:left w:val="none" w:sz="0" w:space="0" w:color="auto"/>
                        <w:bottom w:val="none" w:sz="0" w:space="0" w:color="auto"/>
                        <w:right w:val="none" w:sz="0" w:space="0" w:color="auto"/>
                      </w:divBdr>
                      <w:divsChild>
                        <w:div w:id="189925255">
                          <w:marLeft w:val="0"/>
                          <w:marRight w:val="0"/>
                          <w:marTop w:val="0"/>
                          <w:marBottom w:val="0"/>
                          <w:divBdr>
                            <w:top w:val="none" w:sz="0" w:space="0" w:color="auto"/>
                            <w:left w:val="none" w:sz="0" w:space="0" w:color="auto"/>
                            <w:bottom w:val="none" w:sz="0" w:space="0" w:color="auto"/>
                            <w:right w:val="none" w:sz="0" w:space="0" w:color="auto"/>
                          </w:divBdr>
                        </w:div>
                        <w:div w:id="323706323">
                          <w:marLeft w:val="0"/>
                          <w:marRight w:val="0"/>
                          <w:marTop w:val="0"/>
                          <w:marBottom w:val="0"/>
                          <w:divBdr>
                            <w:top w:val="none" w:sz="0" w:space="0" w:color="auto"/>
                            <w:left w:val="none" w:sz="0" w:space="0" w:color="auto"/>
                            <w:bottom w:val="none" w:sz="0" w:space="0" w:color="auto"/>
                            <w:right w:val="none" w:sz="0" w:space="0" w:color="auto"/>
                          </w:divBdr>
                        </w:div>
                        <w:div w:id="1216701000">
                          <w:marLeft w:val="0"/>
                          <w:marRight w:val="0"/>
                          <w:marTop w:val="0"/>
                          <w:marBottom w:val="0"/>
                          <w:divBdr>
                            <w:top w:val="none" w:sz="0" w:space="0" w:color="auto"/>
                            <w:left w:val="none" w:sz="0" w:space="0" w:color="auto"/>
                            <w:bottom w:val="none" w:sz="0" w:space="0" w:color="auto"/>
                            <w:right w:val="none" w:sz="0" w:space="0" w:color="auto"/>
                          </w:divBdr>
                        </w:div>
                        <w:div w:id="1314869714">
                          <w:marLeft w:val="0"/>
                          <w:marRight w:val="0"/>
                          <w:marTop w:val="0"/>
                          <w:marBottom w:val="0"/>
                          <w:divBdr>
                            <w:top w:val="none" w:sz="0" w:space="0" w:color="auto"/>
                            <w:left w:val="none" w:sz="0" w:space="0" w:color="auto"/>
                            <w:bottom w:val="none" w:sz="0" w:space="0" w:color="auto"/>
                            <w:right w:val="none" w:sz="0" w:space="0" w:color="auto"/>
                          </w:divBdr>
                        </w:div>
                      </w:divsChild>
                    </w:div>
                    <w:div w:id="2072187959">
                      <w:marLeft w:val="0"/>
                      <w:marRight w:val="0"/>
                      <w:marTop w:val="0"/>
                      <w:marBottom w:val="0"/>
                      <w:divBdr>
                        <w:top w:val="none" w:sz="0" w:space="0" w:color="auto"/>
                        <w:left w:val="none" w:sz="0" w:space="0" w:color="auto"/>
                        <w:bottom w:val="none" w:sz="0" w:space="0" w:color="auto"/>
                        <w:right w:val="none" w:sz="0" w:space="0" w:color="auto"/>
                      </w:divBdr>
                      <w:divsChild>
                        <w:div w:id="1914506884">
                          <w:marLeft w:val="0"/>
                          <w:marRight w:val="0"/>
                          <w:marTop w:val="0"/>
                          <w:marBottom w:val="0"/>
                          <w:divBdr>
                            <w:top w:val="none" w:sz="0" w:space="0" w:color="auto"/>
                            <w:left w:val="none" w:sz="0" w:space="0" w:color="auto"/>
                            <w:bottom w:val="none" w:sz="0" w:space="0" w:color="auto"/>
                            <w:right w:val="none" w:sz="0" w:space="0" w:color="auto"/>
                          </w:divBdr>
                        </w:div>
                      </w:divsChild>
                    </w:div>
                    <w:div w:id="2082166959">
                      <w:marLeft w:val="0"/>
                      <w:marRight w:val="0"/>
                      <w:marTop w:val="0"/>
                      <w:marBottom w:val="0"/>
                      <w:divBdr>
                        <w:top w:val="none" w:sz="0" w:space="0" w:color="auto"/>
                        <w:left w:val="none" w:sz="0" w:space="0" w:color="auto"/>
                        <w:bottom w:val="none" w:sz="0" w:space="0" w:color="auto"/>
                        <w:right w:val="none" w:sz="0" w:space="0" w:color="auto"/>
                      </w:divBdr>
                      <w:divsChild>
                        <w:div w:id="1318455556">
                          <w:marLeft w:val="0"/>
                          <w:marRight w:val="0"/>
                          <w:marTop w:val="0"/>
                          <w:marBottom w:val="0"/>
                          <w:divBdr>
                            <w:top w:val="none" w:sz="0" w:space="0" w:color="auto"/>
                            <w:left w:val="none" w:sz="0" w:space="0" w:color="auto"/>
                            <w:bottom w:val="none" w:sz="0" w:space="0" w:color="auto"/>
                            <w:right w:val="none" w:sz="0" w:space="0" w:color="auto"/>
                          </w:divBdr>
                        </w:div>
                      </w:divsChild>
                    </w:div>
                    <w:div w:id="2115132148">
                      <w:marLeft w:val="0"/>
                      <w:marRight w:val="0"/>
                      <w:marTop w:val="0"/>
                      <w:marBottom w:val="0"/>
                      <w:divBdr>
                        <w:top w:val="none" w:sz="0" w:space="0" w:color="auto"/>
                        <w:left w:val="none" w:sz="0" w:space="0" w:color="auto"/>
                        <w:bottom w:val="none" w:sz="0" w:space="0" w:color="auto"/>
                        <w:right w:val="none" w:sz="0" w:space="0" w:color="auto"/>
                      </w:divBdr>
                      <w:divsChild>
                        <w:div w:id="792141059">
                          <w:marLeft w:val="0"/>
                          <w:marRight w:val="0"/>
                          <w:marTop w:val="0"/>
                          <w:marBottom w:val="0"/>
                          <w:divBdr>
                            <w:top w:val="none" w:sz="0" w:space="0" w:color="auto"/>
                            <w:left w:val="none" w:sz="0" w:space="0" w:color="auto"/>
                            <w:bottom w:val="none" w:sz="0" w:space="0" w:color="auto"/>
                            <w:right w:val="none" w:sz="0" w:space="0" w:color="auto"/>
                          </w:divBdr>
                        </w:div>
                      </w:divsChild>
                    </w:div>
                    <w:div w:id="2129540247">
                      <w:marLeft w:val="0"/>
                      <w:marRight w:val="0"/>
                      <w:marTop w:val="0"/>
                      <w:marBottom w:val="0"/>
                      <w:divBdr>
                        <w:top w:val="none" w:sz="0" w:space="0" w:color="auto"/>
                        <w:left w:val="none" w:sz="0" w:space="0" w:color="auto"/>
                        <w:bottom w:val="none" w:sz="0" w:space="0" w:color="auto"/>
                        <w:right w:val="none" w:sz="0" w:space="0" w:color="auto"/>
                      </w:divBdr>
                      <w:divsChild>
                        <w:div w:id="2059474031">
                          <w:marLeft w:val="0"/>
                          <w:marRight w:val="0"/>
                          <w:marTop w:val="0"/>
                          <w:marBottom w:val="0"/>
                          <w:divBdr>
                            <w:top w:val="none" w:sz="0" w:space="0" w:color="auto"/>
                            <w:left w:val="none" w:sz="0" w:space="0" w:color="auto"/>
                            <w:bottom w:val="none" w:sz="0" w:space="0" w:color="auto"/>
                            <w:right w:val="none" w:sz="0" w:space="0" w:color="auto"/>
                          </w:divBdr>
                        </w:div>
                      </w:divsChild>
                    </w:div>
                    <w:div w:id="2141994842">
                      <w:marLeft w:val="0"/>
                      <w:marRight w:val="0"/>
                      <w:marTop w:val="0"/>
                      <w:marBottom w:val="0"/>
                      <w:divBdr>
                        <w:top w:val="none" w:sz="0" w:space="0" w:color="auto"/>
                        <w:left w:val="none" w:sz="0" w:space="0" w:color="auto"/>
                        <w:bottom w:val="none" w:sz="0" w:space="0" w:color="auto"/>
                        <w:right w:val="none" w:sz="0" w:space="0" w:color="auto"/>
                      </w:divBdr>
                      <w:divsChild>
                        <w:div w:id="840196976">
                          <w:marLeft w:val="0"/>
                          <w:marRight w:val="0"/>
                          <w:marTop w:val="0"/>
                          <w:marBottom w:val="0"/>
                          <w:divBdr>
                            <w:top w:val="none" w:sz="0" w:space="0" w:color="auto"/>
                            <w:left w:val="none" w:sz="0" w:space="0" w:color="auto"/>
                            <w:bottom w:val="none" w:sz="0" w:space="0" w:color="auto"/>
                            <w:right w:val="none" w:sz="0" w:space="0" w:color="auto"/>
                          </w:divBdr>
                        </w:div>
                        <w:div w:id="1428772116">
                          <w:marLeft w:val="0"/>
                          <w:marRight w:val="0"/>
                          <w:marTop w:val="0"/>
                          <w:marBottom w:val="0"/>
                          <w:divBdr>
                            <w:top w:val="none" w:sz="0" w:space="0" w:color="auto"/>
                            <w:left w:val="none" w:sz="0" w:space="0" w:color="auto"/>
                            <w:bottom w:val="none" w:sz="0" w:space="0" w:color="auto"/>
                            <w:right w:val="none" w:sz="0" w:space="0" w:color="auto"/>
                          </w:divBdr>
                        </w:div>
                      </w:divsChild>
                    </w:div>
                    <w:div w:id="2146582122">
                      <w:marLeft w:val="0"/>
                      <w:marRight w:val="0"/>
                      <w:marTop w:val="0"/>
                      <w:marBottom w:val="0"/>
                      <w:divBdr>
                        <w:top w:val="none" w:sz="0" w:space="0" w:color="auto"/>
                        <w:left w:val="none" w:sz="0" w:space="0" w:color="auto"/>
                        <w:bottom w:val="none" w:sz="0" w:space="0" w:color="auto"/>
                        <w:right w:val="none" w:sz="0" w:space="0" w:color="auto"/>
                      </w:divBdr>
                      <w:divsChild>
                        <w:div w:id="88771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9589418">
              <w:marLeft w:val="0"/>
              <w:marRight w:val="0"/>
              <w:marTop w:val="0"/>
              <w:marBottom w:val="0"/>
              <w:divBdr>
                <w:top w:val="none" w:sz="0" w:space="0" w:color="auto"/>
                <w:left w:val="none" w:sz="0" w:space="0" w:color="auto"/>
                <w:bottom w:val="none" w:sz="0" w:space="0" w:color="auto"/>
                <w:right w:val="none" w:sz="0" w:space="0" w:color="auto"/>
              </w:divBdr>
            </w:div>
            <w:div w:id="1215659739">
              <w:marLeft w:val="0"/>
              <w:marRight w:val="0"/>
              <w:marTop w:val="0"/>
              <w:marBottom w:val="0"/>
              <w:divBdr>
                <w:top w:val="none" w:sz="0" w:space="0" w:color="auto"/>
                <w:left w:val="none" w:sz="0" w:space="0" w:color="auto"/>
                <w:bottom w:val="none" w:sz="0" w:space="0" w:color="auto"/>
                <w:right w:val="none" w:sz="0" w:space="0" w:color="auto"/>
              </w:divBdr>
            </w:div>
            <w:div w:id="1251696936">
              <w:marLeft w:val="0"/>
              <w:marRight w:val="0"/>
              <w:marTop w:val="0"/>
              <w:marBottom w:val="0"/>
              <w:divBdr>
                <w:top w:val="none" w:sz="0" w:space="0" w:color="auto"/>
                <w:left w:val="none" w:sz="0" w:space="0" w:color="auto"/>
                <w:bottom w:val="none" w:sz="0" w:space="0" w:color="auto"/>
                <w:right w:val="none" w:sz="0" w:space="0" w:color="auto"/>
              </w:divBdr>
            </w:div>
            <w:div w:id="188451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12553">
      <w:bodyDiv w:val="1"/>
      <w:marLeft w:val="0"/>
      <w:marRight w:val="0"/>
      <w:marTop w:val="0"/>
      <w:marBottom w:val="0"/>
      <w:divBdr>
        <w:top w:val="none" w:sz="0" w:space="0" w:color="auto"/>
        <w:left w:val="none" w:sz="0" w:space="0" w:color="auto"/>
        <w:bottom w:val="none" w:sz="0" w:space="0" w:color="auto"/>
        <w:right w:val="none" w:sz="0" w:space="0" w:color="auto"/>
      </w:divBdr>
      <w:divsChild>
        <w:div w:id="68770325">
          <w:marLeft w:val="0"/>
          <w:marRight w:val="0"/>
          <w:marTop w:val="0"/>
          <w:marBottom w:val="0"/>
          <w:divBdr>
            <w:top w:val="none" w:sz="0" w:space="0" w:color="auto"/>
            <w:left w:val="none" w:sz="0" w:space="0" w:color="auto"/>
            <w:bottom w:val="none" w:sz="0" w:space="0" w:color="auto"/>
            <w:right w:val="none" w:sz="0" w:space="0" w:color="auto"/>
          </w:divBdr>
          <w:divsChild>
            <w:div w:id="49423282">
              <w:marLeft w:val="0"/>
              <w:marRight w:val="0"/>
              <w:marTop w:val="0"/>
              <w:marBottom w:val="0"/>
              <w:divBdr>
                <w:top w:val="none" w:sz="0" w:space="0" w:color="auto"/>
                <w:left w:val="none" w:sz="0" w:space="0" w:color="auto"/>
                <w:bottom w:val="none" w:sz="0" w:space="0" w:color="auto"/>
                <w:right w:val="none" w:sz="0" w:space="0" w:color="auto"/>
              </w:divBdr>
              <w:divsChild>
                <w:div w:id="1215501530">
                  <w:marLeft w:val="0"/>
                  <w:marRight w:val="0"/>
                  <w:marTop w:val="0"/>
                  <w:marBottom w:val="0"/>
                  <w:divBdr>
                    <w:top w:val="none" w:sz="0" w:space="0" w:color="auto"/>
                    <w:left w:val="none" w:sz="0" w:space="0" w:color="auto"/>
                    <w:bottom w:val="none" w:sz="0" w:space="0" w:color="auto"/>
                    <w:right w:val="none" w:sz="0" w:space="0" w:color="auto"/>
                  </w:divBdr>
                  <w:divsChild>
                    <w:div w:id="744762887">
                      <w:marLeft w:val="0"/>
                      <w:marRight w:val="0"/>
                      <w:marTop w:val="0"/>
                      <w:marBottom w:val="0"/>
                      <w:divBdr>
                        <w:top w:val="none" w:sz="0" w:space="0" w:color="auto"/>
                        <w:left w:val="none" w:sz="0" w:space="0" w:color="auto"/>
                        <w:bottom w:val="none" w:sz="0" w:space="0" w:color="auto"/>
                        <w:right w:val="none" w:sz="0" w:space="0" w:color="auto"/>
                      </w:divBdr>
                      <w:divsChild>
                        <w:div w:id="2114743848">
                          <w:marLeft w:val="0"/>
                          <w:marRight w:val="0"/>
                          <w:marTop w:val="0"/>
                          <w:marBottom w:val="0"/>
                          <w:divBdr>
                            <w:top w:val="none" w:sz="0" w:space="0" w:color="auto"/>
                            <w:left w:val="none" w:sz="0" w:space="0" w:color="auto"/>
                            <w:bottom w:val="none" w:sz="0" w:space="0" w:color="auto"/>
                            <w:right w:val="none" w:sz="0" w:space="0" w:color="auto"/>
                          </w:divBdr>
                          <w:divsChild>
                            <w:div w:id="891309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1209863">
      <w:bodyDiv w:val="1"/>
      <w:marLeft w:val="0"/>
      <w:marRight w:val="0"/>
      <w:marTop w:val="0"/>
      <w:marBottom w:val="0"/>
      <w:divBdr>
        <w:top w:val="none" w:sz="0" w:space="0" w:color="auto"/>
        <w:left w:val="none" w:sz="0" w:space="0" w:color="auto"/>
        <w:bottom w:val="none" w:sz="0" w:space="0" w:color="auto"/>
        <w:right w:val="none" w:sz="0" w:space="0" w:color="auto"/>
      </w:divBdr>
    </w:div>
    <w:div w:id="223877123">
      <w:bodyDiv w:val="1"/>
      <w:marLeft w:val="0"/>
      <w:marRight w:val="0"/>
      <w:marTop w:val="0"/>
      <w:marBottom w:val="0"/>
      <w:divBdr>
        <w:top w:val="none" w:sz="0" w:space="0" w:color="auto"/>
        <w:left w:val="none" w:sz="0" w:space="0" w:color="auto"/>
        <w:bottom w:val="none" w:sz="0" w:space="0" w:color="auto"/>
        <w:right w:val="none" w:sz="0" w:space="0" w:color="auto"/>
      </w:divBdr>
    </w:div>
    <w:div w:id="266426847">
      <w:bodyDiv w:val="1"/>
      <w:marLeft w:val="0"/>
      <w:marRight w:val="0"/>
      <w:marTop w:val="0"/>
      <w:marBottom w:val="0"/>
      <w:divBdr>
        <w:top w:val="none" w:sz="0" w:space="0" w:color="auto"/>
        <w:left w:val="none" w:sz="0" w:space="0" w:color="auto"/>
        <w:bottom w:val="none" w:sz="0" w:space="0" w:color="auto"/>
        <w:right w:val="none" w:sz="0" w:space="0" w:color="auto"/>
      </w:divBdr>
    </w:div>
    <w:div w:id="274943571">
      <w:bodyDiv w:val="1"/>
      <w:marLeft w:val="0"/>
      <w:marRight w:val="0"/>
      <w:marTop w:val="0"/>
      <w:marBottom w:val="0"/>
      <w:divBdr>
        <w:top w:val="none" w:sz="0" w:space="0" w:color="auto"/>
        <w:left w:val="none" w:sz="0" w:space="0" w:color="auto"/>
        <w:bottom w:val="none" w:sz="0" w:space="0" w:color="auto"/>
        <w:right w:val="none" w:sz="0" w:space="0" w:color="auto"/>
      </w:divBdr>
      <w:divsChild>
        <w:div w:id="252595996">
          <w:marLeft w:val="547"/>
          <w:marRight w:val="0"/>
          <w:marTop w:val="0"/>
          <w:marBottom w:val="0"/>
          <w:divBdr>
            <w:top w:val="none" w:sz="0" w:space="0" w:color="auto"/>
            <w:left w:val="none" w:sz="0" w:space="0" w:color="auto"/>
            <w:bottom w:val="none" w:sz="0" w:space="0" w:color="auto"/>
            <w:right w:val="none" w:sz="0" w:space="0" w:color="auto"/>
          </w:divBdr>
        </w:div>
        <w:div w:id="360280902">
          <w:marLeft w:val="547"/>
          <w:marRight w:val="0"/>
          <w:marTop w:val="0"/>
          <w:marBottom w:val="0"/>
          <w:divBdr>
            <w:top w:val="none" w:sz="0" w:space="0" w:color="auto"/>
            <w:left w:val="none" w:sz="0" w:space="0" w:color="auto"/>
            <w:bottom w:val="none" w:sz="0" w:space="0" w:color="auto"/>
            <w:right w:val="none" w:sz="0" w:space="0" w:color="auto"/>
          </w:divBdr>
        </w:div>
        <w:div w:id="1272323070">
          <w:marLeft w:val="547"/>
          <w:marRight w:val="0"/>
          <w:marTop w:val="0"/>
          <w:marBottom w:val="0"/>
          <w:divBdr>
            <w:top w:val="none" w:sz="0" w:space="0" w:color="auto"/>
            <w:left w:val="none" w:sz="0" w:space="0" w:color="auto"/>
            <w:bottom w:val="none" w:sz="0" w:space="0" w:color="auto"/>
            <w:right w:val="none" w:sz="0" w:space="0" w:color="auto"/>
          </w:divBdr>
        </w:div>
        <w:div w:id="1381828072">
          <w:marLeft w:val="547"/>
          <w:marRight w:val="0"/>
          <w:marTop w:val="0"/>
          <w:marBottom w:val="0"/>
          <w:divBdr>
            <w:top w:val="none" w:sz="0" w:space="0" w:color="auto"/>
            <w:left w:val="none" w:sz="0" w:space="0" w:color="auto"/>
            <w:bottom w:val="none" w:sz="0" w:space="0" w:color="auto"/>
            <w:right w:val="none" w:sz="0" w:space="0" w:color="auto"/>
          </w:divBdr>
        </w:div>
        <w:div w:id="1658459375">
          <w:marLeft w:val="547"/>
          <w:marRight w:val="0"/>
          <w:marTop w:val="0"/>
          <w:marBottom w:val="0"/>
          <w:divBdr>
            <w:top w:val="none" w:sz="0" w:space="0" w:color="auto"/>
            <w:left w:val="none" w:sz="0" w:space="0" w:color="auto"/>
            <w:bottom w:val="none" w:sz="0" w:space="0" w:color="auto"/>
            <w:right w:val="none" w:sz="0" w:space="0" w:color="auto"/>
          </w:divBdr>
        </w:div>
      </w:divsChild>
    </w:div>
    <w:div w:id="319620982">
      <w:bodyDiv w:val="1"/>
      <w:marLeft w:val="0"/>
      <w:marRight w:val="0"/>
      <w:marTop w:val="0"/>
      <w:marBottom w:val="0"/>
      <w:divBdr>
        <w:top w:val="none" w:sz="0" w:space="0" w:color="auto"/>
        <w:left w:val="none" w:sz="0" w:space="0" w:color="auto"/>
        <w:bottom w:val="none" w:sz="0" w:space="0" w:color="auto"/>
        <w:right w:val="none" w:sz="0" w:space="0" w:color="auto"/>
      </w:divBdr>
    </w:div>
    <w:div w:id="367996274">
      <w:bodyDiv w:val="1"/>
      <w:marLeft w:val="0"/>
      <w:marRight w:val="0"/>
      <w:marTop w:val="0"/>
      <w:marBottom w:val="0"/>
      <w:divBdr>
        <w:top w:val="none" w:sz="0" w:space="0" w:color="auto"/>
        <w:left w:val="none" w:sz="0" w:space="0" w:color="auto"/>
        <w:bottom w:val="none" w:sz="0" w:space="0" w:color="auto"/>
        <w:right w:val="none" w:sz="0" w:space="0" w:color="auto"/>
      </w:divBdr>
    </w:div>
    <w:div w:id="391083112">
      <w:bodyDiv w:val="1"/>
      <w:marLeft w:val="0"/>
      <w:marRight w:val="0"/>
      <w:marTop w:val="0"/>
      <w:marBottom w:val="0"/>
      <w:divBdr>
        <w:top w:val="none" w:sz="0" w:space="0" w:color="auto"/>
        <w:left w:val="none" w:sz="0" w:space="0" w:color="auto"/>
        <w:bottom w:val="none" w:sz="0" w:space="0" w:color="auto"/>
        <w:right w:val="none" w:sz="0" w:space="0" w:color="auto"/>
      </w:divBdr>
    </w:div>
    <w:div w:id="401177471">
      <w:bodyDiv w:val="1"/>
      <w:marLeft w:val="0"/>
      <w:marRight w:val="0"/>
      <w:marTop w:val="0"/>
      <w:marBottom w:val="0"/>
      <w:divBdr>
        <w:top w:val="none" w:sz="0" w:space="0" w:color="auto"/>
        <w:left w:val="none" w:sz="0" w:space="0" w:color="auto"/>
        <w:bottom w:val="none" w:sz="0" w:space="0" w:color="auto"/>
        <w:right w:val="none" w:sz="0" w:space="0" w:color="auto"/>
      </w:divBdr>
    </w:div>
    <w:div w:id="402995562">
      <w:bodyDiv w:val="1"/>
      <w:marLeft w:val="0"/>
      <w:marRight w:val="0"/>
      <w:marTop w:val="0"/>
      <w:marBottom w:val="0"/>
      <w:divBdr>
        <w:top w:val="none" w:sz="0" w:space="0" w:color="auto"/>
        <w:left w:val="none" w:sz="0" w:space="0" w:color="auto"/>
        <w:bottom w:val="none" w:sz="0" w:space="0" w:color="auto"/>
        <w:right w:val="none" w:sz="0" w:space="0" w:color="auto"/>
      </w:divBdr>
    </w:div>
    <w:div w:id="406617432">
      <w:bodyDiv w:val="1"/>
      <w:marLeft w:val="0"/>
      <w:marRight w:val="0"/>
      <w:marTop w:val="0"/>
      <w:marBottom w:val="0"/>
      <w:divBdr>
        <w:top w:val="none" w:sz="0" w:space="0" w:color="auto"/>
        <w:left w:val="none" w:sz="0" w:space="0" w:color="auto"/>
        <w:bottom w:val="none" w:sz="0" w:space="0" w:color="auto"/>
        <w:right w:val="none" w:sz="0" w:space="0" w:color="auto"/>
      </w:divBdr>
    </w:div>
    <w:div w:id="454178294">
      <w:bodyDiv w:val="1"/>
      <w:marLeft w:val="0"/>
      <w:marRight w:val="0"/>
      <w:marTop w:val="0"/>
      <w:marBottom w:val="0"/>
      <w:divBdr>
        <w:top w:val="none" w:sz="0" w:space="0" w:color="auto"/>
        <w:left w:val="none" w:sz="0" w:space="0" w:color="auto"/>
        <w:bottom w:val="none" w:sz="0" w:space="0" w:color="auto"/>
        <w:right w:val="none" w:sz="0" w:space="0" w:color="auto"/>
      </w:divBdr>
    </w:div>
    <w:div w:id="465586823">
      <w:bodyDiv w:val="1"/>
      <w:marLeft w:val="0"/>
      <w:marRight w:val="0"/>
      <w:marTop w:val="0"/>
      <w:marBottom w:val="0"/>
      <w:divBdr>
        <w:top w:val="none" w:sz="0" w:space="0" w:color="auto"/>
        <w:left w:val="none" w:sz="0" w:space="0" w:color="auto"/>
        <w:bottom w:val="none" w:sz="0" w:space="0" w:color="auto"/>
        <w:right w:val="none" w:sz="0" w:space="0" w:color="auto"/>
      </w:divBdr>
    </w:div>
    <w:div w:id="474447418">
      <w:bodyDiv w:val="1"/>
      <w:marLeft w:val="0"/>
      <w:marRight w:val="0"/>
      <w:marTop w:val="0"/>
      <w:marBottom w:val="0"/>
      <w:divBdr>
        <w:top w:val="none" w:sz="0" w:space="0" w:color="auto"/>
        <w:left w:val="none" w:sz="0" w:space="0" w:color="auto"/>
        <w:bottom w:val="none" w:sz="0" w:space="0" w:color="auto"/>
        <w:right w:val="none" w:sz="0" w:space="0" w:color="auto"/>
      </w:divBdr>
    </w:div>
    <w:div w:id="485972716">
      <w:bodyDiv w:val="1"/>
      <w:marLeft w:val="0"/>
      <w:marRight w:val="0"/>
      <w:marTop w:val="0"/>
      <w:marBottom w:val="0"/>
      <w:divBdr>
        <w:top w:val="none" w:sz="0" w:space="0" w:color="auto"/>
        <w:left w:val="none" w:sz="0" w:space="0" w:color="auto"/>
        <w:bottom w:val="none" w:sz="0" w:space="0" w:color="auto"/>
        <w:right w:val="none" w:sz="0" w:space="0" w:color="auto"/>
      </w:divBdr>
      <w:divsChild>
        <w:div w:id="350961943">
          <w:marLeft w:val="0"/>
          <w:marRight w:val="0"/>
          <w:marTop w:val="0"/>
          <w:marBottom w:val="0"/>
          <w:divBdr>
            <w:top w:val="none" w:sz="0" w:space="0" w:color="auto"/>
            <w:left w:val="none" w:sz="0" w:space="0" w:color="auto"/>
            <w:bottom w:val="none" w:sz="0" w:space="0" w:color="auto"/>
            <w:right w:val="none" w:sz="0" w:space="0" w:color="auto"/>
          </w:divBdr>
          <w:divsChild>
            <w:div w:id="700125909">
              <w:marLeft w:val="0"/>
              <w:marRight w:val="0"/>
              <w:marTop w:val="0"/>
              <w:marBottom w:val="0"/>
              <w:divBdr>
                <w:top w:val="none" w:sz="0" w:space="0" w:color="auto"/>
                <w:left w:val="none" w:sz="0" w:space="0" w:color="auto"/>
                <w:bottom w:val="none" w:sz="0" w:space="0" w:color="auto"/>
                <w:right w:val="none" w:sz="0" w:space="0" w:color="auto"/>
              </w:divBdr>
              <w:divsChild>
                <w:div w:id="1418089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0947791">
      <w:bodyDiv w:val="1"/>
      <w:marLeft w:val="0"/>
      <w:marRight w:val="0"/>
      <w:marTop w:val="0"/>
      <w:marBottom w:val="0"/>
      <w:divBdr>
        <w:top w:val="none" w:sz="0" w:space="0" w:color="auto"/>
        <w:left w:val="none" w:sz="0" w:space="0" w:color="auto"/>
        <w:bottom w:val="none" w:sz="0" w:space="0" w:color="auto"/>
        <w:right w:val="none" w:sz="0" w:space="0" w:color="auto"/>
      </w:divBdr>
    </w:div>
    <w:div w:id="567964181">
      <w:bodyDiv w:val="1"/>
      <w:marLeft w:val="0"/>
      <w:marRight w:val="0"/>
      <w:marTop w:val="0"/>
      <w:marBottom w:val="0"/>
      <w:divBdr>
        <w:top w:val="none" w:sz="0" w:space="0" w:color="auto"/>
        <w:left w:val="none" w:sz="0" w:space="0" w:color="auto"/>
        <w:bottom w:val="none" w:sz="0" w:space="0" w:color="auto"/>
        <w:right w:val="none" w:sz="0" w:space="0" w:color="auto"/>
      </w:divBdr>
    </w:div>
    <w:div w:id="570383421">
      <w:bodyDiv w:val="1"/>
      <w:marLeft w:val="0"/>
      <w:marRight w:val="0"/>
      <w:marTop w:val="0"/>
      <w:marBottom w:val="0"/>
      <w:divBdr>
        <w:top w:val="none" w:sz="0" w:space="0" w:color="auto"/>
        <w:left w:val="none" w:sz="0" w:space="0" w:color="auto"/>
        <w:bottom w:val="none" w:sz="0" w:space="0" w:color="auto"/>
        <w:right w:val="none" w:sz="0" w:space="0" w:color="auto"/>
      </w:divBdr>
    </w:div>
    <w:div w:id="591083962">
      <w:bodyDiv w:val="1"/>
      <w:marLeft w:val="0"/>
      <w:marRight w:val="0"/>
      <w:marTop w:val="0"/>
      <w:marBottom w:val="0"/>
      <w:divBdr>
        <w:top w:val="none" w:sz="0" w:space="0" w:color="auto"/>
        <w:left w:val="none" w:sz="0" w:space="0" w:color="auto"/>
        <w:bottom w:val="none" w:sz="0" w:space="0" w:color="auto"/>
        <w:right w:val="none" w:sz="0" w:space="0" w:color="auto"/>
      </w:divBdr>
    </w:div>
    <w:div w:id="601886394">
      <w:bodyDiv w:val="1"/>
      <w:marLeft w:val="0"/>
      <w:marRight w:val="0"/>
      <w:marTop w:val="0"/>
      <w:marBottom w:val="0"/>
      <w:divBdr>
        <w:top w:val="none" w:sz="0" w:space="0" w:color="auto"/>
        <w:left w:val="none" w:sz="0" w:space="0" w:color="auto"/>
        <w:bottom w:val="none" w:sz="0" w:space="0" w:color="auto"/>
        <w:right w:val="none" w:sz="0" w:space="0" w:color="auto"/>
      </w:divBdr>
    </w:div>
    <w:div w:id="607737103">
      <w:bodyDiv w:val="1"/>
      <w:marLeft w:val="0"/>
      <w:marRight w:val="0"/>
      <w:marTop w:val="0"/>
      <w:marBottom w:val="0"/>
      <w:divBdr>
        <w:top w:val="none" w:sz="0" w:space="0" w:color="auto"/>
        <w:left w:val="none" w:sz="0" w:space="0" w:color="auto"/>
        <w:bottom w:val="none" w:sz="0" w:space="0" w:color="auto"/>
        <w:right w:val="none" w:sz="0" w:space="0" w:color="auto"/>
      </w:divBdr>
    </w:div>
    <w:div w:id="618609282">
      <w:bodyDiv w:val="1"/>
      <w:marLeft w:val="0"/>
      <w:marRight w:val="0"/>
      <w:marTop w:val="0"/>
      <w:marBottom w:val="0"/>
      <w:divBdr>
        <w:top w:val="none" w:sz="0" w:space="0" w:color="auto"/>
        <w:left w:val="none" w:sz="0" w:space="0" w:color="auto"/>
        <w:bottom w:val="none" w:sz="0" w:space="0" w:color="auto"/>
        <w:right w:val="none" w:sz="0" w:space="0" w:color="auto"/>
      </w:divBdr>
    </w:div>
    <w:div w:id="623387043">
      <w:bodyDiv w:val="1"/>
      <w:marLeft w:val="0"/>
      <w:marRight w:val="0"/>
      <w:marTop w:val="0"/>
      <w:marBottom w:val="0"/>
      <w:divBdr>
        <w:top w:val="none" w:sz="0" w:space="0" w:color="auto"/>
        <w:left w:val="none" w:sz="0" w:space="0" w:color="auto"/>
        <w:bottom w:val="none" w:sz="0" w:space="0" w:color="auto"/>
        <w:right w:val="none" w:sz="0" w:space="0" w:color="auto"/>
      </w:divBdr>
    </w:div>
    <w:div w:id="624969957">
      <w:bodyDiv w:val="1"/>
      <w:marLeft w:val="0"/>
      <w:marRight w:val="0"/>
      <w:marTop w:val="0"/>
      <w:marBottom w:val="0"/>
      <w:divBdr>
        <w:top w:val="none" w:sz="0" w:space="0" w:color="auto"/>
        <w:left w:val="none" w:sz="0" w:space="0" w:color="auto"/>
        <w:bottom w:val="none" w:sz="0" w:space="0" w:color="auto"/>
        <w:right w:val="none" w:sz="0" w:space="0" w:color="auto"/>
      </w:divBdr>
    </w:div>
    <w:div w:id="646010231">
      <w:bodyDiv w:val="1"/>
      <w:marLeft w:val="0"/>
      <w:marRight w:val="0"/>
      <w:marTop w:val="0"/>
      <w:marBottom w:val="0"/>
      <w:divBdr>
        <w:top w:val="none" w:sz="0" w:space="0" w:color="auto"/>
        <w:left w:val="none" w:sz="0" w:space="0" w:color="auto"/>
        <w:bottom w:val="none" w:sz="0" w:space="0" w:color="auto"/>
        <w:right w:val="none" w:sz="0" w:space="0" w:color="auto"/>
      </w:divBdr>
    </w:div>
    <w:div w:id="673335765">
      <w:bodyDiv w:val="1"/>
      <w:marLeft w:val="0"/>
      <w:marRight w:val="0"/>
      <w:marTop w:val="0"/>
      <w:marBottom w:val="0"/>
      <w:divBdr>
        <w:top w:val="none" w:sz="0" w:space="0" w:color="auto"/>
        <w:left w:val="none" w:sz="0" w:space="0" w:color="auto"/>
        <w:bottom w:val="none" w:sz="0" w:space="0" w:color="auto"/>
        <w:right w:val="none" w:sz="0" w:space="0" w:color="auto"/>
      </w:divBdr>
    </w:div>
    <w:div w:id="677150194">
      <w:bodyDiv w:val="1"/>
      <w:marLeft w:val="0"/>
      <w:marRight w:val="0"/>
      <w:marTop w:val="0"/>
      <w:marBottom w:val="0"/>
      <w:divBdr>
        <w:top w:val="none" w:sz="0" w:space="0" w:color="auto"/>
        <w:left w:val="none" w:sz="0" w:space="0" w:color="auto"/>
        <w:bottom w:val="none" w:sz="0" w:space="0" w:color="auto"/>
        <w:right w:val="none" w:sz="0" w:space="0" w:color="auto"/>
      </w:divBdr>
    </w:div>
    <w:div w:id="749891239">
      <w:bodyDiv w:val="1"/>
      <w:marLeft w:val="0"/>
      <w:marRight w:val="0"/>
      <w:marTop w:val="0"/>
      <w:marBottom w:val="0"/>
      <w:divBdr>
        <w:top w:val="none" w:sz="0" w:space="0" w:color="auto"/>
        <w:left w:val="none" w:sz="0" w:space="0" w:color="auto"/>
        <w:bottom w:val="none" w:sz="0" w:space="0" w:color="auto"/>
        <w:right w:val="none" w:sz="0" w:space="0" w:color="auto"/>
      </w:divBdr>
    </w:div>
    <w:div w:id="753285112">
      <w:bodyDiv w:val="1"/>
      <w:marLeft w:val="0"/>
      <w:marRight w:val="0"/>
      <w:marTop w:val="0"/>
      <w:marBottom w:val="0"/>
      <w:divBdr>
        <w:top w:val="none" w:sz="0" w:space="0" w:color="auto"/>
        <w:left w:val="none" w:sz="0" w:space="0" w:color="auto"/>
        <w:bottom w:val="none" w:sz="0" w:space="0" w:color="auto"/>
        <w:right w:val="none" w:sz="0" w:space="0" w:color="auto"/>
      </w:divBdr>
    </w:div>
    <w:div w:id="754208351">
      <w:bodyDiv w:val="1"/>
      <w:marLeft w:val="0"/>
      <w:marRight w:val="0"/>
      <w:marTop w:val="0"/>
      <w:marBottom w:val="0"/>
      <w:divBdr>
        <w:top w:val="none" w:sz="0" w:space="0" w:color="auto"/>
        <w:left w:val="none" w:sz="0" w:space="0" w:color="auto"/>
        <w:bottom w:val="none" w:sz="0" w:space="0" w:color="auto"/>
        <w:right w:val="none" w:sz="0" w:space="0" w:color="auto"/>
      </w:divBdr>
    </w:div>
    <w:div w:id="766585255">
      <w:bodyDiv w:val="1"/>
      <w:marLeft w:val="0"/>
      <w:marRight w:val="0"/>
      <w:marTop w:val="0"/>
      <w:marBottom w:val="0"/>
      <w:divBdr>
        <w:top w:val="none" w:sz="0" w:space="0" w:color="auto"/>
        <w:left w:val="none" w:sz="0" w:space="0" w:color="auto"/>
        <w:bottom w:val="none" w:sz="0" w:space="0" w:color="auto"/>
        <w:right w:val="none" w:sz="0" w:space="0" w:color="auto"/>
      </w:divBdr>
    </w:div>
    <w:div w:id="780105166">
      <w:bodyDiv w:val="1"/>
      <w:marLeft w:val="0"/>
      <w:marRight w:val="0"/>
      <w:marTop w:val="0"/>
      <w:marBottom w:val="0"/>
      <w:divBdr>
        <w:top w:val="none" w:sz="0" w:space="0" w:color="auto"/>
        <w:left w:val="none" w:sz="0" w:space="0" w:color="auto"/>
        <w:bottom w:val="none" w:sz="0" w:space="0" w:color="auto"/>
        <w:right w:val="none" w:sz="0" w:space="0" w:color="auto"/>
      </w:divBdr>
      <w:divsChild>
        <w:div w:id="637340163">
          <w:marLeft w:val="547"/>
          <w:marRight w:val="0"/>
          <w:marTop w:val="0"/>
          <w:marBottom w:val="0"/>
          <w:divBdr>
            <w:top w:val="none" w:sz="0" w:space="0" w:color="auto"/>
            <w:left w:val="none" w:sz="0" w:space="0" w:color="auto"/>
            <w:bottom w:val="none" w:sz="0" w:space="0" w:color="auto"/>
            <w:right w:val="none" w:sz="0" w:space="0" w:color="auto"/>
          </w:divBdr>
        </w:div>
        <w:div w:id="650213784">
          <w:marLeft w:val="547"/>
          <w:marRight w:val="0"/>
          <w:marTop w:val="0"/>
          <w:marBottom w:val="0"/>
          <w:divBdr>
            <w:top w:val="none" w:sz="0" w:space="0" w:color="auto"/>
            <w:left w:val="none" w:sz="0" w:space="0" w:color="auto"/>
            <w:bottom w:val="none" w:sz="0" w:space="0" w:color="auto"/>
            <w:right w:val="none" w:sz="0" w:space="0" w:color="auto"/>
          </w:divBdr>
        </w:div>
        <w:div w:id="831682232">
          <w:marLeft w:val="547"/>
          <w:marRight w:val="0"/>
          <w:marTop w:val="0"/>
          <w:marBottom w:val="0"/>
          <w:divBdr>
            <w:top w:val="none" w:sz="0" w:space="0" w:color="auto"/>
            <w:left w:val="none" w:sz="0" w:space="0" w:color="auto"/>
            <w:bottom w:val="none" w:sz="0" w:space="0" w:color="auto"/>
            <w:right w:val="none" w:sz="0" w:space="0" w:color="auto"/>
          </w:divBdr>
        </w:div>
        <w:div w:id="1457916357">
          <w:marLeft w:val="547"/>
          <w:marRight w:val="0"/>
          <w:marTop w:val="0"/>
          <w:marBottom w:val="0"/>
          <w:divBdr>
            <w:top w:val="none" w:sz="0" w:space="0" w:color="auto"/>
            <w:left w:val="none" w:sz="0" w:space="0" w:color="auto"/>
            <w:bottom w:val="none" w:sz="0" w:space="0" w:color="auto"/>
            <w:right w:val="none" w:sz="0" w:space="0" w:color="auto"/>
          </w:divBdr>
        </w:div>
        <w:div w:id="1958632255">
          <w:marLeft w:val="547"/>
          <w:marRight w:val="0"/>
          <w:marTop w:val="0"/>
          <w:marBottom w:val="0"/>
          <w:divBdr>
            <w:top w:val="none" w:sz="0" w:space="0" w:color="auto"/>
            <w:left w:val="none" w:sz="0" w:space="0" w:color="auto"/>
            <w:bottom w:val="none" w:sz="0" w:space="0" w:color="auto"/>
            <w:right w:val="none" w:sz="0" w:space="0" w:color="auto"/>
          </w:divBdr>
        </w:div>
      </w:divsChild>
    </w:div>
    <w:div w:id="787433921">
      <w:bodyDiv w:val="1"/>
      <w:marLeft w:val="0"/>
      <w:marRight w:val="0"/>
      <w:marTop w:val="0"/>
      <w:marBottom w:val="0"/>
      <w:divBdr>
        <w:top w:val="none" w:sz="0" w:space="0" w:color="auto"/>
        <w:left w:val="none" w:sz="0" w:space="0" w:color="auto"/>
        <w:bottom w:val="none" w:sz="0" w:space="0" w:color="auto"/>
        <w:right w:val="none" w:sz="0" w:space="0" w:color="auto"/>
      </w:divBdr>
    </w:div>
    <w:div w:id="862936689">
      <w:bodyDiv w:val="1"/>
      <w:marLeft w:val="0"/>
      <w:marRight w:val="0"/>
      <w:marTop w:val="0"/>
      <w:marBottom w:val="0"/>
      <w:divBdr>
        <w:top w:val="none" w:sz="0" w:space="0" w:color="auto"/>
        <w:left w:val="none" w:sz="0" w:space="0" w:color="auto"/>
        <w:bottom w:val="none" w:sz="0" w:space="0" w:color="auto"/>
        <w:right w:val="none" w:sz="0" w:space="0" w:color="auto"/>
      </w:divBdr>
    </w:div>
    <w:div w:id="879903777">
      <w:bodyDiv w:val="1"/>
      <w:marLeft w:val="0"/>
      <w:marRight w:val="0"/>
      <w:marTop w:val="0"/>
      <w:marBottom w:val="0"/>
      <w:divBdr>
        <w:top w:val="none" w:sz="0" w:space="0" w:color="auto"/>
        <w:left w:val="none" w:sz="0" w:space="0" w:color="auto"/>
        <w:bottom w:val="none" w:sz="0" w:space="0" w:color="auto"/>
        <w:right w:val="none" w:sz="0" w:space="0" w:color="auto"/>
      </w:divBdr>
    </w:div>
    <w:div w:id="883101089">
      <w:bodyDiv w:val="1"/>
      <w:marLeft w:val="0"/>
      <w:marRight w:val="0"/>
      <w:marTop w:val="0"/>
      <w:marBottom w:val="0"/>
      <w:divBdr>
        <w:top w:val="none" w:sz="0" w:space="0" w:color="auto"/>
        <w:left w:val="none" w:sz="0" w:space="0" w:color="auto"/>
        <w:bottom w:val="none" w:sz="0" w:space="0" w:color="auto"/>
        <w:right w:val="none" w:sz="0" w:space="0" w:color="auto"/>
      </w:divBdr>
    </w:div>
    <w:div w:id="898781743">
      <w:bodyDiv w:val="1"/>
      <w:marLeft w:val="0"/>
      <w:marRight w:val="0"/>
      <w:marTop w:val="0"/>
      <w:marBottom w:val="0"/>
      <w:divBdr>
        <w:top w:val="none" w:sz="0" w:space="0" w:color="auto"/>
        <w:left w:val="none" w:sz="0" w:space="0" w:color="auto"/>
        <w:bottom w:val="none" w:sz="0" w:space="0" w:color="auto"/>
        <w:right w:val="none" w:sz="0" w:space="0" w:color="auto"/>
      </w:divBdr>
    </w:div>
    <w:div w:id="909927421">
      <w:bodyDiv w:val="1"/>
      <w:marLeft w:val="0"/>
      <w:marRight w:val="0"/>
      <w:marTop w:val="0"/>
      <w:marBottom w:val="0"/>
      <w:divBdr>
        <w:top w:val="none" w:sz="0" w:space="0" w:color="auto"/>
        <w:left w:val="none" w:sz="0" w:space="0" w:color="auto"/>
        <w:bottom w:val="none" w:sz="0" w:space="0" w:color="auto"/>
        <w:right w:val="none" w:sz="0" w:space="0" w:color="auto"/>
      </w:divBdr>
    </w:div>
    <w:div w:id="934509314">
      <w:bodyDiv w:val="1"/>
      <w:marLeft w:val="0"/>
      <w:marRight w:val="0"/>
      <w:marTop w:val="0"/>
      <w:marBottom w:val="0"/>
      <w:divBdr>
        <w:top w:val="none" w:sz="0" w:space="0" w:color="auto"/>
        <w:left w:val="none" w:sz="0" w:space="0" w:color="auto"/>
        <w:bottom w:val="none" w:sz="0" w:space="0" w:color="auto"/>
        <w:right w:val="none" w:sz="0" w:space="0" w:color="auto"/>
      </w:divBdr>
      <w:divsChild>
        <w:div w:id="32387035">
          <w:marLeft w:val="0"/>
          <w:marRight w:val="0"/>
          <w:marTop w:val="0"/>
          <w:marBottom w:val="0"/>
          <w:divBdr>
            <w:top w:val="none" w:sz="0" w:space="0" w:color="auto"/>
            <w:left w:val="none" w:sz="0" w:space="0" w:color="auto"/>
            <w:bottom w:val="none" w:sz="0" w:space="0" w:color="auto"/>
            <w:right w:val="none" w:sz="0" w:space="0" w:color="auto"/>
          </w:divBdr>
        </w:div>
        <w:div w:id="196284981">
          <w:marLeft w:val="0"/>
          <w:marRight w:val="0"/>
          <w:marTop w:val="0"/>
          <w:marBottom w:val="0"/>
          <w:divBdr>
            <w:top w:val="none" w:sz="0" w:space="0" w:color="auto"/>
            <w:left w:val="none" w:sz="0" w:space="0" w:color="auto"/>
            <w:bottom w:val="none" w:sz="0" w:space="0" w:color="auto"/>
            <w:right w:val="none" w:sz="0" w:space="0" w:color="auto"/>
          </w:divBdr>
          <w:divsChild>
            <w:div w:id="470709781">
              <w:marLeft w:val="0"/>
              <w:marRight w:val="0"/>
              <w:marTop w:val="0"/>
              <w:marBottom w:val="0"/>
              <w:divBdr>
                <w:top w:val="none" w:sz="0" w:space="0" w:color="auto"/>
                <w:left w:val="none" w:sz="0" w:space="0" w:color="auto"/>
                <w:bottom w:val="none" w:sz="0" w:space="0" w:color="auto"/>
                <w:right w:val="none" w:sz="0" w:space="0" w:color="auto"/>
              </w:divBdr>
            </w:div>
            <w:div w:id="745343303">
              <w:marLeft w:val="0"/>
              <w:marRight w:val="0"/>
              <w:marTop w:val="0"/>
              <w:marBottom w:val="0"/>
              <w:divBdr>
                <w:top w:val="none" w:sz="0" w:space="0" w:color="auto"/>
                <w:left w:val="none" w:sz="0" w:space="0" w:color="auto"/>
                <w:bottom w:val="none" w:sz="0" w:space="0" w:color="auto"/>
                <w:right w:val="none" w:sz="0" w:space="0" w:color="auto"/>
              </w:divBdr>
            </w:div>
            <w:div w:id="1214973069">
              <w:marLeft w:val="0"/>
              <w:marRight w:val="0"/>
              <w:marTop w:val="0"/>
              <w:marBottom w:val="0"/>
              <w:divBdr>
                <w:top w:val="none" w:sz="0" w:space="0" w:color="auto"/>
                <w:left w:val="none" w:sz="0" w:space="0" w:color="auto"/>
                <w:bottom w:val="none" w:sz="0" w:space="0" w:color="auto"/>
                <w:right w:val="none" w:sz="0" w:space="0" w:color="auto"/>
              </w:divBdr>
            </w:div>
            <w:div w:id="1593128911">
              <w:marLeft w:val="0"/>
              <w:marRight w:val="0"/>
              <w:marTop w:val="0"/>
              <w:marBottom w:val="0"/>
              <w:divBdr>
                <w:top w:val="none" w:sz="0" w:space="0" w:color="auto"/>
                <w:left w:val="none" w:sz="0" w:space="0" w:color="auto"/>
                <w:bottom w:val="none" w:sz="0" w:space="0" w:color="auto"/>
                <w:right w:val="none" w:sz="0" w:space="0" w:color="auto"/>
              </w:divBdr>
            </w:div>
            <w:div w:id="1598825158">
              <w:marLeft w:val="0"/>
              <w:marRight w:val="0"/>
              <w:marTop w:val="0"/>
              <w:marBottom w:val="0"/>
              <w:divBdr>
                <w:top w:val="none" w:sz="0" w:space="0" w:color="auto"/>
                <w:left w:val="none" w:sz="0" w:space="0" w:color="auto"/>
                <w:bottom w:val="none" w:sz="0" w:space="0" w:color="auto"/>
                <w:right w:val="none" w:sz="0" w:space="0" w:color="auto"/>
              </w:divBdr>
            </w:div>
            <w:div w:id="1692296708">
              <w:marLeft w:val="0"/>
              <w:marRight w:val="0"/>
              <w:marTop w:val="0"/>
              <w:marBottom w:val="0"/>
              <w:divBdr>
                <w:top w:val="none" w:sz="0" w:space="0" w:color="auto"/>
                <w:left w:val="none" w:sz="0" w:space="0" w:color="auto"/>
                <w:bottom w:val="none" w:sz="0" w:space="0" w:color="auto"/>
                <w:right w:val="none" w:sz="0" w:space="0" w:color="auto"/>
              </w:divBdr>
            </w:div>
          </w:divsChild>
        </w:div>
        <w:div w:id="326062223">
          <w:marLeft w:val="0"/>
          <w:marRight w:val="0"/>
          <w:marTop w:val="0"/>
          <w:marBottom w:val="0"/>
          <w:divBdr>
            <w:top w:val="none" w:sz="0" w:space="0" w:color="auto"/>
            <w:left w:val="none" w:sz="0" w:space="0" w:color="auto"/>
            <w:bottom w:val="none" w:sz="0" w:space="0" w:color="auto"/>
            <w:right w:val="none" w:sz="0" w:space="0" w:color="auto"/>
          </w:divBdr>
        </w:div>
        <w:div w:id="423381606">
          <w:marLeft w:val="0"/>
          <w:marRight w:val="0"/>
          <w:marTop w:val="0"/>
          <w:marBottom w:val="0"/>
          <w:divBdr>
            <w:top w:val="none" w:sz="0" w:space="0" w:color="auto"/>
            <w:left w:val="none" w:sz="0" w:space="0" w:color="auto"/>
            <w:bottom w:val="none" w:sz="0" w:space="0" w:color="auto"/>
            <w:right w:val="none" w:sz="0" w:space="0" w:color="auto"/>
          </w:divBdr>
        </w:div>
        <w:div w:id="979651254">
          <w:marLeft w:val="0"/>
          <w:marRight w:val="0"/>
          <w:marTop w:val="0"/>
          <w:marBottom w:val="0"/>
          <w:divBdr>
            <w:top w:val="none" w:sz="0" w:space="0" w:color="auto"/>
            <w:left w:val="none" w:sz="0" w:space="0" w:color="auto"/>
            <w:bottom w:val="none" w:sz="0" w:space="0" w:color="auto"/>
            <w:right w:val="none" w:sz="0" w:space="0" w:color="auto"/>
          </w:divBdr>
          <w:divsChild>
            <w:div w:id="1327901624">
              <w:marLeft w:val="0"/>
              <w:marRight w:val="0"/>
              <w:marTop w:val="0"/>
              <w:marBottom w:val="0"/>
              <w:divBdr>
                <w:top w:val="none" w:sz="0" w:space="0" w:color="auto"/>
                <w:left w:val="none" w:sz="0" w:space="0" w:color="auto"/>
                <w:bottom w:val="none" w:sz="0" w:space="0" w:color="auto"/>
                <w:right w:val="none" w:sz="0" w:space="0" w:color="auto"/>
              </w:divBdr>
              <w:divsChild>
                <w:div w:id="157902">
                  <w:marLeft w:val="0"/>
                  <w:marRight w:val="0"/>
                  <w:marTop w:val="0"/>
                  <w:marBottom w:val="0"/>
                  <w:divBdr>
                    <w:top w:val="none" w:sz="0" w:space="0" w:color="auto"/>
                    <w:left w:val="none" w:sz="0" w:space="0" w:color="auto"/>
                    <w:bottom w:val="none" w:sz="0" w:space="0" w:color="auto"/>
                    <w:right w:val="none" w:sz="0" w:space="0" w:color="auto"/>
                  </w:divBdr>
                  <w:divsChild>
                    <w:div w:id="239684106">
                      <w:marLeft w:val="0"/>
                      <w:marRight w:val="0"/>
                      <w:marTop w:val="0"/>
                      <w:marBottom w:val="0"/>
                      <w:divBdr>
                        <w:top w:val="none" w:sz="0" w:space="0" w:color="auto"/>
                        <w:left w:val="none" w:sz="0" w:space="0" w:color="auto"/>
                        <w:bottom w:val="none" w:sz="0" w:space="0" w:color="auto"/>
                        <w:right w:val="none" w:sz="0" w:space="0" w:color="auto"/>
                      </w:divBdr>
                    </w:div>
                  </w:divsChild>
                </w:div>
                <w:div w:id="9643396">
                  <w:marLeft w:val="0"/>
                  <w:marRight w:val="0"/>
                  <w:marTop w:val="0"/>
                  <w:marBottom w:val="0"/>
                  <w:divBdr>
                    <w:top w:val="none" w:sz="0" w:space="0" w:color="auto"/>
                    <w:left w:val="none" w:sz="0" w:space="0" w:color="auto"/>
                    <w:bottom w:val="none" w:sz="0" w:space="0" w:color="auto"/>
                    <w:right w:val="none" w:sz="0" w:space="0" w:color="auto"/>
                  </w:divBdr>
                  <w:divsChild>
                    <w:div w:id="1623416348">
                      <w:marLeft w:val="0"/>
                      <w:marRight w:val="0"/>
                      <w:marTop w:val="0"/>
                      <w:marBottom w:val="0"/>
                      <w:divBdr>
                        <w:top w:val="none" w:sz="0" w:space="0" w:color="auto"/>
                        <w:left w:val="none" w:sz="0" w:space="0" w:color="auto"/>
                        <w:bottom w:val="none" w:sz="0" w:space="0" w:color="auto"/>
                        <w:right w:val="none" w:sz="0" w:space="0" w:color="auto"/>
                      </w:divBdr>
                    </w:div>
                  </w:divsChild>
                </w:div>
                <w:div w:id="31540867">
                  <w:marLeft w:val="0"/>
                  <w:marRight w:val="0"/>
                  <w:marTop w:val="0"/>
                  <w:marBottom w:val="0"/>
                  <w:divBdr>
                    <w:top w:val="none" w:sz="0" w:space="0" w:color="auto"/>
                    <w:left w:val="none" w:sz="0" w:space="0" w:color="auto"/>
                    <w:bottom w:val="none" w:sz="0" w:space="0" w:color="auto"/>
                    <w:right w:val="none" w:sz="0" w:space="0" w:color="auto"/>
                  </w:divBdr>
                  <w:divsChild>
                    <w:div w:id="284122175">
                      <w:marLeft w:val="0"/>
                      <w:marRight w:val="0"/>
                      <w:marTop w:val="0"/>
                      <w:marBottom w:val="0"/>
                      <w:divBdr>
                        <w:top w:val="none" w:sz="0" w:space="0" w:color="auto"/>
                        <w:left w:val="none" w:sz="0" w:space="0" w:color="auto"/>
                        <w:bottom w:val="none" w:sz="0" w:space="0" w:color="auto"/>
                        <w:right w:val="none" w:sz="0" w:space="0" w:color="auto"/>
                      </w:divBdr>
                    </w:div>
                  </w:divsChild>
                </w:div>
                <w:div w:id="73867737">
                  <w:marLeft w:val="0"/>
                  <w:marRight w:val="0"/>
                  <w:marTop w:val="0"/>
                  <w:marBottom w:val="0"/>
                  <w:divBdr>
                    <w:top w:val="none" w:sz="0" w:space="0" w:color="auto"/>
                    <w:left w:val="none" w:sz="0" w:space="0" w:color="auto"/>
                    <w:bottom w:val="none" w:sz="0" w:space="0" w:color="auto"/>
                    <w:right w:val="none" w:sz="0" w:space="0" w:color="auto"/>
                  </w:divBdr>
                  <w:divsChild>
                    <w:div w:id="1415392302">
                      <w:marLeft w:val="0"/>
                      <w:marRight w:val="0"/>
                      <w:marTop w:val="0"/>
                      <w:marBottom w:val="0"/>
                      <w:divBdr>
                        <w:top w:val="none" w:sz="0" w:space="0" w:color="auto"/>
                        <w:left w:val="none" w:sz="0" w:space="0" w:color="auto"/>
                        <w:bottom w:val="none" w:sz="0" w:space="0" w:color="auto"/>
                        <w:right w:val="none" w:sz="0" w:space="0" w:color="auto"/>
                      </w:divBdr>
                    </w:div>
                  </w:divsChild>
                </w:div>
                <w:div w:id="104661832">
                  <w:marLeft w:val="0"/>
                  <w:marRight w:val="0"/>
                  <w:marTop w:val="0"/>
                  <w:marBottom w:val="0"/>
                  <w:divBdr>
                    <w:top w:val="none" w:sz="0" w:space="0" w:color="auto"/>
                    <w:left w:val="none" w:sz="0" w:space="0" w:color="auto"/>
                    <w:bottom w:val="none" w:sz="0" w:space="0" w:color="auto"/>
                    <w:right w:val="none" w:sz="0" w:space="0" w:color="auto"/>
                  </w:divBdr>
                  <w:divsChild>
                    <w:div w:id="605500596">
                      <w:marLeft w:val="0"/>
                      <w:marRight w:val="0"/>
                      <w:marTop w:val="0"/>
                      <w:marBottom w:val="0"/>
                      <w:divBdr>
                        <w:top w:val="none" w:sz="0" w:space="0" w:color="auto"/>
                        <w:left w:val="none" w:sz="0" w:space="0" w:color="auto"/>
                        <w:bottom w:val="none" w:sz="0" w:space="0" w:color="auto"/>
                        <w:right w:val="none" w:sz="0" w:space="0" w:color="auto"/>
                      </w:divBdr>
                    </w:div>
                    <w:div w:id="1243300853">
                      <w:marLeft w:val="0"/>
                      <w:marRight w:val="0"/>
                      <w:marTop w:val="0"/>
                      <w:marBottom w:val="0"/>
                      <w:divBdr>
                        <w:top w:val="none" w:sz="0" w:space="0" w:color="auto"/>
                        <w:left w:val="none" w:sz="0" w:space="0" w:color="auto"/>
                        <w:bottom w:val="none" w:sz="0" w:space="0" w:color="auto"/>
                        <w:right w:val="none" w:sz="0" w:space="0" w:color="auto"/>
                      </w:divBdr>
                    </w:div>
                  </w:divsChild>
                </w:div>
                <w:div w:id="107160448">
                  <w:marLeft w:val="0"/>
                  <w:marRight w:val="0"/>
                  <w:marTop w:val="0"/>
                  <w:marBottom w:val="0"/>
                  <w:divBdr>
                    <w:top w:val="none" w:sz="0" w:space="0" w:color="auto"/>
                    <w:left w:val="none" w:sz="0" w:space="0" w:color="auto"/>
                    <w:bottom w:val="none" w:sz="0" w:space="0" w:color="auto"/>
                    <w:right w:val="none" w:sz="0" w:space="0" w:color="auto"/>
                  </w:divBdr>
                  <w:divsChild>
                    <w:div w:id="1459029566">
                      <w:marLeft w:val="0"/>
                      <w:marRight w:val="0"/>
                      <w:marTop w:val="0"/>
                      <w:marBottom w:val="0"/>
                      <w:divBdr>
                        <w:top w:val="none" w:sz="0" w:space="0" w:color="auto"/>
                        <w:left w:val="none" w:sz="0" w:space="0" w:color="auto"/>
                        <w:bottom w:val="none" w:sz="0" w:space="0" w:color="auto"/>
                        <w:right w:val="none" w:sz="0" w:space="0" w:color="auto"/>
                      </w:divBdr>
                    </w:div>
                  </w:divsChild>
                </w:div>
                <w:div w:id="130827787">
                  <w:marLeft w:val="0"/>
                  <w:marRight w:val="0"/>
                  <w:marTop w:val="0"/>
                  <w:marBottom w:val="0"/>
                  <w:divBdr>
                    <w:top w:val="none" w:sz="0" w:space="0" w:color="auto"/>
                    <w:left w:val="none" w:sz="0" w:space="0" w:color="auto"/>
                    <w:bottom w:val="none" w:sz="0" w:space="0" w:color="auto"/>
                    <w:right w:val="none" w:sz="0" w:space="0" w:color="auto"/>
                  </w:divBdr>
                  <w:divsChild>
                    <w:div w:id="642856073">
                      <w:marLeft w:val="0"/>
                      <w:marRight w:val="0"/>
                      <w:marTop w:val="0"/>
                      <w:marBottom w:val="0"/>
                      <w:divBdr>
                        <w:top w:val="none" w:sz="0" w:space="0" w:color="auto"/>
                        <w:left w:val="none" w:sz="0" w:space="0" w:color="auto"/>
                        <w:bottom w:val="none" w:sz="0" w:space="0" w:color="auto"/>
                        <w:right w:val="none" w:sz="0" w:space="0" w:color="auto"/>
                      </w:divBdr>
                    </w:div>
                  </w:divsChild>
                </w:div>
                <w:div w:id="130943976">
                  <w:marLeft w:val="0"/>
                  <w:marRight w:val="0"/>
                  <w:marTop w:val="0"/>
                  <w:marBottom w:val="0"/>
                  <w:divBdr>
                    <w:top w:val="none" w:sz="0" w:space="0" w:color="auto"/>
                    <w:left w:val="none" w:sz="0" w:space="0" w:color="auto"/>
                    <w:bottom w:val="none" w:sz="0" w:space="0" w:color="auto"/>
                    <w:right w:val="none" w:sz="0" w:space="0" w:color="auto"/>
                  </w:divBdr>
                  <w:divsChild>
                    <w:div w:id="1863595018">
                      <w:marLeft w:val="0"/>
                      <w:marRight w:val="0"/>
                      <w:marTop w:val="0"/>
                      <w:marBottom w:val="0"/>
                      <w:divBdr>
                        <w:top w:val="none" w:sz="0" w:space="0" w:color="auto"/>
                        <w:left w:val="none" w:sz="0" w:space="0" w:color="auto"/>
                        <w:bottom w:val="none" w:sz="0" w:space="0" w:color="auto"/>
                        <w:right w:val="none" w:sz="0" w:space="0" w:color="auto"/>
                      </w:divBdr>
                    </w:div>
                  </w:divsChild>
                </w:div>
                <w:div w:id="170294393">
                  <w:marLeft w:val="0"/>
                  <w:marRight w:val="0"/>
                  <w:marTop w:val="0"/>
                  <w:marBottom w:val="0"/>
                  <w:divBdr>
                    <w:top w:val="none" w:sz="0" w:space="0" w:color="auto"/>
                    <w:left w:val="none" w:sz="0" w:space="0" w:color="auto"/>
                    <w:bottom w:val="none" w:sz="0" w:space="0" w:color="auto"/>
                    <w:right w:val="none" w:sz="0" w:space="0" w:color="auto"/>
                  </w:divBdr>
                  <w:divsChild>
                    <w:div w:id="1223710833">
                      <w:marLeft w:val="0"/>
                      <w:marRight w:val="0"/>
                      <w:marTop w:val="0"/>
                      <w:marBottom w:val="0"/>
                      <w:divBdr>
                        <w:top w:val="none" w:sz="0" w:space="0" w:color="auto"/>
                        <w:left w:val="none" w:sz="0" w:space="0" w:color="auto"/>
                        <w:bottom w:val="none" w:sz="0" w:space="0" w:color="auto"/>
                        <w:right w:val="none" w:sz="0" w:space="0" w:color="auto"/>
                      </w:divBdr>
                    </w:div>
                  </w:divsChild>
                </w:div>
                <w:div w:id="206532196">
                  <w:marLeft w:val="0"/>
                  <w:marRight w:val="0"/>
                  <w:marTop w:val="0"/>
                  <w:marBottom w:val="0"/>
                  <w:divBdr>
                    <w:top w:val="none" w:sz="0" w:space="0" w:color="auto"/>
                    <w:left w:val="none" w:sz="0" w:space="0" w:color="auto"/>
                    <w:bottom w:val="none" w:sz="0" w:space="0" w:color="auto"/>
                    <w:right w:val="none" w:sz="0" w:space="0" w:color="auto"/>
                  </w:divBdr>
                  <w:divsChild>
                    <w:div w:id="1193226063">
                      <w:marLeft w:val="0"/>
                      <w:marRight w:val="0"/>
                      <w:marTop w:val="0"/>
                      <w:marBottom w:val="0"/>
                      <w:divBdr>
                        <w:top w:val="none" w:sz="0" w:space="0" w:color="auto"/>
                        <w:left w:val="none" w:sz="0" w:space="0" w:color="auto"/>
                        <w:bottom w:val="none" w:sz="0" w:space="0" w:color="auto"/>
                        <w:right w:val="none" w:sz="0" w:space="0" w:color="auto"/>
                      </w:divBdr>
                    </w:div>
                  </w:divsChild>
                </w:div>
                <w:div w:id="308361114">
                  <w:marLeft w:val="0"/>
                  <w:marRight w:val="0"/>
                  <w:marTop w:val="0"/>
                  <w:marBottom w:val="0"/>
                  <w:divBdr>
                    <w:top w:val="none" w:sz="0" w:space="0" w:color="auto"/>
                    <w:left w:val="none" w:sz="0" w:space="0" w:color="auto"/>
                    <w:bottom w:val="none" w:sz="0" w:space="0" w:color="auto"/>
                    <w:right w:val="none" w:sz="0" w:space="0" w:color="auto"/>
                  </w:divBdr>
                  <w:divsChild>
                    <w:div w:id="1104230461">
                      <w:marLeft w:val="0"/>
                      <w:marRight w:val="0"/>
                      <w:marTop w:val="0"/>
                      <w:marBottom w:val="0"/>
                      <w:divBdr>
                        <w:top w:val="none" w:sz="0" w:space="0" w:color="auto"/>
                        <w:left w:val="none" w:sz="0" w:space="0" w:color="auto"/>
                        <w:bottom w:val="none" w:sz="0" w:space="0" w:color="auto"/>
                        <w:right w:val="none" w:sz="0" w:space="0" w:color="auto"/>
                      </w:divBdr>
                    </w:div>
                  </w:divsChild>
                </w:div>
                <w:div w:id="327681963">
                  <w:marLeft w:val="0"/>
                  <w:marRight w:val="0"/>
                  <w:marTop w:val="0"/>
                  <w:marBottom w:val="0"/>
                  <w:divBdr>
                    <w:top w:val="none" w:sz="0" w:space="0" w:color="auto"/>
                    <w:left w:val="none" w:sz="0" w:space="0" w:color="auto"/>
                    <w:bottom w:val="none" w:sz="0" w:space="0" w:color="auto"/>
                    <w:right w:val="none" w:sz="0" w:space="0" w:color="auto"/>
                  </w:divBdr>
                  <w:divsChild>
                    <w:div w:id="844898457">
                      <w:marLeft w:val="0"/>
                      <w:marRight w:val="0"/>
                      <w:marTop w:val="0"/>
                      <w:marBottom w:val="0"/>
                      <w:divBdr>
                        <w:top w:val="none" w:sz="0" w:space="0" w:color="auto"/>
                        <w:left w:val="none" w:sz="0" w:space="0" w:color="auto"/>
                        <w:bottom w:val="none" w:sz="0" w:space="0" w:color="auto"/>
                        <w:right w:val="none" w:sz="0" w:space="0" w:color="auto"/>
                      </w:divBdr>
                    </w:div>
                  </w:divsChild>
                </w:div>
                <w:div w:id="335428029">
                  <w:marLeft w:val="0"/>
                  <w:marRight w:val="0"/>
                  <w:marTop w:val="0"/>
                  <w:marBottom w:val="0"/>
                  <w:divBdr>
                    <w:top w:val="none" w:sz="0" w:space="0" w:color="auto"/>
                    <w:left w:val="none" w:sz="0" w:space="0" w:color="auto"/>
                    <w:bottom w:val="none" w:sz="0" w:space="0" w:color="auto"/>
                    <w:right w:val="none" w:sz="0" w:space="0" w:color="auto"/>
                  </w:divBdr>
                  <w:divsChild>
                    <w:div w:id="913272143">
                      <w:marLeft w:val="0"/>
                      <w:marRight w:val="0"/>
                      <w:marTop w:val="0"/>
                      <w:marBottom w:val="0"/>
                      <w:divBdr>
                        <w:top w:val="none" w:sz="0" w:space="0" w:color="auto"/>
                        <w:left w:val="none" w:sz="0" w:space="0" w:color="auto"/>
                        <w:bottom w:val="none" w:sz="0" w:space="0" w:color="auto"/>
                        <w:right w:val="none" w:sz="0" w:space="0" w:color="auto"/>
                      </w:divBdr>
                    </w:div>
                  </w:divsChild>
                </w:div>
                <w:div w:id="346908848">
                  <w:marLeft w:val="0"/>
                  <w:marRight w:val="0"/>
                  <w:marTop w:val="0"/>
                  <w:marBottom w:val="0"/>
                  <w:divBdr>
                    <w:top w:val="none" w:sz="0" w:space="0" w:color="auto"/>
                    <w:left w:val="none" w:sz="0" w:space="0" w:color="auto"/>
                    <w:bottom w:val="none" w:sz="0" w:space="0" w:color="auto"/>
                    <w:right w:val="none" w:sz="0" w:space="0" w:color="auto"/>
                  </w:divBdr>
                  <w:divsChild>
                    <w:div w:id="1159150880">
                      <w:marLeft w:val="0"/>
                      <w:marRight w:val="0"/>
                      <w:marTop w:val="0"/>
                      <w:marBottom w:val="0"/>
                      <w:divBdr>
                        <w:top w:val="none" w:sz="0" w:space="0" w:color="auto"/>
                        <w:left w:val="none" w:sz="0" w:space="0" w:color="auto"/>
                        <w:bottom w:val="none" w:sz="0" w:space="0" w:color="auto"/>
                        <w:right w:val="none" w:sz="0" w:space="0" w:color="auto"/>
                      </w:divBdr>
                    </w:div>
                  </w:divsChild>
                </w:div>
                <w:div w:id="369258106">
                  <w:marLeft w:val="0"/>
                  <w:marRight w:val="0"/>
                  <w:marTop w:val="0"/>
                  <w:marBottom w:val="0"/>
                  <w:divBdr>
                    <w:top w:val="none" w:sz="0" w:space="0" w:color="auto"/>
                    <w:left w:val="none" w:sz="0" w:space="0" w:color="auto"/>
                    <w:bottom w:val="none" w:sz="0" w:space="0" w:color="auto"/>
                    <w:right w:val="none" w:sz="0" w:space="0" w:color="auto"/>
                  </w:divBdr>
                  <w:divsChild>
                    <w:div w:id="264847148">
                      <w:marLeft w:val="0"/>
                      <w:marRight w:val="0"/>
                      <w:marTop w:val="0"/>
                      <w:marBottom w:val="0"/>
                      <w:divBdr>
                        <w:top w:val="none" w:sz="0" w:space="0" w:color="auto"/>
                        <w:left w:val="none" w:sz="0" w:space="0" w:color="auto"/>
                        <w:bottom w:val="none" w:sz="0" w:space="0" w:color="auto"/>
                        <w:right w:val="none" w:sz="0" w:space="0" w:color="auto"/>
                      </w:divBdr>
                    </w:div>
                    <w:div w:id="521936108">
                      <w:marLeft w:val="0"/>
                      <w:marRight w:val="0"/>
                      <w:marTop w:val="0"/>
                      <w:marBottom w:val="0"/>
                      <w:divBdr>
                        <w:top w:val="none" w:sz="0" w:space="0" w:color="auto"/>
                        <w:left w:val="none" w:sz="0" w:space="0" w:color="auto"/>
                        <w:bottom w:val="none" w:sz="0" w:space="0" w:color="auto"/>
                        <w:right w:val="none" w:sz="0" w:space="0" w:color="auto"/>
                      </w:divBdr>
                    </w:div>
                  </w:divsChild>
                </w:div>
                <w:div w:id="370300779">
                  <w:marLeft w:val="0"/>
                  <w:marRight w:val="0"/>
                  <w:marTop w:val="0"/>
                  <w:marBottom w:val="0"/>
                  <w:divBdr>
                    <w:top w:val="none" w:sz="0" w:space="0" w:color="auto"/>
                    <w:left w:val="none" w:sz="0" w:space="0" w:color="auto"/>
                    <w:bottom w:val="none" w:sz="0" w:space="0" w:color="auto"/>
                    <w:right w:val="none" w:sz="0" w:space="0" w:color="auto"/>
                  </w:divBdr>
                  <w:divsChild>
                    <w:div w:id="1584561521">
                      <w:marLeft w:val="0"/>
                      <w:marRight w:val="0"/>
                      <w:marTop w:val="0"/>
                      <w:marBottom w:val="0"/>
                      <w:divBdr>
                        <w:top w:val="none" w:sz="0" w:space="0" w:color="auto"/>
                        <w:left w:val="none" w:sz="0" w:space="0" w:color="auto"/>
                        <w:bottom w:val="none" w:sz="0" w:space="0" w:color="auto"/>
                        <w:right w:val="none" w:sz="0" w:space="0" w:color="auto"/>
                      </w:divBdr>
                    </w:div>
                  </w:divsChild>
                </w:div>
                <w:div w:id="397096884">
                  <w:marLeft w:val="0"/>
                  <w:marRight w:val="0"/>
                  <w:marTop w:val="0"/>
                  <w:marBottom w:val="0"/>
                  <w:divBdr>
                    <w:top w:val="none" w:sz="0" w:space="0" w:color="auto"/>
                    <w:left w:val="none" w:sz="0" w:space="0" w:color="auto"/>
                    <w:bottom w:val="none" w:sz="0" w:space="0" w:color="auto"/>
                    <w:right w:val="none" w:sz="0" w:space="0" w:color="auto"/>
                  </w:divBdr>
                  <w:divsChild>
                    <w:div w:id="813916374">
                      <w:marLeft w:val="0"/>
                      <w:marRight w:val="0"/>
                      <w:marTop w:val="0"/>
                      <w:marBottom w:val="0"/>
                      <w:divBdr>
                        <w:top w:val="none" w:sz="0" w:space="0" w:color="auto"/>
                        <w:left w:val="none" w:sz="0" w:space="0" w:color="auto"/>
                        <w:bottom w:val="none" w:sz="0" w:space="0" w:color="auto"/>
                        <w:right w:val="none" w:sz="0" w:space="0" w:color="auto"/>
                      </w:divBdr>
                    </w:div>
                  </w:divsChild>
                </w:div>
                <w:div w:id="614408334">
                  <w:marLeft w:val="0"/>
                  <w:marRight w:val="0"/>
                  <w:marTop w:val="0"/>
                  <w:marBottom w:val="0"/>
                  <w:divBdr>
                    <w:top w:val="none" w:sz="0" w:space="0" w:color="auto"/>
                    <w:left w:val="none" w:sz="0" w:space="0" w:color="auto"/>
                    <w:bottom w:val="none" w:sz="0" w:space="0" w:color="auto"/>
                    <w:right w:val="none" w:sz="0" w:space="0" w:color="auto"/>
                  </w:divBdr>
                  <w:divsChild>
                    <w:div w:id="887570501">
                      <w:marLeft w:val="0"/>
                      <w:marRight w:val="0"/>
                      <w:marTop w:val="0"/>
                      <w:marBottom w:val="0"/>
                      <w:divBdr>
                        <w:top w:val="none" w:sz="0" w:space="0" w:color="auto"/>
                        <w:left w:val="none" w:sz="0" w:space="0" w:color="auto"/>
                        <w:bottom w:val="none" w:sz="0" w:space="0" w:color="auto"/>
                        <w:right w:val="none" w:sz="0" w:space="0" w:color="auto"/>
                      </w:divBdr>
                    </w:div>
                  </w:divsChild>
                </w:div>
                <w:div w:id="708185530">
                  <w:marLeft w:val="0"/>
                  <w:marRight w:val="0"/>
                  <w:marTop w:val="0"/>
                  <w:marBottom w:val="0"/>
                  <w:divBdr>
                    <w:top w:val="none" w:sz="0" w:space="0" w:color="auto"/>
                    <w:left w:val="none" w:sz="0" w:space="0" w:color="auto"/>
                    <w:bottom w:val="none" w:sz="0" w:space="0" w:color="auto"/>
                    <w:right w:val="none" w:sz="0" w:space="0" w:color="auto"/>
                  </w:divBdr>
                  <w:divsChild>
                    <w:div w:id="382604561">
                      <w:marLeft w:val="0"/>
                      <w:marRight w:val="0"/>
                      <w:marTop w:val="0"/>
                      <w:marBottom w:val="0"/>
                      <w:divBdr>
                        <w:top w:val="none" w:sz="0" w:space="0" w:color="auto"/>
                        <w:left w:val="none" w:sz="0" w:space="0" w:color="auto"/>
                        <w:bottom w:val="none" w:sz="0" w:space="0" w:color="auto"/>
                        <w:right w:val="none" w:sz="0" w:space="0" w:color="auto"/>
                      </w:divBdr>
                    </w:div>
                  </w:divsChild>
                </w:div>
                <w:div w:id="788158834">
                  <w:marLeft w:val="0"/>
                  <w:marRight w:val="0"/>
                  <w:marTop w:val="0"/>
                  <w:marBottom w:val="0"/>
                  <w:divBdr>
                    <w:top w:val="none" w:sz="0" w:space="0" w:color="auto"/>
                    <w:left w:val="none" w:sz="0" w:space="0" w:color="auto"/>
                    <w:bottom w:val="none" w:sz="0" w:space="0" w:color="auto"/>
                    <w:right w:val="none" w:sz="0" w:space="0" w:color="auto"/>
                  </w:divBdr>
                  <w:divsChild>
                    <w:div w:id="424964675">
                      <w:marLeft w:val="0"/>
                      <w:marRight w:val="0"/>
                      <w:marTop w:val="0"/>
                      <w:marBottom w:val="0"/>
                      <w:divBdr>
                        <w:top w:val="none" w:sz="0" w:space="0" w:color="auto"/>
                        <w:left w:val="none" w:sz="0" w:space="0" w:color="auto"/>
                        <w:bottom w:val="none" w:sz="0" w:space="0" w:color="auto"/>
                        <w:right w:val="none" w:sz="0" w:space="0" w:color="auto"/>
                      </w:divBdr>
                    </w:div>
                    <w:div w:id="1459256456">
                      <w:marLeft w:val="0"/>
                      <w:marRight w:val="0"/>
                      <w:marTop w:val="0"/>
                      <w:marBottom w:val="0"/>
                      <w:divBdr>
                        <w:top w:val="none" w:sz="0" w:space="0" w:color="auto"/>
                        <w:left w:val="none" w:sz="0" w:space="0" w:color="auto"/>
                        <w:bottom w:val="none" w:sz="0" w:space="0" w:color="auto"/>
                        <w:right w:val="none" w:sz="0" w:space="0" w:color="auto"/>
                      </w:divBdr>
                    </w:div>
                  </w:divsChild>
                </w:div>
                <w:div w:id="823735893">
                  <w:marLeft w:val="0"/>
                  <w:marRight w:val="0"/>
                  <w:marTop w:val="0"/>
                  <w:marBottom w:val="0"/>
                  <w:divBdr>
                    <w:top w:val="none" w:sz="0" w:space="0" w:color="auto"/>
                    <w:left w:val="none" w:sz="0" w:space="0" w:color="auto"/>
                    <w:bottom w:val="none" w:sz="0" w:space="0" w:color="auto"/>
                    <w:right w:val="none" w:sz="0" w:space="0" w:color="auto"/>
                  </w:divBdr>
                  <w:divsChild>
                    <w:div w:id="502356816">
                      <w:marLeft w:val="0"/>
                      <w:marRight w:val="0"/>
                      <w:marTop w:val="0"/>
                      <w:marBottom w:val="0"/>
                      <w:divBdr>
                        <w:top w:val="none" w:sz="0" w:space="0" w:color="auto"/>
                        <w:left w:val="none" w:sz="0" w:space="0" w:color="auto"/>
                        <w:bottom w:val="none" w:sz="0" w:space="0" w:color="auto"/>
                        <w:right w:val="none" w:sz="0" w:space="0" w:color="auto"/>
                      </w:divBdr>
                    </w:div>
                    <w:div w:id="590502723">
                      <w:marLeft w:val="0"/>
                      <w:marRight w:val="0"/>
                      <w:marTop w:val="0"/>
                      <w:marBottom w:val="0"/>
                      <w:divBdr>
                        <w:top w:val="none" w:sz="0" w:space="0" w:color="auto"/>
                        <w:left w:val="none" w:sz="0" w:space="0" w:color="auto"/>
                        <w:bottom w:val="none" w:sz="0" w:space="0" w:color="auto"/>
                        <w:right w:val="none" w:sz="0" w:space="0" w:color="auto"/>
                      </w:divBdr>
                    </w:div>
                  </w:divsChild>
                </w:div>
                <w:div w:id="841894976">
                  <w:marLeft w:val="0"/>
                  <w:marRight w:val="0"/>
                  <w:marTop w:val="0"/>
                  <w:marBottom w:val="0"/>
                  <w:divBdr>
                    <w:top w:val="none" w:sz="0" w:space="0" w:color="auto"/>
                    <w:left w:val="none" w:sz="0" w:space="0" w:color="auto"/>
                    <w:bottom w:val="none" w:sz="0" w:space="0" w:color="auto"/>
                    <w:right w:val="none" w:sz="0" w:space="0" w:color="auto"/>
                  </w:divBdr>
                  <w:divsChild>
                    <w:div w:id="87311316">
                      <w:marLeft w:val="0"/>
                      <w:marRight w:val="0"/>
                      <w:marTop w:val="0"/>
                      <w:marBottom w:val="0"/>
                      <w:divBdr>
                        <w:top w:val="none" w:sz="0" w:space="0" w:color="auto"/>
                        <w:left w:val="none" w:sz="0" w:space="0" w:color="auto"/>
                        <w:bottom w:val="none" w:sz="0" w:space="0" w:color="auto"/>
                        <w:right w:val="none" w:sz="0" w:space="0" w:color="auto"/>
                      </w:divBdr>
                    </w:div>
                  </w:divsChild>
                </w:div>
                <w:div w:id="1004237092">
                  <w:marLeft w:val="0"/>
                  <w:marRight w:val="0"/>
                  <w:marTop w:val="0"/>
                  <w:marBottom w:val="0"/>
                  <w:divBdr>
                    <w:top w:val="none" w:sz="0" w:space="0" w:color="auto"/>
                    <w:left w:val="none" w:sz="0" w:space="0" w:color="auto"/>
                    <w:bottom w:val="none" w:sz="0" w:space="0" w:color="auto"/>
                    <w:right w:val="none" w:sz="0" w:space="0" w:color="auto"/>
                  </w:divBdr>
                  <w:divsChild>
                    <w:div w:id="299531766">
                      <w:marLeft w:val="0"/>
                      <w:marRight w:val="0"/>
                      <w:marTop w:val="0"/>
                      <w:marBottom w:val="0"/>
                      <w:divBdr>
                        <w:top w:val="none" w:sz="0" w:space="0" w:color="auto"/>
                        <w:left w:val="none" w:sz="0" w:space="0" w:color="auto"/>
                        <w:bottom w:val="none" w:sz="0" w:space="0" w:color="auto"/>
                        <w:right w:val="none" w:sz="0" w:space="0" w:color="auto"/>
                      </w:divBdr>
                    </w:div>
                    <w:div w:id="390156891">
                      <w:marLeft w:val="0"/>
                      <w:marRight w:val="0"/>
                      <w:marTop w:val="0"/>
                      <w:marBottom w:val="0"/>
                      <w:divBdr>
                        <w:top w:val="none" w:sz="0" w:space="0" w:color="auto"/>
                        <w:left w:val="none" w:sz="0" w:space="0" w:color="auto"/>
                        <w:bottom w:val="none" w:sz="0" w:space="0" w:color="auto"/>
                        <w:right w:val="none" w:sz="0" w:space="0" w:color="auto"/>
                      </w:divBdr>
                    </w:div>
                    <w:div w:id="710233157">
                      <w:marLeft w:val="0"/>
                      <w:marRight w:val="0"/>
                      <w:marTop w:val="0"/>
                      <w:marBottom w:val="0"/>
                      <w:divBdr>
                        <w:top w:val="none" w:sz="0" w:space="0" w:color="auto"/>
                        <w:left w:val="none" w:sz="0" w:space="0" w:color="auto"/>
                        <w:bottom w:val="none" w:sz="0" w:space="0" w:color="auto"/>
                        <w:right w:val="none" w:sz="0" w:space="0" w:color="auto"/>
                      </w:divBdr>
                    </w:div>
                    <w:div w:id="1874689198">
                      <w:marLeft w:val="0"/>
                      <w:marRight w:val="0"/>
                      <w:marTop w:val="0"/>
                      <w:marBottom w:val="0"/>
                      <w:divBdr>
                        <w:top w:val="none" w:sz="0" w:space="0" w:color="auto"/>
                        <w:left w:val="none" w:sz="0" w:space="0" w:color="auto"/>
                        <w:bottom w:val="none" w:sz="0" w:space="0" w:color="auto"/>
                        <w:right w:val="none" w:sz="0" w:space="0" w:color="auto"/>
                      </w:divBdr>
                    </w:div>
                  </w:divsChild>
                </w:div>
                <w:div w:id="1005017462">
                  <w:marLeft w:val="0"/>
                  <w:marRight w:val="0"/>
                  <w:marTop w:val="0"/>
                  <w:marBottom w:val="0"/>
                  <w:divBdr>
                    <w:top w:val="none" w:sz="0" w:space="0" w:color="auto"/>
                    <w:left w:val="none" w:sz="0" w:space="0" w:color="auto"/>
                    <w:bottom w:val="none" w:sz="0" w:space="0" w:color="auto"/>
                    <w:right w:val="none" w:sz="0" w:space="0" w:color="auto"/>
                  </w:divBdr>
                  <w:divsChild>
                    <w:div w:id="1002126665">
                      <w:marLeft w:val="0"/>
                      <w:marRight w:val="0"/>
                      <w:marTop w:val="0"/>
                      <w:marBottom w:val="0"/>
                      <w:divBdr>
                        <w:top w:val="none" w:sz="0" w:space="0" w:color="auto"/>
                        <w:left w:val="none" w:sz="0" w:space="0" w:color="auto"/>
                        <w:bottom w:val="none" w:sz="0" w:space="0" w:color="auto"/>
                        <w:right w:val="none" w:sz="0" w:space="0" w:color="auto"/>
                      </w:divBdr>
                    </w:div>
                  </w:divsChild>
                </w:div>
                <w:div w:id="1042904760">
                  <w:marLeft w:val="0"/>
                  <w:marRight w:val="0"/>
                  <w:marTop w:val="0"/>
                  <w:marBottom w:val="0"/>
                  <w:divBdr>
                    <w:top w:val="none" w:sz="0" w:space="0" w:color="auto"/>
                    <w:left w:val="none" w:sz="0" w:space="0" w:color="auto"/>
                    <w:bottom w:val="none" w:sz="0" w:space="0" w:color="auto"/>
                    <w:right w:val="none" w:sz="0" w:space="0" w:color="auto"/>
                  </w:divBdr>
                  <w:divsChild>
                    <w:div w:id="625939492">
                      <w:marLeft w:val="0"/>
                      <w:marRight w:val="0"/>
                      <w:marTop w:val="0"/>
                      <w:marBottom w:val="0"/>
                      <w:divBdr>
                        <w:top w:val="none" w:sz="0" w:space="0" w:color="auto"/>
                        <w:left w:val="none" w:sz="0" w:space="0" w:color="auto"/>
                        <w:bottom w:val="none" w:sz="0" w:space="0" w:color="auto"/>
                        <w:right w:val="none" w:sz="0" w:space="0" w:color="auto"/>
                      </w:divBdr>
                    </w:div>
                  </w:divsChild>
                </w:div>
                <w:div w:id="1049961265">
                  <w:marLeft w:val="0"/>
                  <w:marRight w:val="0"/>
                  <w:marTop w:val="0"/>
                  <w:marBottom w:val="0"/>
                  <w:divBdr>
                    <w:top w:val="none" w:sz="0" w:space="0" w:color="auto"/>
                    <w:left w:val="none" w:sz="0" w:space="0" w:color="auto"/>
                    <w:bottom w:val="none" w:sz="0" w:space="0" w:color="auto"/>
                    <w:right w:val="none" w:sz="0" w:space="0" w:color="auto"/>
                  </w:divBdr>
                  <w:divsChild>
                    <w:div w:id="1976715954">
                      <w:marLeft w:val="0"/>
                      <w:marRight w:val="0"/>
                      <w:marTop w:val="0"/>
                      <w:marBottom w:val="0"/>
                      <w:divBdr>
                        <w:top w:val="none" w:sz="0" w:space="0" w:color="auto"/>
                        <w:left w:val="none" w:sz="0" w:space="0" w:color="auto"/>
                        <w:bottom w:val="none" w:sz="0" w:space="0" w:color="auto"/>
                        <w:right w:val="none" w:sz="0" w:space="0" w:color="auto"/>
                      </w:divBdr>
                    </w:div>
                  </w:divsChild>
                </w:div>
                <w:div w:id="1075709298">
                  <w:marLeft w:val="0"/>
                  <w:marRight w:val="0"/>
                  <w:marTop w:val="0"/>
                  <w:marBottom w:val="0"/>
                  <w:divBdr>
                    <w:top w:val="none" w:sz="0" w:space="0" w:color="auto"/>
                    <w:left w:val="none" w:sz="0" w:space="0" w:color="auto"/>
                    <w:bottom w:val="none" w:sz="0" w:space="0" w:color="auto"/>
                    <w:right w:val="none" w:sz="0" w:space="0" w:color="auto"/>
                  </w:divBdr>
                  <w:divsChild>
                    <w:div w:id="956327358">
                      <w:marLeft w:val="0"/>
                      <w:marRight w:val="0"/>
                      <w:marTop w:val="0"/>
                      <w:marBottom w:val="0"/>
                      <w:divBdr>
                        <w:top w:val="none" w:sz="0" w:space="0" w:color="auto"/>
                        <w:left w:val="none" w:sz="0" w:space="0" w:color="auto"/>
                        <w:bottom w:val="none" w:sz="0" w:space="0" w:color="auto"/>
                        <w:right w:val="none" w:sz="0" w:space="0" w:color="auto"/>
                      </w:divBdr>
                    </w:div>
                  </w:divsChild>
                </w:div>
                <w:div w:id="1083067794">
                  <w:marLeft w:val="0"/>
                  <w:marRight w:val="0"/>
                  <w:marTop w:val="0"/>
                  <w:marBottom w:val="0"/>
                  <w:divBdr>
                    <w:top w:val="none" w:sz="0" w:space="0" w:color="auto"/>
                    <w:left w:val="none" w:sz="0" w:space="0" w:color="auto"/>
                    <w:bottom w:val="none" w:sz="0" w:space="0" w:color="auto"/>
                    <w:right w:val="none" w:sz="0" w:space="0" w:color="auto"/>
                  </w:divBdr>
                  <w:divsChild>
                    <w:div w:id="1655530841">
                      <w:marLeft w:val="0"/>
                      <w:marRight w:val="0"/>
                      <w:marTop w:val="0"/>
                      <w:marBottom w:val="0"/>
                      <w:divBdr>
                        <w:top w:val="none" w:sz="0" w:space="0" w:color="auto"/>
                        <w:left w:val="none" w:sz="0" w:space="0" w:color="auto"/>
                        <w:bottom w:val="none" w:sz="0" w:space="0" w:color="auto"/>
                        <w:right w:val="none" w:sz="0" w:space="0" w:color="auto"/>
                      </w:divBdr>
                    </w:div>
                  </w:divsChild>
                </w:div>
                <w:div w:id="1147548870">
                  <w:marLeft w:val="0"/>
                  <w:marRight w:val="0"/>
                  <w:marTop w:val="0"/>
                  <w:marBottom w:val="0"/>
                  <w:divBdr>
                    <w:top w:val="none" w:sz="0" w:space="0" w:color="auto"/>
                    <w:left w:val="none" w:sz="0" w:space="0" w:color="auto"/>
                    <w:bottom w:val="none" w:sz="0" w:space="0" w:color="auto"/>
                    <w:right w:val="none" w:sz="0" w:space="0" w:color="auto"/>
                  </w:divBdr>
                  <w:divsChild>
                    <w:div w:id="296838591">
                      <w:marLeft w:val="0"/>
                      <w:marRight w:val="0"/>
                      <w:marTop w:val="0"/>
                      <w:marBottom w:val="0"/>
                      <w:divBdr>
                        <w:top w:val="none" w:sz="0" w:space="0" w:color="auto"/>
                        <w:left w:val="none" w:sz="0" w:space="0" w:color="auto"/>
                        <w:bottom w:val="none" w:sz="0" w:space="0" w:color="auto"/>
                        <w:right w:val="none" w:sz="0" w:space="0" w:color="auto"/>
                      </w:divBdr>
                    </w:div>
                    <w:div w:id="1238325670">
                      <w:marLeft w:val="0"/>
                      <w:marRight w:val="0"/>
                      <w:marTop w:val="0"/>
                      <w:marBottom w:val="0"/>
                      <w:divBdr>
                        <w:top w:val="none" w:sz="0" w:space="0" w:color="auto"/>
                        <w:left w:val="none" w:sz="0" w:space="0" w:color="auto"/>
                        <w:bottom w:val="none" w:sz="0" w:space="0" w:color="auto"/>
                        <w:right w:val="none" w:sz="0" w:space="0" w:color="auto"/>
                      </w:divBdr>
                    </w:div>
                    <w:div w:id="1377201201">
                      <w:marLeft w:val="0"/>
                      <w:marRight w:val="0"/>
                      <w:marTop w:val="0"/>
                      <w:marBottom w:val="0"/>
                      <w:divBdr>
                        <w:top w:val="none" w:sz="0" w:space="0" w:color="auto"/>
                        <w:left w:val="none" w:sz="0" w:space="0" w:color="auto"/>
                        <w:bottom w:val="none" w:sz="0" w:space="0" w:color="auto"/>
                        <w:right w:val="none" w:sz="0" w:space="0" w:color="auto"/>
                      </w:divBdr>
                    </w:div>
                    <w:div w:id="1605916927">
                      <w:marLeft w:val="0"/>
                      <w:marRight w:val="0"/>
                      <w:marTop w:val="0"/>
                      <w:marBottom w:val="0"/>
                      <w:divBdr>
                        <w:top w:val="none" w:sz="0" w:space="0" w:color="auto"/>
                        <w:left w:val="none" w:sz="0" w:space="0" w:color="auto"/>
                        <w:bottom w:val="none" w:sz="0" w:space="0" w:color="auto"/>
                        <w:right w:val="none" w:sz="0" w:space="0" w:color="auto"/>
                      </w:divBdr>
                    </w:div>
                    <w:div w:id="2098944749">
                      <w:marLeft w:val="0"/>
                      <w:marRight w:val="0"/>
                      <w:marTop w:val="0"/>
                      <w:marBottom w:val="0"/>
                      <w:divBdr>
                        <w:top w:val="none" w:sz="0" w:space="0" w:color="auto"/>
                        <w:left w:val="none" w:sz="0" w:space="0" w:color="auto"/>
                        <w:bottom w:val="none" w:sz="0" w:space="0" w:color="auto"/>
                        <w:right w:val="none" w:sz="0" w:space="0" w:color="auto"/>
                      </w:divBdr>
                    </w:div>
                  </w:divsChild>
                </w:div>
                <w:div w:id="1334987823">
                  <w:marLeft w:val="0"/>
                  <w:marRight w:val="0"/>
                  <w:marTop w:val="0"/>
                  <w:marBottom w:val="0"/>
                  <w:divBdr>
                    <w:top w:val="none" w:sz="0" w:space="0" w:color="auto"/>
                    <w:left w:val="none" w:sz="0" w:space="0" w:color="auto"/>
                    <w:bottom w:val="none" w:sz="0" w:space="0" w:color="auto"/>
                    <w:right w:val="none" w:sz="0" w:space="0" w:color="auto"/>
                  </w:divBdr>
                  <w:divsChild>
                    <w:div w:id="314146096">
                      <w:marLeft w:val="0"/>
                      <w:marRight w:val="0"/>
                      <w:marTop w:val="0"/>
                      <w:marBottom w:val="0"/>
                      <w:divBdr>
                        <w:top w:val="none" w:sz="0" w:space="0" w:color="auto"/>
                        <w:left w:val="none" w:sz="0" w:space="0" w:color="auto"/>
                        <w:bottom w:val="none" w:sz="0" w:space="0" w:color="auto"/>
                        <w:right w:val="none" w:sz="0" w:space="0" w:color="auto"/>
                      </w:divBdr>
                    </w:div>
                    <w:div w:id="317997398">
                      <w:marLeft w:val="0"/>
                      <w:marRight w:val="0"/>
                      <w:marTop w:val="0"/>
                      <w:marBottom w:val="0"/>
                      <w:divBdr>
                        <w:top w:val="none" w:sz="0" w:space="0" w:color="auto"/>
                        <w:left w:val="none" w:sz="0" w:space="0" w:color="auto"/>
                        <w:bottom w:val="none" w:sz="0" w:space="0" w:color="auto"/>
                        <w:right w:val="none" w:sz="0" w:space="0" w:color="auto"/>
                      </w:divBdr>
                    </w:div>
                  </w:divsChild>
                </w:div>
                <w:div w:id="1379088895">
                  <w:marLeft w:val="0"/>
                  <w:marRight w:val="0"/>
                  <w:marTop w:val="0"/>
                  <w:marBottom w:val="0"/>
                  <w:divBdr>
                    <w:top w:val="none" w:sz="0" w:space="0" w:color="auto"/>
                    <w:left w:val="none" w:sz="0" w:space="0" w:color="auto"/>
                    <w:bottom w:val="none" w:sz="0" w:space="0" w:color="auto"/>
                    <w:right w:val="none" w:sz="0" w:space="0" w:color="auto"/>
                  </w:divBdr>
                  <w:divsChild>
                    <w:div w:id="1091395026">
                      <w:marLeft w:val="0"/>
                      <w:marRight w:val="0"/>
                      <w:marTop w:val="0"/>
                      <w:marBottom w:val="0"/>
                      <w:divBdr>
                        <w:top w:val="none" w:sz="0" w:space="0" w:color="auto"/>
                        <w:left w:val="none" w:sz="0" w:space="0" w:color="auto"/>
                        <w:bottom w:val="none" w:sz="0" w:space="0" w:color="auto"/>
                        <w:right w:val="none" w:sz="0" w:space="0" w:color="auto"/>
                      </w:divBdr>
                    </w:div>
                  </w:divsChild>
                </w:div>
                <w:div w:id="1380781850">
                  <w:marLeft w:val="0"/>
                  <w:marRight w:val="0"/>
                  <w:marTop w:val="0"/>
                  <w:marBottom w:val="0"/>
                  <w:divBdr>
                    <w:top w:val="none" w:sz="0" w:space="0" w:color="auto"/>
                    <w:left w:val="none" w:sz="0" w:space="0" w:color="auto"/>
                    <w:bottom w:val="none" w:sz="0" w:space="0" w:color="auto"/>
                    <w:right w:val="none" w:sz="0" w:space="0" w:color="auto"/>
                  </w:divBdr>
                  <w:divsChild>
                    <w:div w:id="101194963">
                      <w:marLeft w:val="0"/>
                      <w:marRight w:val="0"/>
                      <w:marTop w:val="0"/>
                      <w:marBottom w:val="0"/>
                      <w:divBdr>
                        <w:top w:val="none" w:sz="0" w:space="0" w:color="auto"/>
                        <w:left w:val="none" w:sz="0" w:space="0" w:color="auto"/>
                        <w:bottom w:val="none" w:sz="0" w:space="0" w:color="auto"/>
                        <w:right w:val="none" w:sz="0" w:space="0" w:color="auto"/>
                      </w:divBdr>
                    </w:div>
                  </w:divsChild>
                </w:div>
                <w:div w:id="1390880067">
                  <w:marLeft w:val="0"/>
                  <w:marRight w:val="0"/>
                  <w:marTop w:val="0"/>
                  <w:marBottom w:val="0"/>
                  <w:divBdr>
                    <w:top w:val="none" w:sz="0" w:space="0" w:color="auto"/>
                    <w:left w:val="none" w:sz="0" w:space="0" w:color="auto"/>
                    <w:bottom w:val="none" w:sz="0" w:space="0" w:color="auto"/>
                    <w:right w:val="none" w:sz="0" w:space="0" w:color="auto"/>
                  </w:divBdr>
                  <w:divsChild>
                    <w:div w:id="1594777462">
                      <w:marLeft w:val="0"/>
                      <w:marRight w:val="0"/>
                      <w:marTop w:val="0"/>
                      <w:marBottom w:val="0"/>
                      <w:divBdr>
                        <w:top w:val="none" w:sz="0" w:space="0" w:color="auto"/>
                        <w:left w:val="none" w:sz="0" w:space="0" w:color="auto"/>
                        <w:bottom w:val="none" w:sz="0" w:space="0" w:color="auto"/>
                        <w:right w:val="none" w:sz="0" w:space="0" w:color="auto"/>
                      </w:divBdr>
                    </w:div>
                  </w:divsChild>
                </w:div>
                <w:div w:id="1512794893">
                  <w:marLeft w:val="0"/>
                  <w:marRight w:val="0"/>
                  <w:marTop w:val="0"/>
                  <w:marBottom w:val="0"/>
                  <w:divBdr>
                    <w:top w:val="none" w:sz="0" w:space="0" w:color="auto"/>
                    <w:left w:val="none" w:sz="0" w:space="0" w:color="auto"/>
                    <w:bottom w:val="none" w:sz="0" w:space="0" w:color="auto"/>
                    <w:right w:val="none" w:sz="0" w:space="0" w:color="auto"/>
                  </w:divBdr>
                  <w:divsChild>
                    <w:div w:id="1263299497">
                      <w:marLeft w:val="0"/>
                      <w:marRight w:val="0"/>
                      <w:marTop w:val="0"/>
                      <w:marBottom w:val="0"/>
                      <w:divBdr>
                        <w:top w:val="none" w:sz="0" w:space="0" w:color="auto"/>
                        <w:left w:val="none" w:sz="0" w:space="0" w:color="auto"/>
                        <w:bottom w:val="none" w:sz="0" w:space="0" w:color="auto"/>
                        <w:right w:val="none" w:sz="0" w:space="0" w:color="auto"/>
                      </w:divBdr>
                    </w:div>
                  </w:divsChild>
                </w:div>
                <w:div w:id="1526211131">
                  <w:marLeft w:val="0"/>
                  <w:marRight w:val="0"/>
                  <w:marTop w:val="0"/>
                  <w:marBottom w:val="0"/>
                  <w:divBdr>
                    <w:top w:val="none" w:sz="0" w:space="0" w:color="auto"/>
                    <w:left w:val="none" w:sz="0" w:space="0" w:color="auto"/>
                    <w:bottom w:val="none" w:sz="0" w:space="0" w:color="auto"/>
                    <w:right w:val="none" w:sz="0" w:space="0" w:color="auto"/>
                  </w:divBdr>
                  <w:divsChild>
                    <w:div w:id="812867770">
                      <w:marLeft w:val="0"/>
                      <w:marRight w:val="0"/>
                      <w:marTop w:val="0"/>
                      <w:marBottom w:val="0"/>
                      <w:divBdr>
                        <w:top w:val="none" w:sz="0" w:space="0" w:color="auto"/>
                        <w:left w:val="none" w:sz="0" w:space="0" w:color="auto"/>
                        <w:bottom w:val="none" w:sz="0" w:space="0" w:color="auto"/>
                        <w:right w:val="none" w:sz="0" w:space="0" w:color="auto"/>
                      </w:divBdr>
                    </w:div>
                  </w:divsChild>
                </w:div>
                <w:div w:id="1529904554">
                  <w:marLeft w:val="0"/>
                  <w:marRight w:val="0"/>
                  <w:marTop w:val="0"/>
                  <w:marBottom w:val="0"/>
                  <w:divBdr>
                    <w:top w:val="none" w:sz="0" w:space="0" w:color="auto"/>
                    <w:left w:val="none" w:sz="0" w:space="0" w:color="auto"/>
                    <w:bottom w:val="none" w:sz="0" w:space="0" w:color="auto"/>
                    <w:right w:val="none" w:sz="0" w:space="0" w:color="auto"/>
                  </w:divBdr>
                  <w:divsChild>
                    <w:div w:id="109713368">
                      <w:marLeft w:val="0"/>
                      <w:marRight w:val="0"/>
                      <w:marTop w:val="0"/>
                      <w:marBottom w:val="0"/>
                      <w:divBdr>
                        <w:top w:val="none" w:sz="0" w:space="0" w:color="auto"/>
                        <w:left w:val="none" w:sz="0" w:space="0" w:color="auto"/>
                        <w:bottom w:val="none" w:sz="0" w:space="0" w:color="auto"/>
                        <w:right w:val="none" w:sz="0" w:space="0" w:color="auto"/>
                      </w:divBdr>
                    </w:div>
                    <w:div w:id="2079940244">
                      <w:marLeft w:val="0"/>
                      <w:marRight w:val="0"/>
                      <w:marTop w:val="0"/>
                      <w:marBottom w:val="0"/>
                      <w:divBdr>
                        <w:top w:val="none" w:sz="0" w:space="0" w:color="auto"/>
                        <w:left w:val="none" w:sz="0" w:space="0" w:color="auto"/>
                        <w:bottom w:val="none" w:sz="0" w:space="0" w:color="auto"/>
                        <w:right w:val="none" w:sz="0" w:space="0" w:color="auto"/>
                      </w:divBdr>
                    </w:div>
                  </w:divsChild>
                </w:div>
                <w:div w:id="1556349737">
                  <w:marLeft w:val="0"/>
                  <w:marRight w:val="0"/>
                  <w:marTop w:val="0"/>
                  <w:marBottom w:val="0"/>
                  <w:divBdr>
                    <w:top w:val="none" w:sz="0" w:space="0" w:color="auto"/>
                    <w:left w:val="none" w:sz="0" w:space="0" w:color="auto"/>
                    <w:bottom w:val="none" w:sz="0" w:space="0" w:color="auto"/>
                    <w:right w:val="none" w:sz="0" w:space="0" w:color="auto"/>
                  </w:divBdr>
                  <w:divsChild>
                    <w:div w:id="34700940">
                      <w:marLeft w:val="0"/>
                      <w:marRight w:val="0"/>
                      <w:marTop w:val="0"/>
                      <w:marBottom w:val="0"/>
                      <w:divBdr>
                        <w:top w:val="none" w:sz="0" w:space="0" w:color="auto"/>
                        <w:left w:val="none" w:sz="0" w:space="0" w:color="auto"/>
                        <w:bottom w:val="none" w:sz="0" w:space="0" w:color="auto"/>
                        <w:right w:val="none" w:sz="0" w:space="0" w:color="auto"/>
                      </w:divBdr>
                    </w:div>
                  </w:divsChild>
                </w:div>
                <w:div w:id="1590193632">
                  <w:marLeft w:val="0"/>
                  <w:marRight w:val="0"/>
                  <w:marTop w:val="0"/>
                  <w:marBottom w:val="0"/>
                  <w:divBdr>
                    <w:top w:val="none" w:sz="0" w:space="0" w:color="auto"/>
                    <w:left w:val="none" w:sz="0" w:space="0" w:color="auto"/>
                    <w:bottom w:val="none" w:sz="0" w:space="0" w:color="auto"/>
                    <w:right w:val="none" w:sz="0" w:space="0" w:color="auto"/>
                  </w:divBdr>
                  <w:divsChild>
                    <w:div w:id="1776250029">
                      <w:marLeft w:val="0"/>
                      <w:marRight w:val="0"/>
                      <w:marTop w:val="0"/>
                      <w:marBottom w:val="0"/>
                      <w:divBdr>
                        <w:top w:val="none" w:sz="0" w:space="0" w:color="auto"/>
                        <w:left w:val="none" w:sz="0" w:space="0" w:color="auto"/>
                        <w:bottom w:val="none" w:sz="0" w:space="0" w:color="auto"/>
                        <w:right w:val="none" w:sz="0" w:space="0" w:color="auto"/>
                      </w:divBdr>
                    </w:div>
                  </w:divsChild>
                </w:div>
                <w:div w:id="1632396070">
                  <w:marLeft w:val="0"/>
                  <w:marRight w:val="0"/>
                  <w:marTop w:val="0"/>
                  <w:marBottom w:val="0"/>
                  <w:divBdr>
                    <w:top w:val="none" w:sz="0" w:space="0" w:color="auto"/>
                    <w:left w:val="none" w:sz="0" w:space="0" w:color="auto"/>
                    <w:bottom w:val="none" w:sz="0" w:space="0" w:color="auto"/>
                    <w:right w:val="none" w:sz="0" w:space="0" w:color="auto"/>
                  </w:divBdr>
                  <w:divsChild>
                    <w:div w:id="180315816">
                      <w:marLeft w:val="0"/>
                      <w:marRight w:val="0"/>
                      <w:marTop w:val="0"/>
                      <w:marBottom w:val="0"/>
                      <w:divBdr>
                        <w:top w:val="none" w:sz="0" w:space="0" w:color="auto"/>
                        <w:left w:val="none" w:sz="0" w:space="0" w:color="auto"/>
                        <w:bottom w:val="none" w:sz="0" w:space="0" w:color="auto"/>
                        <w:right w:val="none" w:sz="0" w:space="0" w:color="auto"/>
                      </w:divBdr>
                    </w:div>
                  </w:divsChild>
                </w:div>
                <w:div w:id="1635599904">
                  <w:marLeft w:val="0"/>
                  <w:marRight w:val="0"/>
                  <w:marTop w:val="0"/>
                  <w:marBottom w:val="0"/>
                  <w:divBdr>
                    <w:top w:val="none" w:sz="0" w:space="0" w:color="auto"/>
                    <w:left w:val="none" w:sz="0" w:space="0" w:color="auto"/>
                    <w:bottom w:val="none" w:sz="0" w:space="0" w:color="auto"/>
                    <w:right w:val="none" w:sz="0" w:space="0" w:color="auto"/>
                  </w:divBdr>
                  <w:divsChild>
                    <w:div w:id="1634555205">
                      <w:marLeft w:val="0"/>
                      <w:marRight w:val="0"/>
                      <w:marTop w:val="0"/>
                      <w:marBottom w:val="0"/>
                      <w:divBdr>
                        <w:top w:val="none" w:sz="0" w:space="0" w:color="auto"/>
                        <w:left w:val="none" w:sz="0" w:space="0" w:color="auto"/>
                        <w:bottom w:val="none" w:sz="0" w:space="0" w:color="auto"/>
                        <w:right w:val="none" w:sz="0" w:space="0" w:color="auto"/>
                      </w:divBdr>
                    </w:div>
                  </w:divsChild>
                </w:div>
                <w:div w:id="1648316069">
                  <w:marLeft w:val="0"/>
                  <w:marRight w:val="0"/>
                  <w:marTop w:val="0"/>
                  <w:marBottom w:val="0"/>
                  <w:divBdr>
                    <w:top w:val="none" w:sz="0" w:space="0" w:color="auto"/>
                    <w:left w:val="none" w:sz="0" w:space="0" w:color="auto"/>
                    <w:bottom w:val="none" w:sz="0" w:space="0" w:color="auto"/>
                    <w:right w:val="none" w:sz="0" w:space="0" w:color="auto"/>
                  </w:divBdr>
                  <w:divsChild>
                    <w:div w:id="43456326">
                      <w:marLeft w:val="0"/>
                      <w:marRight w:val="0"/>
                      <w:marTop w:val="0"/>
                      <w:marBottom w:val="0"/>
                      <w:divBdr>
                        <w:top w:val="none" w:sz="0" w:space="0" w:color="auto"/>
                        <w:left w:val="none" w:sz="0" w:space="0" w:color="auto"/>
                        <w:bottom w:val="none" w:sz="0" w:space="0" w:color="auto"/>
                        <w:right w:val="none" w:sz="0" w:space="0" w:color="auto"/>
                      </w:divBdr>
                    </w:div>
                    <w:div w:id="1158033952">
                      <w:marLeft w:val="0"/>
                      <w:marRight w:val="0"/>
                      <w:marTop w:val="0"/>
                      <w:marBottom w:val="0"/>
                      <w:divBdr>
                        <w:top w:val="none" w:sz="0" w:space="0" w:color="auto"/>
                        <w:left w:val="none" w:sz="0" w:space="0" w:color="auto"/>
                        <w:bottom w:val="none" w:sz="0" w:space="0" w:color="auto"/>
                        <w:right w:val="none" w:sz="0" w:space="0" w:color="auto"/>
                      </w:divBdr>
                    </w:div>
                  </w:divsChild>
                </w:div>
                <w:div w:id="1693458721">
                  <w:marLeft w:val="0"/>
                  <w:marRight w:val="0"/>
                  <w:marTop w:val="0"/>
                  <w:marBottom w:val="0"/>
                  <w:divBdr>
                    <w:top w:val="none" w:sz="0" w:space="0" w:color="auto"/>
                    <w:left w:val="none" w:sz="0" w:space="0" w:color="auto"/>
                    <w:bottom w:val="none" w:sz="0" w:space="0" w:color="auto"/>
                    <w:right w:val="none" w:sz="0" w:space="0" w:color="auto"/>
                  </w:divBdr>
                  <w:divsChild>
                    <w:div w:id="675309501">
                      <w:marLeft w:val="0"/>
                      <w:marRight w:val="0"/>
                      <w:marTop w:val="0"/>
                      <w:marBottom w:val="0"/>
                      <w:divBdr>
                        <w:top w:val="none" w:sz="0" w:space="0" w:color="auto"/>
                        <w:left w:val="none" w:sz="0" w:space="0" w:color="auto"/>
                        <w:bottom w:val="none" w:sz="0" w:space="0" w:color="auto"/>
                        <w:right w:val="none" w:sz="0" w:space="0" w:color="auto"/>
                      </w:divBdr>
                    </w:div>
                  </w:divsChild>
                </w:div>
                <w:div w:id="1697735477">
                  <w:marLeft w:val="0"/>
                  <w:marRight w:val="0"/>
                  <w:marTop w:val="0"/>
                  <w:marBottom w:val="0"/>
                  <w:divBdr>
                    <w:top w:val="none" w:sz="0" w:space="0" w:color="auto"/>
                    <w:left w:val="none" w:sz="0" w:space="0" w:color="auto"/>
                    <w:bottom w:val="none" w:sz="0" w:space="0" w:color="auto"/>
                    <w:right w:val="none" w:sz="0" w:space="0" w:color="auto"/>
                  </w:divBdr>
                  <w:divsChild>
                    <w:div w:id="3557477">
                      <w:marLeft w:val="0"/>
                      <w:marRight w:val="0"/>
                      <w:marTop w:val="0"/>
                      <w:marBottom w:val="0"/>
                      <w:divBdr>
                        <w:top w:val="none" w:sz="0" w:space="0" w:color="auto"/>
                        <w:left w:val="none" w:sz="0" w:space="0" w:color="auto"/>
                        <w:bottom w:val="none" w:sz="0" w:space="0" w:color="auto"/>
                        <w:right w:val="none" w:sz="0" w:space="0" w:color="auto"/>
                      </w:divBdr>
                    </w:div>
                    <w:div w:id="1694645292">
                      <w:marLeft w:val="0"/>
                      <w:marRight w:val="0"/>
                      <w:marTop w:val="0"/>
                      <w:marBottom w:val="0"/>
                      <w:divBdr>
                        <w:top w:val="none" w:sz="0" w:space="0" w:color="auto"/>
                        <w:left w:val="none" w:sz="0" w:space="0" w:color="auto"/>
                        <w:bottom w:val="none" w:sz="0" w:space="0" w:color="auto"/>
                        <w:right w:val="none" w:sz="0" w:space="0" w:color="auto"/>
                      </w:divBdr>
                    </w:div>
                  </w:divsChild>
                </w:div>
                <w:div w:id="1766999160">
                  <w:marLeft w:val="0"/>
                  <w:marRight w:val="0"/>
                  <w:marTop w:val="0"/>
                  <w:marBottom w:val="0"/>
                  <w:divBdr>
                    <w:top w:val="none" w:sz="0" w:space="0" w:color="auto"/>
                    <w:left w:val="none" w:sz="0" w:space="0" w:color="auto"/>
                    <w:bottom w:val="none" w:sz="0" w:space="0" w:color="auto"/>
                    <w:right w:val="none" w:sz="0" w:space="0" w:color="auto"/>
                  </w:divBdr>
                  <w:divsChild>
                    <w:div w:id="1600287258">
                      <w:marLeft w:val="0"/>
                      <w:marRight w:val="0"/>
                      <w:marTop w:val="0"/>
                      <w:marBottom w:val="0"/>
                      <w:divBdr>
                        <w:top w:val="none" w:sz="0" w:space="0" w:color="auto"/>
                        <w:left w:val="none" w:sz="0" w:space="0" w:color="auto"/>
                        <w:bottom w:val="none" w:sz="0" w:space="0" w:color="auto"/>
                        <w:right w:val="none" w:sz="0" w:space="0" w:color="auto"/>
                      </w:divBdr>
                    </w:div>
                  </w:divsChild>
                </w:div>
                <w:div w:id="1801798962">
                  <w:marLeft w:val="0"/>
                  <w:marRight w:val="0"/>
                  <w:marTop w:val="0"/>
                  <w:marBottom w:val="0"/>
                  <w:divBdr>
                    <w:top w:val="none" w:sz="0" w:space="0" w:color="auto"/>
                    <w:left w:val="none" w:sz="0" w:space="0" w:color="auto"/>
                    <w:bottom w:val="none" w:sz="0" w:space="0" w:color="auto"/>
                    <w:right w:val="none" w:sz="0" w:space="0" w:color="auto"/>
                  </w:divBdr>
                  <w:divsChild>
                    <w:div w:id="284579875">
                      <w:marLeft w:val="0"/>
                      <w:marRight w:val="0"/>
                      <w:marTop w:val="0"/>
                      <w:marBottom w:val="0"/>
                      <w:divBdr>
                        <w:top w:val="none" w:sz="0" w:space="0" w:color="auto"/>
                        <w:left w:val="none" w:sz="0" w:space="0" w:color="auto"/>
                        <w:bottom w:val="none" w:sz="0" w:space="0" w:color="auto"/>
                        <w:right w:val="none" w:sz="0" w:space="0" w:color="auto"/>
                      </w:divBdr>
                    </w:div>
                  </w:divsChild>
                </w:div>
                <w:div w:id="1827353774">
                  <w:marLeft w:val="0"/>
                  <w:marRight w:val="0"/>
                  <w:marTop w:val="0"/>
                  <w:marBottom w:val="0"/>
                  <w:divBdr>
                    <w:top w:val="none" w:sz="0" w:space="0" w:color="auto"/>
                    <w:left w:val="none" w:sz="0" w:space="0" w:color="auto"/>
                    <w:bottom w:val="none" w:sz="0" w:space="0" w:color="auto"/>
                    <w:right w:val="none" w:sz="0" w:space="0" w:color="auto"/>
                  </w:divBdr>
                  <w:divsChild>
                    <w:div w:id="268781289">
                      <w:marLeft w:val="0"/>
                      <w:marRight w:val="0"/>
                      <w:marTop w:val="0"/>
                      <w:marBottom w:val="0"/>
                      <w:divBdr>
                        <w:top w:val="none" w:sz="0" w:space="0" w:color="auto"/>
                        <w:left w:val="none" w:sz="0" w:space="0" w:color="auto"/>
                        <w:bottom w:val="none" w:sz="0" w:space="0" w:color="auto"/>
                        <w:right w:val="none" w:sz="0" w:space="0" w:color="auto"/>
                      </w:divBdr>
                    </w:div>
                  </w:divsChild>
                </w:div>
                <w:div w:id="1897430910">
                  <w:marLeft w:val="0"/>
                  <w:marRight w:val="0"/>
                  <w:marTop w:val="0"/>
                  <w:marBottom w:val="0"/>
                  <w:divBdr>
                    <w:top w:val="none" w:sz="0" w:space="0" w:color="auto"/>
                    <w:left w:val="none" w:sz="0" w:space="0" w:color="auto"/>
                    <w:bottom w:val="none" w:sz="0" w:space="0" w:color="auto"/>
                    <w:right w:val="none" w:sz="0" w:space="0" w:color="auto"/>
                  </w:divBdr>
                  <w:divsChild>
                    <w:div w:id="1733771952">
                      <w:marLeft w:val="0"/>
                      <w:marRight w:val="0"/>
                      <w:marTop w:val="0"/>
                      <w:marBottom w:val="0"/>
                      <w:divBdr>
                        <w:top w:val="none" w:sz="0" w:space="0" w:color="auto"/>
                        <w:left w:val="none" w:sz="0" w:space="0" w:color="auto"/>
                        <w:bottom w:val="none" w:sz="0" w:space="0" w:color="auto"/>
                        <w:right w:val="none" w:sz="0" w:space="0" w:color="auto"/>
                      </w:divBdr>
                    </w:div>
                  </w:divsChild>
                </w:div>
                <w:div w:id="1926110684">
                  <w:marLeft w:val="0"/>
                  <w:marRight w:val="0"/>
                  <w:marTop w:val="0"/>
                  <w:marBottom w:val="0"/>
                  <w:divBdr>
                    <w:top w:val="none" w:sz="0" w:space="0" w:color="auto"/>
                    <w:left w:val="none" w:sz="0" w:space="0" w:color="auto"/>
                    <w:bottom w:val="none" w:sz="0" w:space="0" w:color="auto"/>
                    <w:right w:val="none" w:sz="0" w:space="0" w:color="auto"/>
                  </w:divBdr>
                  <w:divsChild>
                    <w:div w:id="396978283">
                      <w:marLeft w:val="0"/>
                      <w:marRight w:val="0"/>
                      <w:marTop w:val="0"/>
                      <w:marBottom w:val="0"/>
                      <w:divBdr>
                        <w:top w:val="none" w:sz="0" w:space="0" w:color="auto"/>
                        <w:left w:val="none" w:sz="0" w:space="0" w:color="auto"/>
                        <w:bottom w:val="none" w:sz="0" w:space="0" w:color="auto"/>
                        <w:right w:val="none" w:sz="0" w:space="0" w:color="auto"/>
                      </w:divBdr>
                    </w:div>
                  </w:divsChild>
                </w:div>
                <w:div w:id="1965043552">
                  <w:marLeft w:val="0"/>
                  <w:marRight w:val="0"/>
                  <w:marTop w:val="0"/>
                  <w:marBottom w:val="0"/>
                  <w:divBdr>
                    <w:top w:val="none" w:sz="0" w:space="0" w:color="auto"/>
                    <w:left w:val="none" w:sz="0" w:space="0" w:color="auto"/>
                    <w:bottom w:val="none" w:sz="0" w:space="0" w:color="auto"/>
                    <w:right w:val="none" w:sz="0" w:space="0" w:color="auto"/>
                  </w:divBdr>
                  <w:divsChild>
                    <w:div w:id="858085775">
                      <w:marLeft w:val="0"/>
                      <w:marRight w:val="0"/>
                      <w:marTop w:val="0"/>
                      <w:marBottom w:val="0"/>
                      <w:divBdr>
                        <w:top w:val="none" w:sz="0" w:space="0" w:color="auto"/>
                        <w:left w:val="none" w:sz="0" w:space="0" w:color="auto"/>
                        <w:bottom w:val="none" w:sz="0" w:space="0" w:color="auto"/>
                        <w:right w:val="none" w:sz="0" w:space="0" w:color="auto"/>
                      </w:divBdr>
                    </w:div>
                  </w:divsChild>
                </w:div>
                <w:div w:id="1973439719">
                  <w:marLeft w:val="0"/>
                  <w:marRight w:val="0"/>
                  <w:marTop w:val="0"/>
                  <w:marBottom w:val="0"/>
                  <w:divBdr>
                    <w:top w:val="none" w:sz="0" w:space="0" w:color="auto"/>
                    <w:left w:val="none" w:sz="0" w:space="0" w:color="auto"/>
                    <w:bottom w:val="none" w:sz="0" w:space="0" w:color="auto"/>
                    <w:right w:val="none" w:sz="0" w:space="0" w:color="auto"/>
                  </w:divBdr>
                  <w:divsChild>
                    <w:div w:id="669212939">
                      <w:marLeft w:val="0"/>
                      <w:marRight w:val="0"/>
                      <w:marTop w:val="0"/>
                      <w:marBottom w:val="0"/>
                      <w:divBdr>
                        <w:top w:val="none" w:sz="0" w:space="0" w:color="auto"/>
                        <w:left w:val="none" w:sz="0" w:space="0" w:color="auto"/>
                        <w:bottom w:val="none" w:sz="0" w:space="0" w:color="auto"/>
                        <w:right w:val="none" w:sz="0" w:space="0" w:color="auto"/>
                      </w:divBdr>
                    </w:div>
                  </w:divsChild>
                </w:div>
                <w:div w:id="1989743639">
                  <w:marLeft w:val="0"/>
                  <w:marRight w:val="0"/>
                  <w:marTop w:val="0"/>
                  <w:marBottom w:val="0"/>
                  <w:divBdr>
                    <w:top w:val="none" w:sz="0" w:space="0" w:color="auto"/>
                    <w:left w:val="none" w:sz="0" w:space="0" w:color="auto"/>
                    <w:bottom w:val="none" w:sz="0" w:space="0" w:color="auto"/>
                    <w:right w:val="none" w:sz="0" w:space="0" w:color="auto"/>
                  </w:divBdr>
                  <w:divsChild>
                    <w:div w:id="1322275455">
                      <w:marLeft w:val="0"/>
                      <w:marRight w:val="0"/>
                      <w:marTop w:val="0"/>
                      <w:marBottom w:val="0"/>
                      <w:divBdr>
                        <w:top w:val="none" w:sz="0" w:space="0" w:color="auto"/>
                        <w:left w:val="none" w:sz="0" w:space="0" w:color="auto"/>
                        <w:bottom w:val="none" w:sz="0" w:space="0" w:color="auto"/>
                        <w:right w:val="none" w:sz="0" w:space="0" w:color="auto"/>
                      </w:divBdr>
                    </w:div>
                  </w:divsChild>
                </w:div>
                <w:div w:id="2025131861">
                  <w:marLeft w:val="0"/>
                  <w:marRight w:val="0"/>
                  <w:marTop w:val="0"/>
                  <w:marBottom w:val="0"/>
                  <w:divBdr>
                    <w:top w:val="none" w:sz="0" w:space="0" w:color="auto"/>
                    <w:left w:val="none" w:sz="0" w:space="0" w:color="auto"/>
                    <w:bottom w:val="none" w:sz="0" w:space="0" w:color="auto"/>
                    <w:right w:val="none" w:sz="0" w:space="0" w:color="auto"/>
                  </w:divBdr>
                  <w:divsChild>
                    <w:div w:id="35742339">
                      <w:marLeft w:val="0"/>
                      <w:marRight w:val="0"/>
                      <w:marTop w:val="0"/>
                      <w:marBottom w:val="0"/>
                      <w:divBdr>
                        <w:top w:val="none" w:sz="0" w:space="0" w:color="auto"/>
                        <w:left w:val="none" w:sz="0" w:space="0" w:color="auto"/>
                        <w:bottom w:val="none" w:sz="0" w:space="0" w:color="auto"/>
                        <w:right w:val="none" w:sz="0" w:space="0" w:color="auto"/>
                      </w:divBdr>
                    </w:div>
                    <w:div w:id="1594127201">
                      <w:marLeft w:val="0"/>
                      <w:marRight w:val="0"/>
                      <w:marTop w:val="0"/>
                      <w:marBottom w:val="0"/>
                      <w:divBdr>
                        <w:top w:val="none" w:sz="0" w:space="0" w:color="auto"/>
                        <w:left w:val="none" w:sz="0" w:space="0" w:color="auto"/>
                        <w:bottom w:val="none" w:sz="0" w:space="0" w:color="auto"/>
                        <w:right w:val="none" w:sz="0" w:space="0" w:color="auto"/>
                      </w:divBdr>
                    </w:div>
                  </w:divsChild>
                </w:div>
                <w:div w:id="2067142472">
                  <w:marLeft w:val="0"/>
                  <w:marRight w:val="0"/>
                  <w:marTop w:val="0"/>
                  <w:marBottom w:val="0"/>
                  <w:divBdr>
                    <w:top w:val="none" w:sz="0" w:space="0" w:color="auto"/>
                    <w:left w:val="none" w:sz="0" w:space="0" w:color="auto"/>
                    <w:bottom w:val="none" w:sz="0" w:space="0" w:color="auto"/>
                    <w:right w:val="none" w:sz="0" w:space="0" w:color="auto"/>
                  </w:divBdr>
                  <w:divsChild>
                    <w:div w:id="29657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221613">
          <w:marLeft w:val="0"/>
          <w:marRight w:val="0"/>
          <w:marTop w:val="0"/>
          <w:marBottom w:val="0"/>
          <w:divBdr>
            <w:top w:val="none" w:sz="0" w:space="0" w:color="auto"/>
            <w:left w:val="none" w:sz="0" w:space="0" w:color="auto"/>
            <w:bottom w:val="none" w:sz="0" w:space="0" w:color="auto"/>
            <w:right w:val="none" w:sz="0" w:space="0" w:color="auto"/>
          </w:divBdr>
        </w:div>
        <w:div w:id="1064452845">
          <w:marLeft w:val="0"/>
          <w:marRight w:val="0"/>
          <w:marTop w:val="0"/>
          <w:marBottom w:val="0"/>
          <w:divBdr>
            <w:top w:val="none" w:sz="0" w:space="0" w:color="auto"/>
            <w:left w:val="none" w:sz="0" w:space="0" w:color="auto"/>
            <w:bottom w:val="none" w:sz="0" w:space="0" w:color="auto"/>
            <w:right w:val="none" w:sz="0" w:space="0" w:color="auto"/>
          </w:divBdr>
        </w:div>
        <w:div w:id="1849755883">
          <w:marLeft w:val="0"/>
          <w:marRight w:val="0"/>
          <w:marTop w:val="0"/>
          <w:marBottom w:val="0"/>
          <w:divBdr>
            <w:top w:val="none" w:sz="0" w:space="0" w:color="auto"/>
            <w:left w:val="none" w:sz="0" w:space="0" w:color="auto"/>
            <w:bottom w:val="none" w:sz="0" w:space="0" w:color="auto"/>
            <w:right w:val="none" w:sz="0" w:space="0" w:color="auto"/>
          </w:divBdr>
        </w:div>
      </w:divsChild>
    </w:div>
    <w:div w:id="943803744">
      <w:bodyDiv w:val="1"/>
      <w:marLeft w:val="0"/>
      <w:marRight w:val="0"/>
      <w:marTop w:val="0"/>
      <w:marBottom w:val="0"/>
      <w:divBdr>
        <w:top w:val="none" w:sz="0" w:space="0" w:color="auto"/>
        <w:left w:val="none" w:sz="0" w:space="0" w:color="auto"/>
        <w:bottom w:val="none" w:sz="0" w:space="0" w:color="auto"/>
        <w:right w:val="none" w:sz="0" w:space="0" w:color="auto"/>
      </w:divBdr>
      <w:divsChild>
        <w:div w:id="152256455">
          <w:marLeft w:val="0"/>
          <w:marRight w:val="0"/>
          <w:marTop w:val="0"/>
          <w:marBottom w:val="0"/>
          <w:divBdr>
            <w:top w:val="none" w:sz="0" w:space="0" w:color="auto"/>
            <w:left w:val="none" w:sz="0" w:space="0" w:color="auto"/>
            <w:bottom w:val="none" w:sz="0" w:space="0" w:color="auto"/>
            <w:right w:val="none" w:sz="0" w:space="0" w:color="auto"/>
          </w:divBdr>
        </w:div>
        <w:div w:id="201988577">
          <w:marLeft w:val="0"/>
          <w:marRight w:val="0"/>
          <w:marTop w:val="0"/>
          <w:marBottom w:val="0"/>
          <w:divBdr>
            <w:top w:val="none" w:sz="0" w:space="0" w:color="auto"/>
            <w:left w:val="none" w:sz="0" w:space="0" w:color="auto"/>
            <w:bottom w:val="none" w:sz="0" w:space="0" w:color="auto"/>
            <w:right w:val="none" w:sz="0" w:space="0" w:color="auto"/>
          </w:divBdr>
          <w:divsChild>
            <w:div w:id="1860240458">
              <w:marLeft w:val="0"/>
              <w:marRight w:val="0"/>
              <w:marTop w:val="0"/>
              <w:marBottom w:val="0"/>
              <w:divBdr>
                <w:top w:val="none" w:sz="0" w:space="0" w:color="auto"/>
                <w:left w:val="none" w:sz="0" w:space="0" w:color="auto"/>
                <w:bottom w:val="none" w:sz="0" w:space="0" w:color="auto"/>
                <w:right w:val="none" w:sz="0" w:space="0" w:color="auto"/>
              </w:divBdr>
              <w:divsChild>
                <w:div w:id="4795072">
                  <w:marLeft w:val="0"/>
                  <w:marRight w:val="0"/>
                  <w:marTop w:val="0"/>
                  <w:marBottom w:val="0"/>
                  <w:divBdr>
                    <w:top w:val="none" w:sz="0" w:space="0" w:color="auto"/>
                    <w:left w:val="none" w:sz="0" w:space="0" w:color="auto"/>
                    <w:bottom w:val="none" w:sz="0" w:space="0" w:color="auto"/>
                    <w:right w:val="none" w:sz="0" w:space="0" w:color="auto"/>
                  </w:divBdr>
                  <w:divsChild>
                    <w:div w:id="849878375">
                      <w:marLeft w:val="0"/>
                      <w:marRight w:val="0"/>
                      <w:marTop w:val="0"/>
                      <w:marBottom w:val="0"/>
                      <w:divBdr>
                        <w:top w:val="none" w:sz="0" w:space="0" w:color="auto"/>
                        <w:left w:val="none" w:sz="0" w:space="0" w:color="auto"/>
                        <w:bottom w:val="none" w:sz="0" w:space="0" w:color="auto"/>
                        <w:right w:val="none" w:sz="0" w:space="0" w:color="auto"/>
                      </w:divBdr>
                    </w:div>
                    <w:div w:id="2091584330">
                      <w:marLeft w:val="0"/>
                      <w:marRight w:val="0"/>
                      <w:marTop w:val="0"/>
                      <w:marBottom w:val="0"/>
                      <w:divBdr>
                        <w:top w:val="none" w:sz="0" w:space="0" w:color="auto"/>
                        <w:left w:val="none" w:sz="0" w:space="0" w:color="auto"/>
                        <w:bottom w:val="none" w:sz="0" w:space="0" w:color="auto"/>
                        <w:right w:val="none" w:sz="0" w:space="0" w:color="auto"/>
                      </w:divBdr>
                    </w:div>
                  </w:divsChild>
                </w:div>
                <w:div w:id="64257607">
                  <w:marLeft w:val="0"/>
                  <w:marRight w:val="0"/>
                  <w:marTop w:val="0"/>
                  <w:marBottom w:val="0"/>
                  <w:divBdr>
                    <w:top w:val="none" w:sz="0" w:space="0" w:color="auto"/>
                    <w:left w:val="none" w:sz="0" w:space="0" w:color="auto"/>
                    <w:bottom w:val="none" w:sz="0" w:space="0" w:color="auto"/>
                    <w:right w:val="none" w:sz="0" w:space="0" w:color="auto"/>
                  </w:divBdr>
                  <w:divsChild>
                    <w:div w:id="191573399">
                      <w:marLeft w:val="0"/>
                      <w:marRight w:val="0"/>
                      <w:marTop w:val="0"/>
                      <w:marBottom w:val="0"/>
                      <w:divBdr>
                        <w:top w:val="none" w:sz="0" w:space="0" w:color="auto"/>
                        <w:left w:val="none" w:sz="0" w:space="0" w:color="auto"/>
                        <w:bottom w:val="none" w:sz="0" w:space="0" w:color="auto"/>
                        <w:right w:val="none" w:sz="0" w:space="0" w:color="auto"/>
                      </w:divBdr>
                    </w:div>
                  </w:divsChild>
                </w:div>
                <w:div w:id="65542855">
                  <w:marLeft w:val="0"/>
                  <w:marRight w:val="0"/>
                  <w:marTop w:val="0"/>
                  <w:marBottom w:val="0"/>
                  <w:divBdr>
                    <w:top w:val="none" w:sz="0" w:space="0" w:color="auto"/>
                    <w:left w:val="none" w:sz="0" w:space="0" w:color="auto"/>
                    <w:bottom w:val="none" w:sz="0" w:space="0" w:color="auto"/>
                    <w:right w:val="none" w:sz="0" w:space="0" w:color="auto"/>
                  </w:divBdr>
                  <w:divsChild>
                    <w:div w:id="577792054">
                      <w:marLeft w:val="0"/>
                      <w:marRight w:val="0"/>
                      <w:marTop w:val="0"/>
                      <w:marBottom w:val="0"/>
                      <w:divBdr>
                        <w:top w:val="none" w:sz="0" w:space="0" w:color="auto"/>
                        <w:left w:val="none" w:sz="0" w:space="0" w:color="auto"/>
                        <w:bottom w:val="none" w:sz="0" w:space="0" w:color="auto"/>
                        <w:right w:val="none" w:sz="0" w:space="0" w:color="auto"/>
                      </w:divBdr>
                    </w:div>
                  </w:divsChild>
                </w:div>
                <w:div w:id="79179152">
                  <w:marLeft w:val="0"/>
                  <w:marRight w:val="0"/>
                  <w:marTop w:val="0"/>
                  <w:marBottom w:val="0"/>
                  <w:divBdr>
                    <w:top w:val="none" w:sz="0" w:space="0" w:color="auto"/>
                    <w:left w:val="none" w:sz="0" w:space="0" w:color="auto"/>
                    <w:bottom w:val="none" w:sz="0" w:space="0" w:color="auto"/>
                    <w:right w:val="none" w:sz="0" w:space="0" w:color="auto"/>
                  </w:divBdr>
                  <w:divsChild>
                    <w:div w:id="1147748043">
                      <w:marLeft w:val="0"/>
                      <w:marRight w:val="0"/>
                      <w:marTop w:val="0"/>
                      <w:marBottom w:val="0"/>
                      <w:divBdr>
                        <w:top w:val="none" w:sz="0" w:space="0" w:color="auto"/>
                        <w:left w:val="none" w:sz="0" w:space="0" w:color="auto"/>
                        <w:bottom w:val="none" w:sz="0" w:space="0" w:color="auto"/>
                        <w:right w:val="none" w:sz="0" w:space="0" w:color="auto"/>
                      </w:divBdr>
                    </w:div>
                  </w:divsChild>
                </w:div>
                <w:div w:id="127670531">
                  <w:marLeft w:val="0"/>
                  <w:marRight w:val="0"/>
                  <w:marTop w:val="0"/>
                  <w:marBottom w:val="0"/>
                  <w:divBdr>
                    <w:top w:val="none" w:sz="0" w:space="0" w:color="auto"/>
                    <w:left w:val="none" w:sz="0" w:space="0" w:color="auto"/>
                    <w:bottom w:val="none" w:sz="0" w:space="0" w:color="auto"/>
                    <w:right w:val="none" w:sz="0" w:space="0" w:color="auto"/>
                  </w:divBdr>
                  <w:divsChild>
                    <w:div w:id="1621574621">
                      <w:marLeft w:val="0"/>
                      <w:marRight w:val="0"/>
                      <w:marTop w:val="0"/>
                      <w:marBottom w:val="0"/>
                      <w:divBdr>
                        <w:top w:val="none" w:sz="0" w:space="0" w:color="auto"/>
                        <w:left w:val="none" w:sz="0" w:space="0" w:color="auto"/>
                        <w:bottom w:val="none" w:sz="0" w:space="0" w:color="auto"/>
                        <w:right w:val="none" w:sz="0" w:space="0" w:color="auto"/>
                      </w:divBdr>
                    </w:div>
                  </w:divsChild>
                </w:div>
                <w:div w:id="171772068">
                  <w:marLeft w:val="0"/>
                  <w:marRight w:val="0"/>
                  <w:marTop w:val="0"/>
                  <w:marBottom w:val="0"/>
                  <w:divBdr>
                    <w:top w:val="none" w:sz="0" w:space="0" w:color="auto"/>
                    <w:left w:val="none" w:sz="0" w:space="0" w:color="auto"/>
                    <w:bottom w:val="none" w:sz="0" w:space="0" w:color="auto"/>
                    <w:right w:val="none" w:sz="0" w:space="0" w:color="auto"/>
                  </w:divBdr>
                  <w:divsChild>
                    <w:div w:id="1327825550">
                      <w:marLeft w:val="0"/>
                      <w:marRight w:val="0"/>
                      <w:marTop w:val="0"/>
                      <w:marBottom w:val="0"/>
                      <w:divBdr>
                        <w:top w:val="none" w:sz="0" w:space="0" w:color="auto"/>
                        <w:left w:val="none" w:sz="0" w:space="0" w:color="auto"/>
                        <w:bottom w:val="none" w:sz="0" w:space="0" w:color="auto"/>
                        <w:right w:val="none" w:sz="0" w:space="0" w:color="auto"/>
                      </w:divBdr>
                    </w:div>
                  </w:divsChild>
                </w:div>
                <w:div w:id="184826646">
                  <w:marLeft w:val="0"/>
                  <w:marRight w:val="0"/>
                  <w:marTop w:val="0"/>
                  <w:marBottom w:val="0"/>
                  <w:divBdr>
                    <w:top w:val="none" w:sz="0" w:space="0" w:color="auto"/>
                    <w:left w:val="none" w:sz="0" w:space="0" w:color="auto"/>
                    <w:bottom w:val="none" w:sz="0" w:space="0" w:color="auto"/>
                    <w:right w:val="none" w:sz="0" w:space="0" w:color="auto"/>
                  </w:divBdr>
                  <w:divsChild>
                    <w:div w:id="797990372">
                      <w:marLeft w:val="0"/>
                      <w:marRight w:val="0"/>
                      <w:marTop w:val="0"/>
                      <w:marBottom w:val="0"/>
                      <w:divBdr>
                        <w:top w:val="none" w:sz="0" w:space="0" w:color="auto"/>
                        <w:left w:val="none" w:sz="0" w:space="0" w:color="auto"/>
                        <w:bottom w:val="none" w:sz="0" w:space="0" w:color="auto"/>
                        <w:right w:val="none" w:sz="0" w:space="0" w:color="auto"/>
                      </w:divBdr>
                    </w:div>
                  </w:divsChild>
                </w:div>
                <w:div w:id="259485805">
                  <w:marLeft w:val="0"/>
                  <w:marRight w:val="0"/>
                  <w:marTop w:val="0"/>
                  <w:marBottom w:val="0"/>
                  <w:divBdr>
                    <w:top w:val="none" w:sz="0" w:space="0" w:color="auto"/>
                    <w:left w:val="none" w:sz="0" w:space="0" w:color="auto"/>
                    <w:bottom w:val="none" w:sz="0" w:space="0" w:color="auto"/>
                    <w:right w:val="none" w:sz="0" w:space="0" w:color="auto"/>
                  </w:divBdr>
                  <w:divsChild>
                    <w:div w:id="1676299790">
                      <w:marLeft w:val="0"/>
                      <w:marRight w:val="0"/>
                      <w:marTop w:val="0"/>
                      <w:marBottom w:val="0"/>
                      <w:divBdr>
                        <w:top w:val="none" w:sz="0" w:space="0" w:color="auto"/>
                        <w:left w:val="none" w:sz="0" w:space="0" w:color="auto"/>
                        <w:bottom w:val="none" w:sz="0" w:space="0" w:color="auto"/>
                        <w:right w:val="none" w:sz="0" w:space="0" w:color="auto"/>
                      </w:divBdr>
                    </w:div>
                  </w:divsChild>
                </w:div>
                <w:div w:id="265431764">
                  <w:marLeft w:val="0"/>
                  <w:marRight w:val="0"/>
                  <w:marTop w:val="0"/>
                  <w:marBottom w:val="0"/>
                  <w:divBdr>
                    <w:top w:val="none" w:sz="0" w:space="0" w:color="auto"/>
                    <w:left w:val="none" w:sz="0" w:space="0" w:color="auto"/>
                    <w:bottom w:val="none" w:sz="0" w:space="0" w:color="auto"/>
                    <w:right w:val="none" w:sz="0" w:space="0" w:color="auto"/>
                  </w:divBdr>
                  <w:divsChild>
                    <w:div w:id="1704861698">
                      <w:marLeft w:val="0"/>
                      <w:marRight w:val="0"/>
                      <w:marTop w:val="0"/>
                      <w:marBottom w:val="0"/>
                      <w:divBdr>
                        <w:top w:val="none" w:sz="0" w:space="0" w:color="auto"/>
                        <w:left w:val="none" w:sz="0" w:space="0" w:color="auto"/>
                        <w:bottom w:val="none" w:sz="0" w:space="0" w:color="auto"/>
                        <w:right w:val="none" w:sz="0" w:space="0" w:color="auto"/>
                      </w:divBdr>
                    </w:div>
                  </w:divsChild>
                </w:div>
                <w:div w:id="298464199">
                  <w:marLeft w:val="0"/>
                  <w:marRight w:val="0"/>
                  <w:marTop w:val="0"/>
                  <w:marBottom w:val="0"/>
                  <w:divBdr>
                    <w:top w:val="none" w:sz="0" w:space="0" w:color="auto"/>
                    <w:left w:val="none" w:sz="0" w:space="0" w:color="auto"/>
                    <w:bottom w:val="none" w:sz="0" w:space="0" w:color="auto"/>
                    <w:right w:val="none" w:sz="0" w:space="0" w:color="auto"/>
                  </w:divBdr>
                  <w:divsChild>
                    <w:div w:id="605698109">
                      <w:marLeft w:val="0"/>
                      <w:marRight w:val="0"/>
                      <w:marTop w:val="0"/>
                      <w:marBottom w:val="0"/>
                      <w:divBdr>
                        <w:top w:val="none" w:sz="0" w:space="0" w:color="auto"/>
                        <w:left w:val="none" w:sz="0" w:space="0" w:color="auto"/>
                        <w:bottom w:val="none" w:sz="0" w:space="0" w:color="auto"/>
                        <w:right w:val="none" w:sz="0" w:space="0" w:color="auto"/>
                      </w:divBdr>
                    </w:div>
                  </w:divsChild>
                </w:div>
                <w:div w:id="329334502">
                  <w:marLeft w:val="0"/>
                  <w:marRight w:val="0"/>
                  <w:marTop w:val="0"/>
                  <w:marBottom w:val="0"/>
                  <w:divBdr>
                    <w:top w:val="none" w:sz="0" w:space="0" w:color="auto"/>
                    <w:left w:val="none" w:sz="0" w:space="0" w:color="auto"/>
                    <w:bottom w:val="none" w:sz="0" w:space="0" w:color="auto"/>
                    <w:right w:val="none" w:sz="0" w:space="0" w:color="auto"/>
                  </w:divBdr>
                  <w:divsChild>
                    <w:div w:id="398867037">
                      <w:marLeft w:val="0"/>
                      <w:marRight w:val="0"/>
                      <w:marTop w:val="0"/>
                      <w:marBottom w:val="0"/>
                      <w:divBdr>
                        <w:top w:val="none" w:sz="0" w:space="0" w:color="auto"/>
                        <w:left w:val="none" w:sz="0" w:space="0" w:color="auto"/>
                        <w:bottom w:val="none" w:sz="0" w:space="0" w:color="auto"/>
                        <w:right w:val="none" w:sz="0" w:space="0" w:color="auto"/>
                      </w:divBdr>
                    </w:div>
                  </w:divsChild>
                </w:div>
                <w:div w:id="361635325">
                  <w:marLeft w:val="0"/>
                  <w:marRight w:val="0"/>
                  <w:marTop w:val="0"/>
                  <w:marBottom w:val="0"/>
                  <w:divBdr>
                    <w:top w:val="none" w:sz="0" w:space="0" w:color="auto"/>
                    <w:left w:val="none" w:sz="0" w:space="0" w:color="auto"/>
                    <w:bottom w:val="none" w:sz="0" w:space="0" w:color="auto"/>
                    <w:right w:val="none" w:sz="0" w:space="0" w:color="auto"/>
                  </w:divBdr>
                  <w:divsChild>
                    <w:div w:id="2039695636">
                      <w:marLeft w:val="0"/>
                      <w:marRight w:val="0"/>
                      <w:marTop w:val="0"/>
                      <w:marBottom w:val="0"/>
                      <w:divBdr>
                        <w:top w:val="none" w:sz="0" w:space="0" w:color="auto"/>
                        <w:left w:val="none" w:sz="0" w:space="0" w:color="auto"/>
                        <w:bottom w:val="none" w:sz="0" w:space="0" w:color="auto"/>
                        <w:right w:val="none" w:sz="0" w:space="0" w:color="auto"/>
                      </w:divBdr>
                    </w:div>
                  </w:divsChild>
                </w:div>
                <w:div w:id="364446940">
                  <w:marLeft w:val="0"/>
                  <w:marRight w:val="0"/>
                  <w:marTop w:val="0"/>
                  <w:marBottom w:val="0"/>
                  <w:divBdr>
                    <w:top w:val="none" w:sz="0" w:space="0" w:color="auto"/>
                    <w:left w:val="none" w:sz="0" w:space="0" w:color="auto"/>
                    <w:bottom w:val="none" w:sz="0" w:space="0" w:color="auto"/>
                    <w:right w:val="none" w:sz="0" w:space="0" w:color="auto"/>
                  </w:divBdr>
                  <w:divsChild>
                    <w:div w:id="982659915">
                      <w:marLeft w:val="0"/>
                      <w:marRight w:val="0"/>
                      <w:marTop w:val="0"/>
                      <w:marBottom w:val="0"/>
                      <w:divBdr>
                        <w:top w:val="none" w:sz="0" w:space="0" w:color="auto"/>
                        <w:left w:val="none" w:sz="0" w:space="0" w:color="auto"/>
                        <w:bottom w:val="none" w:sz="0" w:space="0" w:color="auto"/>
                        <w:right w:val="none" w:sz="0" w:space="0" w:color="auto"/>
                      </w:divBdr>
                    </w:div>
                    <w:div w:id="1752239719">
                      <w:marLeft w:val="0"/>
                      <w:marRight w:val="0"/>
                      <w:marTop w:val="0"/>
                      <w:marBottom w:val="0"/>
                      <w:divBdr>
                        <w:top w:val="none" w:sz="0" w:space="0" w:color="auto"/>
                        <w:left w:val="none" w:sz="0" w:space="0" w:color="auto"/>
                        <w:bottom w:val="none" w:sz="0" w:space="0" w:color="auto"/>
                        <w:right w:val="none" w:sz="0" w:space="0" w:color="auto"/>
                      </w:divBdr>
                    </w:div>
                  </w:divsChild>
                </w:div>
                <w:div w:id="365911649">
                  <w:marLeft w:val="0"/>
                  <w:marRight w:val="0"/>
                  <w:marTop w:val="0"/>
                  <w:marBottom w:val="0"/>
                  <w:divBdr>
                    <w:top w:val="none" w:sz="0" w:space="0" w:color="auto"/>
                    <w:left w:val="none" w:sz="0" w:space="0" w:color="auto"/>
                    <w:bottom w:val="none" w:sz="0" w:space="0" w:color="auto"/>
                    <w:right w:val="none" w:sz="0" w:space="0" w:color="auto"/>
                  </w:divBdr>
                  <w:divsChild>
                    <w:div w:id="1598292759">
                      <w:marLeft w:val="0"/>
                      <w:marRight w:val="0"/>
                      <w:marTop w:val="0"/>
                      <w:marBottom w:val="0"/>
                      <w:divBdr>
                        <w:top w:val="none" w:sz="0" w:space="0" w:color="auto"/>
                        <w:left w:val="none" w:sz="0" w:space="0" w:color="auto"/>
                        <w:bottom w:val="none" w:sz="0" w:space="0" w:color="auto"/>
                        <w:right w:val="none" w:sz="0" w:space="0" w:color="auto"/>
                      </w:divBdr>
                    </w:div>
                  </w:divsChild>
                </w:div>
                <w:div w:id="415909300">
                  <w:marLeft w:val="0"/>
                  <w:marRight w:val="0"/>
                  <w:marTop w:val="0"/>
                  <w:marBottom w:val="0"/>
                  <w:divBdr>
                    <w:top w:val="none" w:sz="0" w:space="0" w:color="auto"/>
                    <w:left w:val="none" w:sz="0" w:space="0" w:color="auto"/>
                    <w:bottom w:val="none" w:sz="0" w:space="0" w:color="auto"/>
                    <w:right w:val="none" w:sz="0" w:space="0" w:color="auto"/>
                  </w:divBdr>
                  <w:divsChild>
                    <w:div w:id="356201459">
                      <w:marLeft w:val="0"/>
                      <w:marRight w:val="0"/>
                      <w:marTop w:val="0"/>
                      <w:marBottom w:val="0"/>
                      <w:divBdr>
                        <w:top w:val="none" w:sz="0" w:space="0" w:color="auto"/>
                        <w:left w:val="none" w:sz="0" w:space="0" w:color="auto"/>
                        <w:bottom w:val="none" w:sz="0" w:space="0" w:color="auto"/>
                        <w:right w:val="none" w:sz="0" w:space="0" w:color="auto"/>
                      </w:divBdr>
                    </w:div>
                  </w:divsChild>
                </w:div>
                <w:div w:id="494953104">
                  <w:marLeft w:val="0"/>
                  <w:marRight w:val="0"/>
                  <w:marTop w:val="0"/>
                  <w:marBottom w:val="0"/>
                  <w:divBdr>
                    <w:top w:val="none" w:sz="0" w:space="0" w:color="auto"/>
                    <w:left w:val="none" w:sz="0" w:space="0" w:color="auto"/>
                    <w:bottom w:val="none" w:sz="0" w:space="0" w:color="auto"/>
                    <w:right w:val="none" w:sz="0" w:space="0" w:color="auto"/>
                  </w:divBdr>
                  <w:divsChild>
                    <w:div w:id="186142032">
                      <w:marLeft w:val="0"/>
                      <w:marRight w:val="0"/>
                      <w:marTop w:val="0"/>
                      <w:marBottom w:val="0"/>
                      <w:divBdr>
                        <w:top w:val="none" w:sz="0" w:space="0" w:color="auto"/>
                        <w:left w:val="none" w:sz="0" w:space="0" w:color="auto"/>
                        <w:bottom w:val="none" w:sz="0" w:space="0" w:color="auto"/>
                        <w:right w:val="none" w:sz="0" w:space="0" w:color="auto"/>
                      </w:divBdr>
                    </w:div>
                  </w:divsChild>
                </w:div>
                <w:div w:id="521745301">
                  <w:marLeft w:val="0"/>
                  <w:marRight w:val="0"/>
                  <w:marTop w:val="0"/>
                  <w:marBottom w:val="0"/>
                  <w:divBdr>
                    <w:top w:val="none" w:sz="0" w:space="0" w:color="auto"/>
                    <w:left w:val="none" w:sz="0" w:space="0" w:color="auto"/>
                    <w:bottom w:val="none" w:sz="0" w:space="0" w:color="auto"/>
                    <w:right w:val="none" w:sz="0" w:space="0" w:color="auto"/>
                  </w:divBdr>
                  <w:divsChild>
                    <w:div w:id="60300368">
                      <w:marLeft w:val="0"/>
                      <w:marRight w:val="0"/>
                      <w:marTop w:val="0"/>
                      <w:marBottom w:val="0"/>
                      <w:divBdr>
                        <w:top w:val="none" w:sz="0" w:space="0" w:color="auto"/>
                        <w:left w:val="none" w:sz="0" w:space="0" w:color="auto"/>
                        <w:bottom w:val="none" w:sz="0" w:space="0" w:color="auto"/>
                        <w:right w:val="none" w:sz="0" w:space="0" w:color="auto"/>
                      </w:divBdr>
                    </w:div>
                    <w:div w:id="1278171386">
                      <w:marLeft w:val="0"/>
                      <w:marRight w:val="0"/>
                      <w:marTop w:val="0"/>
                      <w:marBottom w:val="0"/>
                      <w:divBdr>
                        <w:top w:val="none" w:sz="0" w:space="0" w:color="auto"/>
                        <w:left w:val="none" w:sz="0" w:space="0" w:color="auto"/>
                        <w:bottom w:val="none" w:sz="0" w:space="0" w:color="auto"/>
                        <w:right w:val="none" w:sz="0" w:space="0" w:color="auto"/>
                      </w:divBdr>
                    </w:div>
                  </w:divsChild>
                </w:div>
                <w:div w:id="548761927">
                  <w:marLeft w:val="0"/>
                  <w:marRight w:val="0"/>
                  <w:marTop w:val="0"/>
                  <w:marBottom w:val="0"/>
                  <w:divBdr>
                    <w:top w:val="none" w:sz="0" w:space="0" w:color="auto"/>
                    <w:left w:val="none" w:sz="0" w:space="0" w:color="auto"/>
                    <w:bottom w:val="none" w:sz="0" w:space="0" w:color="auto"/>
                    <w:right w:val="none" w:sz="0" w:space="0" w:color="auto"/>
                  </w:divBdr>
                  <w:divsChild>
                    <w:div w:id="1576161900">
                      <w:marLeft w:val="0"/>
                      <w:marRight w:val="0"/>
                      <w:marTop w:val="0"/>
                      <w:marBottom w:val="0"/>
                      <w:divBdr>
                        <w:top w:val="none" w:sz="0" w:space="0" w:color="auto"/>
                        <w:left w:val="none" w:sz="0" w:space="0" w:color="auto"/>
                        <w:bottom w:val="none" w:sz="0" w:space="0" w:color="auto"/>
                        <w:right w:val="none" w:sz="0" w:space="0" w:color="auto"/>
                      </w:divBdr>
                    </w:div>
                  </w:divsChild>
                </w:div>
                <w:div w:id="619607541">
                  <w:marLeft w:val="0"/>
                  <w:marRight w:val="0"/>
                  <w:marTop w:val="0"/>
                  <w:marBottom w:val="0"/>
                  <w:divBdr>
                    <w:top w:val="none" w:sz="0" w:space="0" w:color="auto"/>
                    <w:left w:val="none" w:sz="0" w:space="0" w:color="auto"/>
                    <w:bottom w:val="none" w:sz="0" w:space="0" w:color="auto"/>
                    <w:right w:val="none" w:sz="0" w:space="0" w:color="auto"/>
                  </w:divBdr>
                  <w:divsChild>
                    <w:div w:id="1357733535">
                      <w:marLeft w:val="0"/>
                      <w:marRight w:val="0"/>
                      <w:marTop w:val="0"/>
                      <w:marBottom w:val="0"/>
                      <w:divBdr>
                        <w:top w:val="none" w:sz="0" w:space="0" w:color="auto"/>
                        <w:left w:val="none" w:sz="0" w:space="0" w:color="auto"/>
                        <w:bottom w:val="none" w:sz="0" w:space="0" w:color="auto"/>
                        <w:right w:val="none" w:sz="0" w:space="0" w:color="auto"/>
                      </w:divBdr>
                    </w:div>
                  </w:divsChild>
                </w:div>
                <w:div w:id="624428181">
                  <w:marLeft w:val="0"/>
                  <w:marRight w:val="0"/>
                  <w:marTop w:val="0"/>
                  <w:marBottom w:val="0"/>
                  <w:divBdr>
                    <w:top w:val="none" w:sz="0" w:space="0" w:color="auto"/>
                    <w:left w:val="none" w:sz="0" w:space="0" w:color="auto"/>
                    <w:bottom w:val="none" w:sz="0" w:space="0" w:color="auto"/>
                    <w:right w:val="none" w:sz="0" w:space="0" w:color="auto"/>
                  </w:divBdr>
                  <w:divsChild>
                    <w:div w:id="1553423117">
                      <w:marLeft w:val="0"/>
                      <w:marRight w:val="0"/>
                      <w:marTop w:val="0"/>
                      <w:marBottom w:val="0"/>
                      <w:divBdr>
                        <w:top w:val="none" w:sz="0" w:space="0" w:color="auto"/>
                        <w:left w:val="none" w:sz="0" w:space="0" w:color="auto"/>
                        <w:bottom w:val="none" w:sz="0" w:space="0" w:color="auto"/>
                        <w:right w:val="none" w:sz="0" w:space="0" w:color="auto"/>
                      </w:divBdr>
                    </w:div>
                  </w:divsChild>
                </w:div>
                <w:div w:id="629555652">
                  <w:marLeft w:val="0"/>
                  <w:marRight w:val="0"/>
                  <w:marTop w:val="0"/>
                  <w:marBottom w:val="0"/>
                  <w:divBdr>
                    <w:top w:val="none" w:sz="0" w:space="0" w:color="auto"/>
                    <w:left w:val="none" w:sz="0" w:space="0" w:color="auto"/>
                    <w:bottom w:val="none" w:sz="0" w:space="0" w:color="auto"/>
                    <w:right w:val="none" w:sz="0" w:space="0" w:color="auto"/>
                  </w:divBdr>
                  <w:divsChild>
                    <w:div w:id="614334558">
                      <w:marLeft w:val="0"/>
                      <w:marRight w:val="0"/>
                      <w:marTop w:val="0"/>
                      <w:marBottom w:val="0"/>
                      <w:divBdr>
                        <w:top w:val="none" w:sz="0" w:space="0" w:color="auto"/>
                        <w:left w:val="none" w:sz="0" w:space="0" w:color="auto"/>
                        <w:bottom w:val="none" w:sz="0" w:space="0" w:color="auto"/>
                        <w:right w:val="none" w:sz="0" w:space="0" w:color="auto"/>
                      </w:divBdr>
                    </w:div>
                  </w:divsChild>
                </w:div>
                <w:div w:id="798497454">
                  <w:marLeft w:val="0"/>
                  <w:marRight w:val="0"/>
                  <w:marTop w:val="0"/>
                  <w:marBottom w:val="0"/>
                  <w:divBdr>
                    <w:top w:val="none" w:sz="0" w:space="0" w:color="auto"/>
                    <w:left w:val="none" w:sz="0" w:space="0" w:color="auto"/>
                    <w:bottom w:val="none" w:sz="0" w:space="0" w:color="auto"/>
                    <w:right w:val="none" w:sz="0" w:space="0" w:color="auto"/>
                  </w:divBdr>
                  <w:divsChild>
                    <w:div w:id="323901058">
                      <w:marLeft w:val="0"/>
                      <w:marRight w:val="0"/>
                      <w:marTop w:val="0"/>
                      <w:marBottom w:val="0"/>
                      <w:divBdr>
                        <w:top w:val="none" w:sz="0" w:space="0" w:color="auto"/>
                        <w:left w:val="none" w:sz="0" w:space="0" w:color="auto"/>
                        <w:bottom w:val="none" w:sz="0" w:space="0" w:color="auto"/>
                        <w:right w:val="none" w:sz="0" w:space="0" w:color="auto"/>
                      </w:divBdr>
                    </w:div>
                    <w:div w:id="1518497971">
                      <w:marLeft w:val="0"/>
                      <w:marRight w:val="0"/>
                      <w:marTop w:val="0"/>
                      <w:marBottom w:val="0"/>
                      <w:divBdr>
                        <w:top w:val="none" w:sz="0" w:space="0" w:color="auto"/>
                        <w:left w:val="none" w:sz="0" w:space="0" w:color="auto"/>
                        <w:bottom w:val="none" w:sz="0" w:space="0" w:color="auto"/>
                        <w:right w:val="none" w:sz="0" w:space="0" w:color="auto"/>
                      </w:divBdr>
                    </w:div>
                  </w:divsChild>
                </w:div>
                <w:div w:id="832379575">
                  <w:marLeft w:val="0"/>
                  <w:marRight w:val="0"/>
                  <w:marTop w:val="0"/>
                  <w:marBottom w:val="0"/>
                  <w:divBdr>
                    <w:top w:val="none" w:sz="0" w:space="0" w:color="auto"/>
                    <w:left w:val="none" w:sz="0" w:space="0" w:color="auto"/>
                    <w:bottom w:val="none" w:sz="0" w:space="0" w:color="auto"/>
                    <w:right w:val="none" w:sz="0" w:space="0" w:color="auto"/>
                  </w:divBdr>
                  <w:divsChild>
                    <w:div w:id="2129082513">
                      <w:marLeft w:val="0"/>
                      <w:marRight w:val="0"/>
                      <w:marTop w:val="0"/>
                      <w:marBottom w:val="0"/>
                      <w:divBdr>
                        <w:top w:val="none" w:sz="0" w:space="0" w:color="auto"/>
                        <w:left w:val="none" w:sz="0" w:space="0" w:color="auto"/>
                        <w:bottom w:val="none" w:sz="0" w:space="0" w:color="auto"/>
                        <w:right w:val="none" w:sz="0" w:space="0" w:color="auto"/>
                      </w:divBdr>
                    </w:div>
                  </w:divsChild>
                </w:div>
                <w:div w:id="881015026">
                  <w:marLeft w:val="0"/>
                  <w:marRight w:val="0"/>
                  <w:marTop w:val="0"/>
                  <w:marBottom w:val="0"/>
                  <w:divBdr>
                    <w:top w:val="none" w:sz="0" w:space="0" w:color="auto"/>
                    <w:left w:val="none" w:sz="0" w:space="0" w:color="auto"/>
                    <w:bottom w:val="none" w:sz="0" w:space="0" w:color="auto"/>
                    <w:right w:val="none" w:sz="0" w:space="0" w:color="auto"/>
                  </w:divBdr>
                  <w:divsChild>
                    <w:div w:id="1889494358">
                      <w:marLeft w:val="0"/>
                      <w:marRight w:val="0"/>
                      <w:marTop w:val="0"/>
                      <w:marBottom w:val="0"/>
                      <w:divBdr>
                        <w:top w:val="none" w:sz="0" w:space="0" w:color="auto"/>
                        <w:left w:val="none" w:sz="0" w:space="0" w:color="auto"/>
                        <w:bottom w:val="none" w:sz="0" w:space="0" w:color="auto"/>
                        <w:right w:val="none" w:sz="0" w:space="0" w:color="auto"/>
                      </w:divBdr>
                    </w:div>
                  </w:divsChild>
                </w:div>
                <w:div w:id="895287299">
                  <w:marLeft w:val="0"/>
                  <w:marRight w:val="0"/>
                  <w:marTop w:val="0"/>
                  <w:marBottom w:val="0"/>
                  <w:divBdr>
                    <w:top w:val="none" w:sz="0" w:space="0" w:color="auto"/>
                    <w:left w:val="none" w:sz="0" w:space="0" w:color="auto"/>
                    <w:bottom w:val="none" w:sz="0" w:space="0" w:color="auto"/>
                    <w:right w:val="none" w:sz="0" w:space="0" w:color="auto"/>
                  </w:divBdr>
                  <w:divsChild>
                    <w:div w:id="445006801">
                      <w:marLeft w:val="0"/>
                      <w:marRight w:val="0"/>
                      <w:marTop w:val="0"/>
                      <w:marBottom w:val="0"/>
                      <w:divBdr>
                        <w:top w:val="none" w:sz="0" w:space="0" w:color="auto"/>
                        <w:left w:val="none" w:sz="0" w:space="0" w:color="auto"/>
                        <w:bottom w:val="none" w:sz="0" w:space="0" w:color="auto"/>
                        <w:right w:val="none" w:sz="0" w:space="0" w:color="auto"/>
                      </w:divBdr>
                    </w:div>
                  </w:divsChild>
                </w:div>
                <w:div w:id="933053544">
                  <w:marLeft w:val="0"/>
                  <w:marRight w:val="0"/>
                  <w:marTop w:val="0"/>
                  <w:marBottom w:val="0"/>
                  <w:divBdr>
                    <w:top w:val="none" w:sz="0" w:space="0" w:color="auto"/>
                    <w:left w:val="none" w:sz="0" w:space="0" w:color="auto"/>
                    <w:bottom w:val="none" w:sz="0" w:space="0" w:color="auto"/>
                    <w:right w:val="none" w:sz="0" w:space="0" w:color="auto"/>
                  </w:divBdr>
                  <w:divsChild>
                    <w:div w:id="1994141234">
                      <w:marLeft w:val="0"/>
                      <w:marRight w:val="0"/>
                      <w:marTop w:val="0"/>
                      <w:marBottom w:val="0"/>
                      <w:divBdr>
                        <w:top w:val="none" w:sz="0" w:space="0" w:color="auto"/>
                        <w:left w:val="none" w:sz="0" w:space="0" w:color="auto"/>
                        <w:bottom w:val="none" w:sz="0" w:space="0" w:color="auto"/>
                        <w:right w:val="none" w:sz="0" w:space="0" w:color="auto"/>
                      </w:divBdr>
                    </w:div>
                  </w:divsChild>
                </w:div>
                <w:div w:id="1084062431">
                  <w:marLeft w:val="0"/>
                  <w:marRight w:val="0"/>
                  <w:marTop w:val="0"/>
                  <w:marBottom w:val="0"/>
                  <w:divBdr>
                    <w:top w:val="none" w:sz="0" w:space="0" w:color="auto"/>
                    <w:left w:val="none" w:sz="0" w:space="0" w:color="auto"/>
                    <w:bottom w:val="none" w:sz="0" w:space="0" w:color="auto"/>
                    <w:right w:val="none" w:sz="0" w:space="0" w:color="auto"/>
                  </w:divBdr>
                  <w:divsChild>
                    <w:div w:id="1040864308">
                      <w:marLeft w:val="0"/>
                      <w:marRight w:val="0"/>
                      <w:marTop w:val="0"/>
                      <w:marBottom w:val="0"/>
                      <w:divBdr>
                        <w:top w:val="none" w:sz="0" w:space="0" w:color="auto"/>
                        <w:left w:val="none" w:sz="0" w:space="0" w:color="auto"/>
                        <w:bottom w:val="none" w:sz="0" w:space="0" w:color="auto"/>
                        <w:right w:val="none" w:sz="0" w:space="0" w:color="auto"/>
                      </w:divBdr>
                    </w:div>
                    <w:div w:id="1853374887">
                      <w:marLeft w:val="0"/>
                      <w:marRight w:val="0"/>
                      <w:marTop w:val="0"/>
                      <w:marBottom w:val="0"/>
                      <w:divBdr>
                        <w:top w:val="none" w:sz="0" w:space="0" w:color="auto"/>
                        <w:left w:val="none" w:sz="0" w:space="0" w:color="auto"/>
                        <w:bottom w:val="none" w:sz="0" w:space="0" w:color="auto"/>
                        <w:right w:val="none" w:sz="0" w:space="0" w:color="auto"/>
                      </w:divBdr>
                    </w:div>
                  </w:divsChild>
                </w:div>
                <w:div w:id="1084305471">
                  <w:marLeft w:val="0"/>
                  <w:marRight w:val="0"/>
                  <w:marTop w:val="0"/>
                  <w:marBottom w:val="0"/>
                  <w:divBdr>
                    <w:top w:val="none" w:sz="0" w:space="0" w:color="auto"/>
                    <w:left w:val="none" w:sz="0" w:space="0" w:color="auto"/>
                    <w:bottom w:val="none" w:sz="0" w:space="0" w:color="auto"/>
                    <w:right w:val="none" w:sz="0" w:space="0" w:color="auto"/>
                  </w:divBdr>
                  <w:divsChild>
                    <w:div w:id="503782211">
                      <w:marLeft w:val="0"/>
                      <w:marRight w:val="0"/>
                      <w:marTop w:val="0"/>
                      <w:marBottom w:val="0"/>
                      <w:divBdr>
                        <w:top w:val="none" w:sz="0" w:space="0" w:color="auto"/>
                        <w:left w:val="none" w:sz="0" w:space="0" w:color="auto"/>
                        <w:bottom w:val="none" w:sz="0" w:space="0" w:color="auto"/>
                        <w:right w:val="none" w:sz="0" w:space="0" w:color="auto"/>
                      </w:divBdr>
                    </w:div>
                    <w:div w:id="1561558120">
                      <w:marLeft w:val="0"/>
                      <w:marRight w:val="0"/>
                      <w:marTop w:val="0"/>
                      <w:marBottom w:val="0"/>
                      <w:divBdr>
                        <w:top w:val="none" w:sz="0" w:space="0" w:color="auto"/>
                        <w:left w:val="none" w:sz="0" w:space="0" w:color="auto"/>
                        <w:bottom w:val="none" w:sz="0" w:space="0" w:color="auto"/>
                        <w:right w:val="none" w:sz="0" w:space="0" w:color="auto"/>
                      </w:divBdr>
                    </w:div>
                  </w:divsChild>
                </w:div>
                <w:div w:id="1084450633">
                  <w:marLeft w:val="0"/>
                  <w:marRight w:val="0"/>
                  <w:marTop w:val="0"/>
                  <w:marBottom w:val="0"/>
                  <w:divBdr>
                    <w:top w:val="none" w:sz="0" w:space="0" w:color="auto"/>
                    <w:left w:val="none" w:sz="0" w:space="0" w:color="auto"/>
                    <w:bottom w:val="none" w:sz="0" w:space="0" w:color="auto"/>
                    <w:right w:val="none" w:sz="0" w:space="0" w:color="auto"/>
                  </w:divBdr>
                  <w:divsChild>
                    <w:div w:id="403643712">
                      <w:marLeft w:val="0"/>
                      <w:marRight w:val="0"/>
                      <w:marTop w:val="0"/>
                      <w:marBottom w:val="0"/>
                      <w:divBdr>
                        <w:top w:val="none" w:sz="0" w:space="0" w:color="auto"/>
                        <w:left w:val="none" w:sz="0" w:space="0" w:color="auto"/>
                        <w:bottom w:val="none" w:sz="0" w:space="0" w:color="auto"/>
                        <w:right w:val="none" w:sz="0" w:space="0" w:color="auto"/>
                      </w:divBdr>
                    </w:div>
                  </w:divsChild>
                </w:div>
                <w:div w:id="1094745806">
                  <w:marLeft w:val="0"/>
                  <w:marRight w:val="0"/>
                  <w:marTop w:val="0"/>
                  <w:marBottom w:val="0"/>
                  <w:divBdr>
                    <w:top w:val="none" w:sz="0" w:space="0" w:color="auto"/>
                    <w:left w:val="none" w:sz="0" w:space="0" w:color="auto"/>
                    <w:bottom w:val="none" w:sz="0" w:space="0" w:color="auto"/>
                    <w:right w:val="none" w:sz="0" w:space="0" w:color="auto"/>
                  </w:divBdr>
                  <w:divsChild>
                    <w:div w:id="1578586950">
                      <w:marLeft w:val="0"/>
                      <w:marRight w:val="0"/>
                      <w:marTop w:val="0"/>
                      <w:marBottom w:val="0"/>
                      <w:divBdr>
                        <w:top w:val="none" w:sz="0" w:space="0" w:color="auto"/>
                        <w:left w:val="none" w:sz="0" w:space="0" w:color="auto"/>
                        <w:bottom w:val="none" w:sz="0" w:space="0" w:color="auto"/>
                        <w:right w:val="none" w:sz="0" w:space="0" w:color="auto"/>
                      </w:divBdr>
                    </w:div>
                  </w:divsChild>
                </w:div>
                <w:div w:id="1120685249">
                  <w:marLeft w:val="0"/>
                  <w:marRight w:val="0"/>
                  <w:marTop w:val="0"/>
                  <w:marBottom w:val="0"/>
                  <w:divBdr>
                    <w:top w:val="none" w:sz="0" w:space="0" w:color="auto"/>
                    <w:left w:val="none" w:sz="0" w:space="0" w:color="auto"/>
                    <w:bottom w:val="none" w:sz="0" w:space="0" w:color="auto"/>
                    <w:right w:val="none" w:sz="0" w:space="0" w:color="auto"/>
                  </w:divBdr>
                  <w:divsChild>
                    <w:div w:id="2076856070">
                      <w:marLeft w:val="0"/>
                      <w:marRight w:val="0"/>
                      <w:marTop w:val="0"/>
                      <w:marBottom w:val="0"/>
                      <w:divBdr>
                        <w:top w:val="none" w:sz="0" w:space="0" w:color="auto"/>
                        <w:left w:val="none" w:sz="0" w:space="0" w:color="auto"/>
                        <w:bottom w:val="none" w:sz="0" w:space="0" w:color="auto"/>
                        <w:right w:val="none" w:sz="0" w:space="0" w:color="auto"/>
                      </w:divBdr>
                    </w:div>
                  </w:divsChild>
                </w:div>
                <w:div w:id="1132022983">
                  <w:marLeft w:val="0"/>
                  <w:marRight w:val="0"/>
                  <w:marTop w:val="0"/>
                  <w:marBottom w:val="0"/>
                  <w:divBdr>
                    <w:top w:val="none" w:sz="0" w:space="0" w:color="auto"/>
                    <w:left w:val="none" w:sz="0" w:space="0" w:color="auto"/>
                    <w:bottom w:val="none" w:sz="0" w:space="0" w:color="auto"/>
                    <w:right w:val="none" w:sz="0" w:space="0" w:color="auto"/>
                  </w:divBdr>
                  <w:divsChild>
                    <w:div w:id="317660474">
                      <w:marLeft w:val="0"/>
                      <w:marRight w:val="0"/>
                      <w:marTop w:val="0"/>
                      <w:marBottom w:val="0"/>
                      <w:divBdr>
                        <w:top w:val="none" w:sz="0" w:space="0" w:color="auto"/>
                        <w:left w:val="none" w:sz="0" w:space="0" w:color="auto"/>
                        <w:bottom w:val="none" w:sz="0" w:space="0" w:color="auto"/>
                        <w:right w:val="none" w:sz="0" w:space="0" w:color="auto"/>
                      </w:divBdr>
                    </w:div>
                    <w:div w:id="1781146403">
                      <w:marLeft w:val="0"/>
                      <w:marRight w:val="0"/>
                      <w:marTop w:val="0"/>
                      <w:marBottom w:val="0"/>
                      <w:divBdr>
                        <w:top w:val="none" w:sz="0" w:space="0" w:color="auto"/>
                        <w:left w:val="none" w:sz="0" w:space="0" w:color="auto"/>
                        <w:bottom w:val="none" w:sz="0" w:space="0" w:color="auto"/>
                        <w:right w:val="none" w:sz="0" w:space="0" w:color="auto"/>
                      </w:divBdr>
                    </w:div>
                  </w:divsChild>
                </w:div>
                <w:div w:id="1177423870">
                  <w:marLeft w:val="0"/>
                  <w:marRight w:val="0"/>
                  <w:marTop w:val="0"/>
                  <w:marBottom w:val="0"/>
                  <w:divBdr>
                    <w:top w:val="none" w:sz="0" w:space="0" w:color="auto"/>
                    <w:left w:val="none" w:sz="0" w:space="0" w:color="auto"/>
                    <w:bottom w:val="none" w:sz="0" w:space="0" w:color="auto"/>
                    <w:right w:val="none" w:sz="0" w:space="0" w:color="auto"/>
                  </w:divBdr>
                  <w:divsChild>
                    <w:div w:id="979774812">
                      <w:marLeft w:val="0"/>
                      <w:marRight w:val="0"/>
                      <w:marTop w:val="0"/>
                      <w:marBottom w:val="0"/>
                      <w:divBdr>
                        <w:top w:val="none" w:sz="0" w:space="0" w:color="auto"/>
                        <w:left w:val="none" w:sz="0" w:space="0" w:color="auto"/>
                        <w:bottom w:val="none" w:sz="0" w:space="0" w:color="auto"/>
                        <w:right w:val="none" w:sz="0" w:space="0" w:color="auto"/>
                      </w:divBdr>
                    </w:div>
                  </w:divsChild>
                </w:div>
                <w:div w:id="1196504417">
                  <w:marLeft w:val="0"/>
                  <w:marRight w:val="0"/>
                  <w:marTop w:val="0"/>
                  <w:marBottom w:val="0"/>
                  <w:divBdr>
                    <w:top w:val="none" w:sz="0" w:space="0" w:color="auto"/>
                    <w:left w:val="none" w:sz="0" w:space="0" w:color="auto"/>
                    <w:bottom w:val="none" w:sz="0" w:space="0" w:color="auto"/>
                    <w:right w:val="none" w:sz="0" w:space="0" w:color="auto"/>
                  </w:divBdr>
                  <w:divsChild>
                    <w:div w:id="417873312">
                      <w:marLeft w:val="0"/>
                      <w:marRight w:val="0"/>
                      <w:marTop w:val="0"/>
                      <w:marBottom w:val="0"/>
                      <w:divBdr>
                        <w:top w:val="none" w:sz="0" w:space="0" w:color="auto"/>
                        <w:left w:val="none" w:sz="0" w:space="0" w:color="auto"/>
                        <w:bottom w:val="none" w:sz="0" w:space="0" w:color="auto"/>
                        <w:right w:val="none" w:sz="0" w:space="0" w:color="auto"/>
                      </w:divBdr>
                    </w:div>
                  </w:divsChild>
                </w:div>
                <w:div w:id="1259872583">
                  <w:marLeft w:val="0"/>
                  <w:marRight w:val="0"/>
                  <w:marTop w:val="0"/>
                  <w:marBottom w:val="0"/>
                  <w:divBdr>
                    <w:top w:val="none" w:sz="0" w:space="0" w:color="auto"/>
                    <w:left w:val="none" w:sz="0" w:space="0" w:color="auto"/>
                    <w:bottom w:val="none" w:sz="0" w:space="0" w:color="auto"/>
                    <w:right w:val="none" w:sz="0" w:space="0" w:color="auto"/>
                  </w:divBdr>
                  <w:divsChild>
                    <w:div w:id="528448670">
                      <w:marLeft w:val="0"/>
                      <w:marRight w:val="0"/>
                      <w:marTop w:val="0"/>
                      <w:marBottom w:val="0"/>
                      <w:divBdr>
                        <w:top w:val="none" w:sz="0" w:space="0" w:color="auto"/>
                        <w:left w:val="none" w:sz="0" w:space="0" w:color="auto"/>
                        <w:bottom w:val="none" w:sz="0" w:space="0" w:color="auto"/>
                        <w:right w:val="none" w:sz="0" w:space="0" w:color="auto"/>
                      </w:divBdr>
                    </w:div>
                    <w:div w:id="1508403006">
                      <w:marLeft w:val="0"/>
                      <w:marRight w:val="0"/>
                      <w:marTop w:val="0"/>
                      <w:marBottom w:val="0"/>
                      <w:divBdr>
                        <w:top w:val="none" w:sz="0" w:space="0" w:color="auto"/>
                        <w:left w:val="none" w:sz="0" w:space="0" w:color="auto"/>
                        <w:bottom w:val="none" w:sz="0" w:space="0" w:color="auto"/>
                        <w:right w:val="none" w:sz="0" w:space="0" w:color="auto"/>
                      </w:divBdr>
                    </w:div>
                    <w:div w:id="2132354502">
                      <w:marLeft w:val="0"/>
                      <w:marRight w:val="0"/>
                      <w:marTop w:val="0"/>
                      <w:marBottom w:val="0"/>
                      <w:divBdr>
                        <w:top w:val="none" w:sz="0" w:space="0" w:color="auto"/>
                        <w:left w:val="none" w:sz="0" w:space="0" w:color="auto"/>
                        <w:bottom w:val="none" w:sz="0" w:space="0" w:color="auto"/>
                        <w:right w:val="none" w:sz="0" w:space="0" w:color="auto"/>
                      </w:divBdr>
                    </w:div>
                    <w:div w:id="2143695415">
                      <w:marLeft w:val="0"/>
                      <w:marRight w:val="0"/>
                      <w:marTop w:val="0"/>
                      <w:marBottom w:val="0"/>
                      <w:divBdr>
                        <w:top w:val="none" w:sz="0" w:space="0" w:color="auto"/>
                        <w:left w:val="none" w:sz="0" w:space="0" w:color="auto"/>
                        <w:bottom w:val="none" w:sz="0" w:space="0" w:color="auto"/>
                        <w:right w:val="none" w:sz="0" w:space="0" w:color="auto"/>
                      </w:divBdr>
                    </w:div>
                  </w:divsChild>
                </w:div>
                <w:div w:id="1261915529">
                  <w:marLeft w:val="0"/>
                  <w:marRight w:val="0"/>
                  <w:marTop w:val="0"/>
                  <w:marBottom w:val="0"/>
                  <w:divBdr>
                    <w:top w:val="none" w:sz="0" w:space="0" w:color="auto"/>
                    <w:left w:val="none" w:sz="0" w:space="0" w:color="auto"/>
                    <w:bottom w:val="none" w:sz="0" w:space="0" w:color="auto"/>
                    <w:right w:val="none" w:sz="0" w:space="0" w:color="auto"/>
                  </w:divBdr>
                  <w:divsChild>
                    <w:div w:id="1157651007">
                      <w:marLeft w:val="0"/>
                      <w:marRight w:val="0"/>
                      <w:marTop w:val="0"/>
                      <w:marBottom w:val="0"/>
                      <w:divBdr>
                        <w:top w:val="none" w:sz="0" w:space="0" w:color="auto"/>
                        <w:left w:val="none" w:sz="0" w:space="0" w:color="auto"/>
                        <w:bottom w:val="none" w:sz="0" w:space="0" w:color="auto"/>
                        <w:right w:val="none" w:sz="0" w:space="0" w:color="auto"/>
                      </w:divBdr>
                    </w:div>
                  </w:divsChild>
                </w:div>
                <w:div w:id="1348173381">
                  <w:marLeft w:val="0"/>
                  <w:marRight w:val="0"/>
                  <w:marTop w:val="0"/>
                  <w:marBottom w:val="0"/>
                  <w:divBdr>
                    <w:top w:val="none" w:sz="0" w:space="0" w:color="auto"/>
                    <w:left w:val="none" w:sz="0" w:space="0" w:color="auto"/>
                    <w:bottom w:val="none" w:sz="0" w:space="0" w:color="auto"/>
                    <w:right w:val="none" w:sz="0" w:space="0" w:color="auto"/>
                  </w:divBdr>
                  <w:divsChild>
                    <w:div w:id="786048485">
                      <w:marLeft w:val="0"/>
                      <w:marRight w:val="0"/>
                      <w:marTop w:val="0"/>
                      <w:marBottom w:val="0"/>
                      <w:divBdr>
                        <w:top w:val="none" w:sz="0" w:space="0" w:color="auto"/>
                        <w:left w:val="none" w:sz="0" w:space="0" w:color="auto"/>
                        <w:bottom w:val="none" w:sz="0" w:space="0" w:color="auto"/>
                        <w:right w:val="none" w:sz="0" w:space="0" w:color="auto"/>
                      </w:divBdr>
                    </w:div>
                  </w:divsChild>
                </w:div>
                <w:div w:id="1396322530">
                  <w:marLeft w:val="0"/>
                  <w:marRight w:val="0"/>
                  <w:marTop w:val="0"/>
                  <w:marBottom w:val="0"/>
                  <w:divBdr>
                    <w:top w:val="none" w:sz="0" w:space="0" w:color="auto"/>
                    <w:left w:val="none" w:sz="0" w:space="0" w:color="auto"/>
                    <w:bottom w:val="none" w:sz="0" w:space="0" w:color="auto"/>
                    <w:right w:val="none" w:sz="0" w:space="0" w:color="auto"/>
                  </w:divBdr>
                  <w:divsChild>
                    <w:div w:id="1464885013">
                      <w:marLeft w:val="0"/>
                      <w:marRight w:val="0"/>
                      <w:marTop w:val="0"/>
                      <w:marBottom w:val="0"/>
                      <w:divBdr>
                        <w:top w:val="none" w:sz="0" w:space="0" w:color="auto"/>
                        <w:left w:val="none" w:sz="0" w:space="0" w:color="auto"/>
                        <w:bottom w:val="none" w:sz="0" w:space="0" w:color="auto"/>
                        <w:right w:val="none" w:sz="0" w:space="0" w:color="auto"/>
                      </w:divBdr>
                    </w:div>
                  </w:divsChild>
                </w:div>
                <w:div w:id="1427843883">
                  <w:marLeft w:val="0"/>
                  <w:marRight w:val="0"/>
                  <w:marTop w:val="0"/>
                  <w:marBottom w:val="0"/>
                  <w:divBdr>
                    <w:top w:val="none" w:sz="0" w:space="0" w:color="auto"/>
                    <w:left w:val="none" w:sz="0" w:space="0" w:color="auto"/>
                    <w:bottom w:val="none" w:sz="0" w:space="0" w:color="auto"/>
                    <w:right w:val="none" w:sz="0" w:space="0" w:color="auto"/>
                  </w:divBdr>
                  <w:divsChild>
                    <w:div w:id="424762487">
                      <w:marLeft w:val="0"/>
                      <w:marRight w:val="0"/>
                      <w:marTop w:val="0"/>
                      <w:marBottom w:val="0"/>
                      <w:divBdr>
                        <w:top w:val="none" w:sz="0" w:space="0" w:color="auto"/>
                        <w:left w:val="none" w:sz="0" w:space="0" w:color="auto"/>
                        <w:bottom w:val="none" w:sz="0" w:space="0" w:color="auto"/>
                        <w:right w:val="none" w:sz="0" w:space="0" w:color="auto"/>
                      </w:divBdr>
                    </w:div>
                  </w:divsChild>
                </w:div>
                <w:div w:id="1434784184">
                  <w:marLeft w:val="0"/>
                  <w:marRight w:val="0"/>
                  <w:marTop w:val="0"/>
                  <w:marBottom w:val="0"/>
                  <w:divBdr>
                    <w:top w:val="none" w:sz="0" w:space="0" w:color="auto"/>
                    <w:left w:val="none" w:sz="0" w:space="0" w:color="auto"/>
                    <w:bottom w:val="none" w:sz="0" w:space="0" w:color="auto"/>
                    <w:right w:val="none" w:sz="0" w:space="0" w:color="auto"/>
                  </w:divBdr>
                  <w:divsChild>
                    <w:div w:id="1981298424">
                      <w:marLeft w:val="0"/>
                      <w:marRight w:val="0"/>
                      <w:marTop w:val="0"/>
                      <w:marBottom w:val="0"/>
                      <w:divBdr>
                        <w:top w:val="none" w:sz="0" w:space="0" w:color="auto"/>
                        <w:left w:val="none" w:sz="0" w:space="0" w:color="auto"/>
                        <w:bottom w:val="none" w:sz="0" w:space="0" w:color="auto"/>
                        <w:right w:val="none" w:sz="0" w:space="0" w:color="auto"/>
                      </w:divBdr>
                    </w:div>
                  </w:divsChild>
                </w:div>
                <w:div w:id="1445535169">
                  <w:marLeft w:val="0"/>
                  <w:marRight w:val="0"/>
                  <w:marTop w:val="0"/>
                  <w:marBottom w:val="0"/>
                  <w:divBdr>
                    <w:top w:val="none" w:sz="0" w:space="0" w:color="auto"/>
                    <w:left w:val="none" w:sz="0" w:space="0" w:color="auto"/>
                    <w:bottom w:val="none" w:sz="0" w:space="0" w:color="auto"/>
                    <w:right w:val="none" w:sz="0" w:space="0" w:color="auto"/>
                  </w:divBdr>
                  <w:divsChild>
                    <w:div w:id="939413675">
                      <w:marLeft w:val="0"/>
                      <w:marRight w:val="0"/>
                      <w:marTop w:val="0"/>
                      <w:marBottom w:val="0"/>
                      <w:divBdr>
                        <w:top w:val="none" w:sz="0" w:space="0" w:color="auto"/>
                        <w:left w:val="none" w:sz="0" w:space="0" w:color="auto"/>
                        <w:bottom w:val="none" w:sz="0" w:space="0" w:color="auto"/>
                        <w:right w:val="none" w:sz="0" w:space="0" w:color="auto"/>
                      </w:divBdr>
                    </w:div>
                  </w:divsChild>
                </w:div>
                <w:div w:id="1524368946">
                  <w:marLeft w:val="0"/>
                  <w:marRight w:val="0"/>
                  <w:marTop w:val="0"/>
                  <w:marBottom w:val="0"/>
                  <w:divBdr>
                    <w:top w:val="none" w:sz="0" w:space="0" w:color="auto"/>
                    <w:left w:val="none" w:sz="0" w:space="0" w:color="auto"/>
                    <w:bottom w:val="none" w:sz="0" w:space="0" w:color="auto"/>
                    <w:right w:val="none" w:sz="0" w:space="0" w:color="auto"/>
                  </w:divBdr>
                  <w:divsChild>
                    <w:div w:id="466045809">
                      <w:marLeft w:val="0"/>
                      <w:marRight w:val="0"/>
                      <w:marTop w:val="0"/>
                      <w:marBottom w:val="0"/>
                      <w:divBdr>
                        <w:top w:val="none" w:sz="0" w:space="0" w:color="auto"/>
                        <w:left w:val="none" w:sz="0" w:space="0" w:color="auto"/>
                        <w:bottom w:val="none" w:sz="0" w:space="0" w:color="auto"/>
                        <w:right w:val="none" w:sz="0" w:space="0" w:color="auto"/>
                      </w:divBdr>
                    </w:div>
                    <w:div w:id="1282222359">
                      <w:marLeft w:val="0"/>
                      <w:marRight w:val="0"/>
                      <w:marTop w:val="0"/>
                      <w:marBottom w:val="0"/>
                      <w:divBdr>
                        <w:top w:val="none" w:sz="0" w:space="0" w:color="auto"/>
                        <w:left w:val="none" w:sz="0" w:space="0" w:color="auto"/>
                        <w:bottom w:val="none" w:sz="0" w:space="0" w:color="auto"/>
                        <w:right w:val="none" w:sz="0" w:space="0" w:color="auto"/>
                      </w:divBdr>
                    </w:div>
                  </w:divsChild>
                </w:div>
                <w:div w:id="1636375143">
                  <w:marLeft w:val="0"/>
                  <w:marRight w:val="0"/>
                  <w:marTop w:val="0"/>
                  <w:marBottom w:val="0"/>
                  <w:divBdr>
                    <w:top w:val="none" w:sz="0" w:space="0" w:color="auto"/>
                    <w:left w:val="none" w:sz="0" w:space="0" w:color="auto"/>
                    <w:bottom w:val="none" w:sz="0" w:space="0" w:color="auto"/>
                    <w:right w:val="none" w:sz="0" w:space="0" w:color="auto"/>
                  </w:divBdr>
                  <w:divsChild>
                    <w:div w:id="380446565">
                      <w:marLeft w:val="0"/>
                      <w:marRight w:val="0"/>
                      <w:marTop w:val="0"/>
                      <w:marBottom w:val="0"/>
                      <w:divBdr>
                        <w:top w:val="none" w:sz="0" w:space="0" w:color="auto"/>
                        <w:left w:val="none" w:sz="0" w:space="0" w:color="auto"/>
                        <w:bottom w:val="none" w:sz="0" w:space="0" w:color="auto"/>
                        <w:right w:val="none" w:sz="0" w:space="0" w:color="auto"/>
                      </w:divBdr>
                    </w:div>
                  </w:divsChild>
                </w:div>
                <w:div w:id="1692804925">
                  <w:marLeft w:val="0"/>
                  <w:marRight w:val="0"/>
                  <w:marTop w:val="0"/>
                  <w:marBottom w:val="0"/>
                  <w:divBdr>
                    <w:top w:val="none" w:sz="0" w:space="0" w:color="auto"/>
                    <w:left w:val="none" w:sz="0" w:space="0" w:color="auto"/>
                    <w:bottom w:val="none" w:sz="0" w:space="0" w:color="auto"/>
                    <w:right w:val="none" w:sz="0" w:space="0" w:color="auto"/>
                  </w:divBdr>
                  <w:divsChild>
                    <w:div w:id="1728409857">
                      <w:marLeft w:val="0"/>
                      <w:marRight w:val="0"/>
                      <w:marTop w:val="0"/>
                      <w:marBottom w:val="0"/>
                      <w:divBdr>
                        <w:top w:val="none" w:sz="0" w:space="0" w:color="auto"/>
                        <w:left w:val="none" w:sz="0" w:space="0" w:color="auto"/>
                        <w:bottom w:val="none" w:sz="0" w:space="0" w:color="auto"/>
                        <w:right w:val="none" w:sz="0" w:space="0" w:color="auto"/>
                      </w:divBdr>
                    </w:div>
                  </w:divsChild>
                </w:div>
                <w:div w:id="1700669147">
                  <w:marLeft w:val="0"/>
                  <w:marRight w:val="0"/>
                  <w:marTop w:val="0"/>
                  <w:marBottom w:val="0"/>
                  <w:divBdr>
                    <w:top w:val="none" w:sz="0" w:space="0" w:color="auto"/>
                    <w:left w:val="none" w:sz="0" w:space="0" w:color="auto"/>
                    <w:bottom w:val="none" w:sz="0" w:space="0" w:color="auto"/>
                    <w:right w:val="none" w:sz="0" w:space="0" w:color="auto"/>
                  </w:divBdr>
                  <w:divsChild>
                    <w:div w:id="1520579527">
                      <w:marLeft w:val="0"/>
                      <w:marRight w:val="0"/>
                      <w:marTop w:val="0"/>
                      <w:marBottom w:val="0"/>
                      <w:divBdr>
                        <w:top w:val="none" w:sz="0" w:space="0" w:color="auto"/>
                        <w:left w:val="none" w:sz="0" w:space="0" w:color="auto"/>
                        <w:bottom w:val="none" w:sz="0" w:space="0" w:color="auto"/>
                        <w:right w:val="none" w:sz="0" w:space="0" w:color="auto"/>
                      </w:divBdr>
                    </w:div>
                  </w:divsChild>
                </w:div>
                <w:div w:id="1746949235">
                  <w:marLeft w:val="0"/>
                  <w:marRight w:val="0"/>
                  <w:marTop w:val="0"/>
                  <w:marBottom w:val="0"/>
                  <w:divBdr>
                    <w:top w:val="none" w:sz="0" w:space="0" w:color="auto"/>
                    <w:left w:val="none" w:sz="0" w:space="0" w:color="auto"/>
                    <w:bottom w:val="none" w:sz="0" w:space="0" w:color="auto"/>
                    <w:right w:val="none" w:sz="0" w:space="0" w:color="auto"/>
                  </w:divBdr>
                  <w:divsChild>
                    <w:div w:id="1105343234">
                      <w:marLeft w:val="0"/>
                      <w:marRight w:val="0"/>
                      <w:marTop w:val="0"/>
                      <w:marBottom w:val="0"/>
                      <w:divBdr>
                        <w:top w:val="none" w:sz="0" w:space="0" w:color="auto"/>
                        <w:left w:val="none" w:sz="0" w:space="0" w:color="auto"/>
                        <w:bottom w:val="none" w:sz="0" w:space="0" w:color="auto"/>
                        <w:right w:val="none" w:sz="0" w:space="0" w:color="auto"/>
                      </w:divBdr>
                    </w:div>
                  </w:divsChild>
                </w:div>
                <w:div w:id="1820808435">
                  <w:marLeft w:val="0"/>
                  <w:marRight w:val="0"/>
                  <w:marTop w:val="0"/>
                  <w:marBottom w:val="0"/>
                  <w:divBdr>
                    <w:top w:val="none" w:sz="0" w:space="0" w:color="auto"/>
                    <w:left w:val="none" w:sz="0" w:space="0" w:color="auto"/>
                    <w:bottom w:val="none" w:sz="0" w:space="0" w:color="auto"/>
                    <w:right w:val="none" w:sz="0" w:space="0" w:color="auto"/>
                  </w:divBdr>
                  <w:divsChild>
                    <w:div w:id="298346992">
                      <w:marLeft w:val="0"/>
                      <w:marRight w:val="0"/>
                      <w:marTop w:val="0"/>
                      <w:marBottom w:val="0"/>
                      <w:divBdr>
                        <w:top w:val="none" w:sz="0" w:space="0" w:color="auto"/>
                        <w:left w:val="none" w:sz="0" w:space="0" w:color="auto"/>
                        <w:bottom w:val="none" w:sz="0" w:space="0" w:color="auto"/>
                        <w:right w:val="none" w:sz="0" w:space="0" w:color="auto"/>
                      </w:divBdr>
                    </w:div>
                    <w:div w:id="620527283">
                      <w:marLeft w:val="0"/>
                      <w:marRight w:val="0"/>
                      <w:marTop w:val="0"/>
                      <w:marBottom w:val="0"/>
                      <w:divBdr>
                        <w:top w:val="none" w:sz="0" w:space="0" w:color="auto"/>
                        <w:left w:val="none" w:sz="0" w:space="0" w:color="auto"/>
                        <w:bottom w:val="none" w:sz="0" w:space="0" w:color="auto"/>
                        <w:right w:val="none" w:sz="0" w:space="0" w:color="auto"/>
                      </w:divBdr>
                    </w:div>
                    <w:div w:id="993683881">
                      <w:marLeft w:val="0"/>
                      <w:marRight w:val="0"/>
                      <w:marTop w:val="0"/>
                      <w:marBottom w:val="0"/>
                      <w:divBdr>
                        <w:top w:val="none" w:sz="0" w:space="0" w:color="auto"/>
                        <w:left w:val="none" w:sz="0" w:space="0" w:color="auto"/>
                        <w:bottom w:val="none" w:sz="0" w:space="0" w:color="auto"/>
                        <w:right w:val="none" w:sz="0" w:space="0" w:color="auto"/>
                      </w:divBdr>
                    </w:div>
                    <w:div w:id="1116213821">
                      <w:marLeft w:val="0"/>
                      <w:marRight w:val="0"/>
                      <w:marTop w:val="0"/>
                      <w:marBottom w:val="0"/>
                      <w:divBdr>
                        <w:top w:val="none" w:sz="0" w:space="0" w:color="auto"/>
                        <w:left w:val="none" w:sz="0" w:space="0" w:color="auto"/>
                        <w:bottom w:val="none" w:sz="0" w:space="0" w:color="auto"/>
                        <w:right w:val="none" w:sz="0" w:space="0" w:color="auto"/>
                      </w:divBdr>
                    </w:div>
                    <w:div w:id="1500735284">
                      <w:marLeft w:val="0"/>
                      <w:marRight w:val="0"/>
                      <w:marTop w:val="0"/>
                      <w:marBottom w:val="0"/>
                      <w:divBdr>
                        <w:top w:val="none" w:sz="0" w:space="0" w:color="auto"/>
                        <w:left w:val="none" w:sz="0" w:space="0" w:color="auto"/>
                        <w:bottom w:val="none" w:sz="0" w:space="0" w:color="auto"/>
                        <w:right w:val="none" w:sz="0" w:space="0" w:color="auto"/>
                      </w:divBdr>
                    </w:div>
                  </w:divsChild>
                </w:div>
                <w:div w:id="1926066367">
                  <w:marLeft w:val="0"/>
                  <w:marRight w:val="0"/>
                  <w:marTop w:val="0"/>
                  <w:marBottom w:val="0"/>
                  <w:divBdr>
                    <w:top w:val="none" w:sz="0" w:space="0" w:color="auto"/>
                    <w:left w:val="none" w:sz="0" w:space="0" w:color="auto"/>
                    <w:bottom w:val="none" w:sz="0" w:space="0" w:color="auto"/>
                    <w:right w:val="none" w:sz="0" w:space="0" w:color="auto"/>
                  </w:divBdr>
                  <w:divsChild>
                    <w:div w:id="387191836">
                      <w:marLeft w:val="0"/>
                      <w:marRight w:val="0"/>
                      <w:marTop w:val="0"/>
                      <w:marBottom w:val="0"/>
                      <w:divBdr>
                        <w:top w:val="none" w:sz="0" w:space="0" w:color="auto"/>
                        <w:left w:val="none" w:sz="0" w:space="0" w:color="auto"/>
                        <w:bottom w:val="none" w:sz="0" w:space="0" w:color="auto"/>
                        <w:right w:val="none" w:sz="0" w:space="0" w:color="auto"/>
                      </w:divBdr>
                    </w:div>
                  </w:divsChild>
                </w:div>
                <w:div w:id="1943143536">
                  <w:marLeft w:val="0"/>
                  <w:marRight w:val="0"/>
                  <w:marTop w:val="0"/>
                  <w:marBottom w:val="0"/>
                  <w:divBdr>
                    <w:top w:val="none" w:sz="0" w:space="0" w:color="auto"/>
                    <w:left w:val="none" w:sz="0" w:space="0" w:color="auto"/>
                    <w:bottom w:val="none" w:sz="0" w:space="0" w:color="auto"/>
                    <w:right w:val="none" w:sz="0" w:space="0" w:color="auto"/>
                  </w:divBdr>
                  <w:divsChild>
                    <w:div w:id="189997448">
                      <w:marLeft w:val="0"/>
                      <w:marRight w:val="0"/>
                      <w:marTop w:val="0"/>
                      <w:marBottom w:val="0"/>
                      <w:divBdr>
                        <w:top w:val="none" w:sz="0" w:space="0" w:color="auto"/>
                        <w:left w:val="none" w:sz="0" w:space="0" w:color="auto"/>
                        <w:bottom w:val="none" w:sz="0" w:space="0" w:color="auto"/>
                        <w:right w:val="none" w:sz="0" w:space="0" w:color="auto"/>
                      </w:divBdr>
                    </w:div>
                    <w:div w:id="791747176">
                      <w:marLeft w:val="0"/>
                      <w:marRight w:val="0"/>
                      <w:marTop w:val="0"/>
                      <w:marBottom w:val="0"/>
                      <w:divBdr>
                        <w:top w:val="none" w:sz="0" w:space="0" w:color="auto"/>
                        <w:left w:val="none" w:sz="0" w:space="0" w:color="auto"/>
                        <w:bottom w:val="none" w:sz="0" w:space="0" w:color="auto"/>
                        <w:right w:val="none" w:sz="0" w:space="0" w:color="auto"/>
                      </w:divBdr>
                    </w:div>
                  </w:divsChild>
                </w:div>
                <w:div w:id="1951737907">
                  <w:marLeft w:val="0"/>
                  <w:marRight w:val="0"/>
                  <w:marTop w:val="0"/>
                  <w:marBottom w:val="0"/>
                  <w:divBdr>
                    <w:top w:val="none" w:sz="0" w:space="0" w:color="auto"/>
                    <w:left w:val="none" w:sz="0" w:space="0" w:color="auto"/>
                    <w:bottom w:val="none" w:sz="0" w:space="0" w:color="auto"/>
                    <w:right w:val="none" w:sz="0" w:space="0" w:color="auto"/>
                  </w:divBdr>
                  <w:divsChild>
                    <w:div w:id="1440950158">
                      <w:marLeft w:val="0"/>
                      <w:marRight w:val="0"/>
                      <w:marTop w:val="0"/>
                      <w:marBottom w:val="0"/>
                      <w:divBdr>
                        <w:top w:val="none" w:sz="0" w:space="0" w:color="auto"/>
                        <w:left w:val="none" w:sz="0" w:space="0" w:color="auto"/>
                        <w:bottom w:val="none" w:sz="0" w:space="0" w:color="auto"/>
                        <w:right w:val="none" w:sz="0" w:space="0" w:color="auto"/>
                      </w:divBdr>
                    </w:div>
                  </w:divsChild>
                </w:div>
                <w:div w:id="1953318865">
                  <w:marLeft w:val="0"/>
                  <w:marRight w:val="0"/>
                  <w:marTop w:val="0"/>
                  <w:marBottom w:val="0"/>
                  <w:divBdr>
                    <w:top w:val="none" w:sz="0" w:space="0" w:color="auto"/>
                    <w:left w:val="none" w:sz="0" w:space="0" w:color="auto"/>
                    <w:bottom w:val="none" w:sz="0" w:space="0" w:color="auto"/>
                    <w:right w:val="none" w:sz="0" w:space="0" w:color="auto"/>
                  </w:divBdr>
                  <w:divsChild>
                    <w:div w:id="815924587">
                      <w:marLeft w:val="0"/>
                      <w:marRight w:val="0"/>
                      <w:marTop w:val="0"/>
                      <w:marBottom w:val="0"/>
                      <w:divBdr>
                        <w:top w:val="none" w:sz="0" w:space="0" w:color="auto"/>
                        <w:left w:val="none" w:sz="0" w:space="0" w:color="auto"/>
                        <w:bottom w:val="none" w:sz="0" w:space="0" w:color="auto"/>
                        <w:right w:val="none" w:sz="0" w:space="0" w:color="auto"/>
                      </w:divBdr>
                    </w:div>
                  </w:divsChild>
                </w:div>
                <w:div w:id="2034183479">
                  <w:marLeft w:val="0"/>
                  <w:marRight w:val="0"/>
                  <w:marTop w:val="0"/>
                  <w:marBottom w:val="0"/>
                  <w:divBdr>
                    <w:top w:val="none" w:sz="0" w:space="0" w:color="auto"/>
                    <w:left w:val="none" w:sz="0" w:space="0" w:color="auto"/>
                    <w:bottom w:val="none" w:sz="0" w:space="0" w:color="auto"/>
                    <w:right w:val="none" w:sz="0" w:space="0" w:color="auto"/>
                  </w:divBdr>
                  <w:divsChild>
                    <w:div w:id="1957365400">
                      <w:marLeft w:val="0"/>
                      <w:marRight w:val="0"/>
                      <w:marTop w:val="0"/>
                      <w:marBottom w:val="0"/>
                      <w:divBdr>
                        <w:top w:val="none" w:sz="0" w:space="0" w:color="auto"/>
                        <w:left w:val="none" w:sz="0" w:space="0" w:color="auto"/>
                        <w:bottom w:val="none" w:sz="0" w:space="0" w:color="auto"/>
                        <w:right w:val="none" w:sz="0" w:space="0" w:color="auto"/>
                      </w:divBdr>
                    </w:div>
                  </w:divsChild>
                </w:div>
                <w:div w:id="2106068975">
                  <w:marLeft w:val="0"/>
                  <w:marRight w:val="0"/>
                  <w:marTop w:val="0"/>
                  <w:marBottom w:val="0"/>
                  <w:divBdr>
                    <w:top w:val="none" w:sz="0" w:space="0" w:color="auto"/>
                    <w:left w:val="none" w:sz="0" w:space="0" w:color="auto"/>
                    <w:bottom w:val="none" w:sz="0" w:space="0" w:color="auto"/>
                    <w:right w:val="none" w:sz="0" w:space="0" w:color="auto"/>
                  </w:divBdr>
                  <w:divsChild>
                    <w:div w:id="391124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729202">
          <w:marLeft w:val="0"/>
          <w:marRight w:val="0"/>
          <w:marTop w:val="0"/>
          <w:marBottom w:val="0"/>
          <w:divBdr>
            <w:top w:val="none" w:sz="0" w:space="0" w:color="auto"/>
            <w:left w:val="none" w:sz="0" w:space="0" w:color="auto"/>
            <w:bottom w:val="none" w:sz="0" w:space="0" w:color="auto"/>
            <w:right w:val="none" w:sz="0" w:space="0" w:color="auto"/>
          </w:divBdr>
        </w:div>
        <w:div w:id="670571022">
          <w:marLeft w:val="0"/>
          <w:marRight w:val="0"/>
          <w:marTop w:val="0"/>
          <w:marBottom w:val="0"/>
          <w:divBdr>
            <w:top w:val="none" w:sz="0" w:space="0" w:color="auto"/>
            <w:left w:val="none" w:sz="0" w:space="0" w:color="auto"/>
            <w:bottom w:val="none" w:sz="0" w:space="0" w:color="auto"/>
            <w:right w:val="none" w:sz="0" w:space="0" w:color="auto"/>
          </w:divBdr>
          <w:divsChild>
            <w:div w:id="92284064">
              <w:marLeft w:val="0"/>
              <w:marRight w:val="0"/>
              <w:marTop w:val="0"/>
              <w:marBottom w:val="0"/>
              <w:divBdr>
                <w:top w:val="none" w:sz="0" w:space="0" w:color="auto"/>
                <w:left w:val="none" w:sz="0" w:space="0" w:color="auto"/>
                <w:bottom w:val="none" w:sz="0" w:space="0" w:color="auto"/>
                <w:right w:val="none" w:sz="0" w:space="0" w:color="auto"/>
              </w:divBdr>
            </w:div>
            <w:div w:id="135228208">
              <w:marLeft w:val="0"/>
              <w:marRight w:val="0"/>
              <w:marTop w:val="0"/>
              <w:marBottom w:val="0"/>
              <w:divBdr>
                <w:top w:val="none" w:sz="0" w:space="0" w:color="auto"/>
                <w:left w:val="none" w:sz="0" w:space="0" w:color="auto"/>
                <w:bottom w:val="none" w:sz="0" w:space="0" w:color="auto"/>
                <w:right w:val="none" w:sz="0" w:space="0" w:color="auto"/>
              </w:divBdr>
            </w:div>
            <w:div w:id="478764079">
              <w:marLeft w:val="0"/>
              <w:marRight w:val="0"/>
              <w:marTop w:val="0"/>
              <w:marBottom w:val="0"/>
              <w:divBdr>
                <w:top w:val="none" w:sz="0" w:space="0" w:color="auto"/>
                <w:left w:val="none" w:sz="0" w:space="0" w:color="auto"/>
                <w:bottom w:val="none" w:sz="0" w:space="0" w:color="auto"/>
                <w:right w:val="none" w:sz="0" w:space="0" w:color="auto"/>
              </w:divBdr>
            </w:div>
            <w:div w:id="831916435">
              <w:marLeft w:val="0"/>
              <w:marRight w:val="0"/>
              <w:marTop w:val="0"/>
              <w:marBottom w:val="0"/>
              <w:divBdr>
                <w:top w:val="none" w:sz="0" w:space="0" w:color="auto"/>
                <w:left w:val="none" w:sz="0" w:space="0" w:color="auto"/>
                <w:bottom w:val="none" w:sz="0" w:space="0" w:color="auto"/>
                <w:right w:val="none" w:sz="0" w:space="0" w:color="auto"/>
              </w:divBdr>
            </w:div>
            <w:div w:id="1001279188">
              <w:marLeft w:val="0"/>
              <w:marRight w:val="0"/>
              <w:marTop w:val="0"/>
              <w:marBottom w:val="0"/>
              <w:divBdr>
                <w:top w:val="none" w:sz="0" w:space="0" w:color="auto"/>
                <w:left w:val="none" w:sz="0" w:space="0" w:color="auto"/>
                <w:bottom w:val="none" w:sz="0" w:space="0" w:color="auto"/>
                <w:right w:val="none" w:sz="0" w:space="0" w:color="auto"/>
              </w:divBdr>
            </w:div>
            <w:div w:id="1011881698">
              <w:marLeft w:val="0"/>
              <w:marRight w:val="0"/>
              <w:marTop w:val="0"/>
              <w:marBottom w:val="0"/>
              <w:divBdr>
                <w:top w:val="none" w:sz="0" w:space="0" w:color="auto"/>
                <w:left w:val="none" w:sz="0" w:space="0" w:color="auto"/>
                <w:bottom w:val="none" w:sz="0" w:space="0" w:color="auto"/>
                <w:right w:val="none" w:sz="0" w:space="0" w:color="auto"/>
              </w:divBdr>
            </w:div>
          </w:divsChild>
        </w:div>
        <w:div w:id="880753242">
          <w:marLeft w:val="0"/>
          <w:marRight w:val="0"/>
          <w:marTop w:val="0"/>
          <w:marBottom w:val="0"/>
          <w:divBdr>
            <w:top w:val="none" w:sz="0" w:space="0" w:color="auto"/>
            <w:left w:val="none" w:sz="0" w:space="0" w:color="auto"/>
            <w:bottom w:val="none" w:sz="0" w:space="0" w:color="auto"/>
            <w:right w:val="none" w:sz="0" w:space="0" w:color="auto"/>
          </w:divBdr>
        </w:div>
        <w:div w:id="1211652316">
          <w:marLeft w:val="0"/>
          <w:marRight w:val="0"/>
          <w:marTop w:val="0"/>
          <w:marBottom w:val="0"/>
          <w:divBdr>
            <w:top w:val="none" w:sz="0" w:space="0" w:color="auto"/>
            <w:left w:val="none" w:sz="0" w:space="0" w:color="auto"/>
            <w:bottom w:val="none" w:sz="0" w:space="0" w:color="auto"/>
            <w:right w:val="none" w:sz="0" w:space="0" w:color="auto"/>
          </w:divBdr>
        </w:div>
        <w:div w:id="1517504250">
          <w:marLeft w:val="0"/>
          <w:marRight w:val="0"/>
          <w:marTop w:val="0"/>
          <w:marBottom w:val="0"/>
          <w:divBdr>
            <w:top w:val="none" w:sz="0" w:space="0" w:color="auto"/>
            <w:left w:val="none" w:sz="0" w:space="0" w:color="auto"/>
            <w:bottom w:val="none" w:sz="0" w:space="0" w:color="auto"/>
            <w:right w:val="none" w:sz="0" w:space="0" w:color="auto"/>
          </w:divBdr>
        </w:div>
        <w:div w:id="2042782430">
          <w:marLeft w:val="0"/>
          <w:marRight w:val="0"/>
          <w:marTop w:val="0"/>
          <w:marBottom w:val="0"/>
          <w:divBdr>
            <w:top w:val="none" w:sz="0" w:space="0" w:color="auto"/>
            <w:left w:val="none" w:sz="0" w:space="0" w:color="auto"/>
            <w:bottom w:val="none" w:sz="0" w:space="0" w:color="auto"/>
            <w:right w:val="none" w:sz="0" w:space="0" w:color="auto"/>
          </w:divBdr>
        </w:div>
      </w:divsChild>
    </w:div>
    <w:div w:id="949749031">
      <w:bodyDiv w:val="1"/>
      <w:marLeft w:val="0"/>
      <w:marRight w:val="0"/>
      <w:marTop w:val="0"/>
      <w:marBottom w:val="0"/>
      <w:divBdr>
        <w:top w:val="none" w:sz="0" w:space="0" w:color="auto"/>
        <w:left w:val="none" w:sz="0" w:space="0" w:color="auto"/>
        <w:bottom w:val="none" w:sz="0" w:space="0" w:color="auto"/>
        <w:right w:val="none" w:sz="0" w:space="0" w:color="auto"/>
      </w:divBdr>
    </w:div>
    <w:div w:id="959070367">
      <w:bodyDiv w:val="1"/>
      <w:marLeft w:val="0"/>
      <w:marRight w:val="0"/>
      <w:marTop w:val="0"/>
      <w:marBottom w:val="0"/>
      <w:divBdr>
        <w:top w:val="none" w:sz="0" w:space="0" w:color="auto"/>
        <w:left w:val="none" w:sz="0" w:space="0" w:color="auto"/>
        <w:bottom w:val="none" w:sz="0" w:space="0" w:color="auto"/>
        <w:right w:val="none" w:sz="0" w:space="0" w:color="auto"/>
      </w:divBdr>
    </w:div>
    <w:div w:id="963732527">
      <w:bodyDiv w:val="1"/>
      <w:marLeft w:val="0"/>
      <w:marRight w:val="0"/>
      <w:marTop w:val="0"/>
      <w:marBottom w:val="0"/>
      <w:divBdr>
        <w:top w:val="none" w:sz="0" w:space="0" w:color="auto"/>
        <w:left w:val="none" w:sz="0" w:space="0" w:color="auto"/>
        <w:bottom w:val="none" w:sz="0" w:space="0" w:color="auto"/>
        <w:right w:val="none" w:sz="0" w:space="0" w:color="auto"/>
      </w:divBdr>
    </w:div>
    <w:div w:id="969360287">
      <w:bodyDiv w:val="1"/>
      <w:marLeft w:val="0"/>
      <w:marRight w:val="0"/>
      <w:marTop w:val="0"/>
      <w:marBottom w:val="0"/>
      <w:divBdr>
        <w:top w:val="none" w:sz="0" w:space="0" w:color="auto"/>
        <w:left w:val="none" w:sz="0" w:space="0" w:color="auto"/>
        <w:bottom w:val="none" w:sz="0" w:space="0" w:color="auto"/>
        <w:right w:val="none" w:sz="0" w:space="0" w:color="auto"/>
      </w:divBdr>
    </w:div>
    <w:div w:id="1020818548">
      <w:bodyDiv w:val="1"/>
      <w:marLeft w:val="0"/>
      <w:marRight w:val="0"/>
      <w:marTop w:val="0"/>
      <w:marBottom w:val="0"/>
      <w:divBdr>
        <w:top w:val="none" w:sz="0" w:space="0" w:color="auto"/>
        <w:left w:val="none" w:sz="0" w:space="0" w:color="auto"/>
        <w:bottom w:val="none" w:sz="0" w:space="0" w:color="auto"/>
        <w:right w:val="none" w:sz="0" w:space="0" w:color="auto"/>
      </w:divBdr>
    </w:div>
    <w:div w:id="1042174850">
      <w:bodyDiv w:val="1"/>
      <w:marLeft w:val="0"/>
      <w:marRight w:val="0"/>
      <w:marTop w:val="0"/>
      <w:marBottom w:val="0"/>
      <w:divBdr>
        <w:top w:val="none" w:sz="0" w:space="0" w:color="auto"/>
        <w:left w:val="none" w:sz="0" w:space="0" w:color="auto"/>
        <w:bottom w:val="none" w:sz="0" w:space="0" w:color="auto"/>
        <w:right w:val="none" w:sz="0" w:space="0" w:color="auto"/>
      </w:divBdr>
      <w:divsChild>
        <w:div w:id="2086605600">
          <w:marLeft w:val="0"/>
          <w:marRight w:val="0"/>
          <w:marTop w:val="0"/>
          <w:marBottom w:val="0"/>
          <w:divBdr>
            <w:top w:val="none" w:sz="0" w:space="0" w:color="auto"/>
            <w:left w:val="none" w:sz="0" w:space="0" w:color="auto"/>
            <w:bottom w:val="none" w:sz="0" w:space="0" w:color="auto"/>
            <w:right w:val="none" w:sz="0" w:space="0" w:color="auto"/>
          </w:divBdr>
          <w:divsChild>
            <w:div w:id="75909471">
              <w:marLeft w:val="0"/>
              <w:marRight w:val="0"/>
              <w:marTop w:val="0"/>
              <w:marBottom w:val="0"/>
              <w:divBdr>
                <w:top w:val="none" w:sz="0" w:space="0" w:color="auto"/>
                <w:left w:val="none" w:sz="0" w:space="0" w:color="auto"/>
                <w:bottom w:val="none" w:sz="0" w:space="0" w:color="auto"/>
                <w:right w:val="none" w:sz="0" w:space="0" w:color="auto"/>
              </w:divBdr>
            </w:div>
            <w:div w:id="244070285">
              <w:marLeft w:val="0"/>
              <w:marRight w:val="0"/>
              <w:marTop w:val="0"/>
              <w:marBottom w:val="0"/>
              <w:divBdr>
                <w:top w:val="none" w:sz="0" w:space="0" w:color="auto"/>
                <w:left w:val="none" w:sz="0" w:space="0" w:color="auto"/>
                <w:bottom w:val="none" w:sz="0" w:space="0" w:color="auto"/>
                <w:right w:val="none" w:sz="0" w:space="0" w:color="auto"/>
              </w:divBdr>
            </w:div>
            <w:div w:id="701900733">
              <w:marLeft w:val="0"/>
              <w:marRight w:val="0"/>
              <w:marTop w:val="0"/>
              <w:marBottom w:val="0"/>
              <w:divBdr>
                <w:top w:val="none" w:sz="0" w:space="0" w:color="auto"/>
                <w:left w:val="none" w:sz="0" w:space="0" w:color="auto"/>
                <w:bottom w:val="none" w:sz="0" w:space="0" w:color="auto"/>
                <w:right w:val="none" w:sz="0" w:space="0" w:color="auto"/>
              </w:divBdr>
            </w:div>
            <w:div w:id="1010327671">
              <w:marLeft w:val="0"/>
              <w:marRight w:val="0"/>
              <w:marTop w:val="0"/>
              <w:marBottom w:val="0"/>
              <w:divBdr>
                <w:top w:val="none" w:sz="0" w:space="0" w:color="auto"/>
                <w:left w:val="none" w:sz="0" w:space="0" w:color="auto"/>
                <w:bottom w:val="none" w:sz="0" w:space="0" w:color="auto"/>
                <w:right w:val="none" w:sz="0" w:space="0" w:color="auto"/>
              </w:divBdr>
            </w:div>
            <w:div w:id="1076703966">
              <w:marLeft w:val="0"/>
              <w:marRight w:val="0"/>
              <w:marTop w:val="0"/>
              <w:marBottom w:val="0"/>
              <w:divBdr>
                <w:top w:val="none" w:sz="0" w:space="0" w:color="auto"/>
                <w:left w:val="none" w:sz="0" w:space="0" w:color="auto"/>
                <w:bottom w:val="none" w:sz="0" w:space="0" w:color="auto"/>
                <w:right w:val="none" w:sz="0" w:space="0" w:color="auto"/>
              </w:divBdr>
            </w:div>
            <w:div w:id="1078088444">
              <w:marLeft w:val="0"/>
              <w:marRight w:val="0"/>
              <w:marTop w:val="0"/>
              <w:marBottom w:val="0"/>
              <w:divBdr>
                <w:top w:val="none" w:sz="0" w:space="0" w:color="auto"/>
                <w:left w:val="none" w:sz="0" w:space="0" w:color="auto"/>
                <w:bottom w:val="none" w:sz="0" w:space="0" w:color="auto"/>
                <w:right w:val="none" w:sz="0" w:space="0" w:color="auto"/>
              </w:divBdr>
              <w:divsChild>
                <w:div w:id="1815176117">
                  <w:marLeft w:val="0"/>
                  <w:marRight w:val="0"/>
                  <w:marTop w:val="0"/>
                  <w:marBottom w:val="0"/>
                  <w:divBdr>
                    <w:top w:val="none" w:sz="0" w:space="0" w:color="auto"/>
                    <w:left w:val="none" w:sz="0" w:space="0" w:color="auto"/>
                    <w:bottom w:val="none" w:sz="0" w:space="0" w:color="auto"/>
                    <w:right w:val="none" w:sz="0" w:space="0" w:color="auto"/>
                  </w:divBdr>
                  <w:divsChild>
                    <w:div w:id="25445904">
                      <w:marLeft w:val="0"/>
                      <w:marRight w:val="0"/>
                      <w:marTop w:val="0"/>
                      <w:marBottom w:val="0"/>
                      <w:divBdr>
                        <w:top w:val="none" w:sz="0" w:space="0" w:color="auto"/>
                        <w:left w:val="none" w:sz="0" w:space="0" w:color="auto"/>
                        <w:bottom w:val="none" w:sz="0" w:space="0" w:color="auto"/>
                        <w:right w:val="none" w:sz="0" w:space="0" w:color="auto"/>
                      </w:divBdr>
                      <w:divsChild>
                        <w:div w:id="1967080706">
                          <w:marLeft w:val="0"/>
                          <w:marRight w:val="0"/>
                          <w:marTop w:val="0"/>
                          <w:marBottom w:val="0"/>
                          <w:divBdr>
                            <w:top w:val="none" w:sz="0" w:space="0" w:color="auto"/>
                            <w:left w:val="none" w:sz="0" w:space="0" w:color="auto"/>
                            <w:bottom w:val="none" w:sz="0" w:space="0" w:color="auto"/>
                            <w:right w:val="none" w:sz="0" w:space="0" w:color="auto"/>
                          </w:divBdr>
                        </w:div>
                      </w:divsChild>
                    </w:div>
                    <w:div w:id="78989309">
                      <w:marLeft w:val="0"/>
                      <w:marRight w:val="0"/>
                      <w:marTop w:val="0"/>
                      <w:marBottom w:val="0"/>
                      <w:divBdr>
                        <w:top w:val="none" w:sz="0" w:space="0" w:color="auto"/>
                        <w:left w:val="none" w:sz="0" w:space="0" w:color="auto"/>
                        <w:bottom w:val="none" w:sz="0" w:space="0" w:color="auto"/>
                        <w:right w:val="none" w:sz="0" w:space="0" w:color="auto"/>
                      </w:divBdr>
                      <w:divsChild>
                        <w:div w:id="372929095">
                          <w:marLeft w:val="0"/>
                          <w:marRight w:val="0"/>
                          <w:marTop w:val="0"/>
                          <w:marBottom w:val="0"/>
                          <w:divBdr>
                            <w:top w:val="none" w:sz="0" w:space="0" w:color="auto"/>
                            <w:left w:val="none" w:sz="0" w:space="0" w:color="auto"/>
                            <w:bottom w:val="none" w:sz="0" w:space="0" w:color="auto"/>
                            <w:right w:val="none" w:sz="0" w:space="0" w:color="auto"/>
                          </w:divBdr>
                        </w:div>
                        <w:div w:id="668480732">
                          <w:marLeft w:val="0"/>
                          <w:marRight w:val="0"/>
                          <w:marTop w:val="0"/>
                          <w:marBottom w:val="0"/>
                          <w:divBdr>
                            <w:top w:val="none" w:sz="0" w:space="0" w:color="auto"/>
                            <w:left w:val="none" w:sz="0" w:space="0" w:color="auto"/>
                            <w:bottom w:val="none" w:sz="0" w:space="0" w:color="auto"/>
                            <w:right w:val="none" w:sz="0" w:space="0" w:color="auto"/>
                          </w:divBdr>
                        </w:div>
                      </w:divsChild>
                    </w:div>
                    <w:div w:id="87428497">
                      <w:marLeft w:val="0"/>
                      <w:marRight w:val="0"/>
                      <w:marTop w:val="0"/>
                      <w:marBottom w:val="0"/>
                      <w:divBdr>
                        <w:top w:val="none" w:sz="0" w:space="0" w:color="auto"/>
                        <w:left w:val="none" w:sz="0" w:space="0" w:color="auto"/>
                        <w:bottom w:val="none" w:sz="0" w:space="0" w:color="auto"/>
                        <w:right w:val="none" w:sz="0" w:space="0" w:color="auto"/>
                      </w:divBdr>
                      <w:divsChild>
                        <w:div w:id="132601991">
                          <w:marLeft w:val="0"/>
                          <w:marRight w:val="0"/>
                          <w:marTop w:val="0"/>
                          <w:marBottom w:val="0"/>
                          <w:divBdr>
                            <w:top w:val="none" w:sz="0" w:space="0" w:color="auto"/>
                            <w:left w:val="none" w:sz="0" w:space="0" w:color="auto"/>
                            <w:bottom w:val="none" w:sz="0" w:space="0" w:color="auto"/>
                            <w:right w:val="none" w:sz="0" w:space="0" w:color="auto"/>
                          </w:divBdr>
                        </w:div>
                        <w:div w:id="553929998">
                          <w:marLeft w:val="0"/>
                          <w:marRight w:val="0"/>
                          <w:marTop w:val="0"/>
                          <w:marBottom w:val="0"/>
                          <w:divBdr>
                            <w:top w:val="none" w:sz="0" w:space="0" w:color="auto"/>
                            <w:left w:val="none" w:sz="0" w:space="0" w:color="auto"/>
                            <w:bottom w:val="none" w:sz="0" w:space="0" w:color="auto"/>
                            <w:right w:val="none" w:sz="0" w:space="0" w:color="auto"/>
                          </w:divBdr>
                        </w:div>
                        <w:div w:id="666517245">
                          <w:marLeft w:val="0"/>
                          <w:marRight w:val="0"/>
                          <w:marTop w:val="0"/>
                          <w:marBottom w:val="0"/>
                          <w:divBdr>
                            <w:top w:val="none" w:sz="0" w:space="0" w:color="auto"/>
                            <w:left w:val="none" w:sz="0" w:space="0" w:color="auto"/>
                            <w:bottom w:val="none" w:sz="0" w:space="0" w:color="auto"/>
                            <w:right w:val="none" w:sz="0" w:space="0" w:color="auto"/>
                          </w:divBdr>
                        </w:div>
                        <w:div w:id="1698196285">
                          <w:marLeft w:val="0"/>
                          <w:marRight w:val="0"/>
                          <w:marTop w:val="0"/>
                          <w:marBottom w:val="0"/>
                          <w:divBdr>
                            <w:top w:val="none" w:sz="0" w:space="0" w:color="auto"/>
                            <w:left w:val="none" w:sz="0" w:space="0" w:color="auto"/>
                            <w:bottom w:val="none" w:sz="0" w:space="0" w:color="auto"/>
                            <w:right w:val="none" w:sz="0" w:space="0" w:color="auto"/>
                          </w:divBdr>
                        </w:div>
                      </w:divsChild>
                    </w:div>
                    <w:div w:id="110784608">
                      <w:marLeft w:val="0"/>
                      <w:marRight w:val="0"/>
                      <w:marTop w:val="0"/>
                      <w:marBottom w:val="0"/>
                      <w:divBdr>
                        <w:top w:val="none" w:sz="0" w:space="0" w:color="auto"/>
                        <w:left w:val="none" w:sz="0" w:space="0" w:color="auto"/>
                        <w:bottom w:val="none" w:sz="0" w:space="0" w:color="auto"/>
                        <w:right w:val="none" w:sz="0" w:space="0" w:color="auto"/>
                      </w:divBdr>
                      <w:divsChild>
                        <w:div w:id="984547697">
                          <w:marLeft w:val="0"/>
                          <w:marRight w:val="0"/>
                          <w:marTop w:val="0"/>
                          <w:marBottom w:val="0"/>
                          <w:divBdr>
                            <w:top w:val="none" w:sz="0" w:space="0" w:color="auto"/>
                            <w:left w:val="none" w:sz="0" w:space="0" w:color="auto"/>
                            <w:bottom w:val="none" w:sz="0" w:space="0" w:color="auto"/>
                            <w:right w:val="none" w:sz="0" w:space="0" w:color="auto"/>
                          </w:divBdr>
                        </w:div>
                        <w:div w:id="1717855766">
                          <w:marLeft w:val="0"/>
                          <w:marRight w:val="0"/>
                          <w:marTop w:val="0"/>
                          <w:marBottom w:val="0"/>
                          <w:divBdr>
                            <w:top w:val="none" w:sz="0" w:space="0" w:color="auto"/>
                            <w:left w:val="none" w:sz="0" w:space="0" w:color="auto"/>
                            <w:bottom w:val="none" w:sz="0" w:space="0" w:color="auto"/>
                            <w:right w:val="none" w:sz="0" w:space="0" w:color="auto"/>
                          </w:divBdr>
                        </w:div>
                      </w:divsChild>
                    </w:div>
                    <w:div w:id="125199333">
                      <w:marLeft w:val="0"/>
                      <w:marRight w:val="0"/>
                      <w:marTop w:val="0"/>
                      <w:marBottom w:val="0"/>
                      <w:divBdr>
                        <w:top w:val="none" w:sz="0" w:space="0" w:color="auto"/>
                        <w:left w:val="none" w:sz="0" w:space="0" w:color="auto"/>
                        <w:bottom w:val="none" w:sz="0" w:space="0" w:color="auto"/>
                        <w:right w:val="none" w:sz="0" w:space="0" w:color="auto"/>
                      </w:divBdr>
                      <w:divsChild>
                        <w:div w:id="770129721">
                          <w:marLeft w:val="0"/>
                          <w:marRight w:val="0"/>
                          <w:marTop w:val="0"/>
                          <w:marBottom w:val="0"/>
                          <w:divBdr>
                            <w:top w:val="none" w:sz="0" w:space="0" w:color="auto"/>
                            <w:left w:val="none" w:sz="0" w:space="0" w:color="auto"/>
                            <w:bottom w:val="none" w:sz="0" w:space="0" w:color="auto"/>
                            <w:right w:val="none" w:sz="0" w:space="0" w:color="auto"/>
                          </w:divBdr>
                        </w:div>
                      </w:divsChild>
                    </w:div>
                    <w:div w:id="141508976">
                      <w:marLeft w:val="0"/>
                      <w:marRight w:val="0"/>
                      <w:marTop w:val="0"/>
                      <w:marBottom w:val="0"/>
                      <w:divBdr>
                        <w:top w:val="none" w:sz="0" w:space="0" w:color="auto"/>
                        <w:left w:val="none" w:sz="0" w:space="0" w:color="auto"/>
                        <w:bottom w:val="none" w:sz="0" w:space="0" w:color="auto"/>
                        <w:right w:val="none" w:sz="0" w:space="0" w:color="auto"/>
                      </w:divBdr>
                      <w:divsChild>
                        <w:div w:id="858008479">
                          <w:marLeft w:val="0"/>
                          <w:marRight w:val="0"/>
                          <w:marTop w:val="0"/>
                          <w:marBottom w:val="0"/>
                          <w:divBdr>
                            <w:top w:val="none" w:sz="0" w:space="0" w:color="auto"/>
                            <w:left w:val="none" w:sz="0" w:space="0" w:color="auto"/>
                            <w:bottom w:val="none" w:sz="0" w:space="0" w:color="auto"/>
                            <w:right w:val="none" w:sz="0" w:space="0" w:color="auto"/>
                          </w:divBdr>
                        </w:div>
                      </w:divsChild>
                    </w:div>
                    <w:div w:id="221138617">
                      <w:marLeft w:val="0"/>
                      <w:marRight w:val="0"/>
                      <w:marTop w:val="0"/>
                      <w:marBottom w:val="0"/>
                      <w:divBdr>
                        <w:top w:val="none" w:sz="0" w:space="0" w:color="auto"/>
                        <w:left w:val="none" w:sz="0" w:space="0" w:color="auto"/>
                        <w:bottom w:val="none" w:sz="0" w:space="0" w:color="auto"/>
                        <w:right w:val="none" w:sz="0" w:space="0" w:color="auto"/>
                      </w:divBdr>
                      <w:divsChild>
                        <w:div w:id="899558326">
                          <w:marLeft w:val="0"/>
                          <w:marRight w:val="0"/>
                          <w:marTop w:val="0"/>
                          <w:marBottom w:val="0"/>
                          <w:divBdr>
                            <w:top w:val="none" w:sz="0" w:space="0" w:color="auto"/>
                            <w:left w:val="none" w:sz="0" w:space="0" w:color="auto"/>
                            <w:bottom w:val="none" w:sz="0" w:space="0" w:color="auto"/>
                            <w:right w:val="none" w:sz="0" w:space="0" w:color="auto"/>
                          </w:divBdr>
                        </w:div>
                      </w:divsChild>
                    </w:div>
                    <w:div w:id="253899816">
                      <w:marLeft w:val="0"/>
                      <w:marRight w:val="0"/>
                      <w:marTop w:val="0"/>
                      <w:marBottom w:val="0"/>
                      <w:divBdr>
                        <w:top w:val="none" w:sz="0" w:space="0" w:color="auto"/>
                        <w:left w:val="none" w:sz="0" w:space="0" w:color="auto"/>
                        <w:bottom w:val="none" w:sz="0" w:space="0" w:color="auto"/>
                        <w:right w:val="none" w:sz="0" w:space="0" w:color="auto"/>
                      </w:divBdr>
                      <w:divsChild>
                        <w:div w:id="225991233">
                          <w:marLeft w:val="0"/>
                          <w:marRight w:val="0"/>
                          <w:marTop w:val="0"/>
                          <w:marBottom w:val="0"/>
                          <w:divBdr>
                            <w:top w:val="none" w:sz="0" w:space="0" w:color="auto"/>
                            <w:left w:val="none" w:sz="0" w:space="0" w:color="auto"/>
                            <w:bottom w:val="none" w:sz="0" w:space="0" w:color="auto"/>
                            <w:right w:val="none" w:sz="0" w:space="0" w:color="auto"/>
                          </w:divBdr>
                        </w:div>
                      </w:divsChild>
                    </w:div>
                    <w:div w:id="277572192">
                      <w:marLeft w:val="0"/>
                      <w:marRight w:val="0"/>
                      <w:marTop w:val="0"/>
                      <w:marBottom w:val="0"/>
                      <w:divBdr>
                        <w:top w:val="none" w:sz="0" w:space="0" w:color="auto"/>
                        <w:left w:val="none" w:sz="0" w:space="0" w:color="auto"/>
                        <w:bottom w:val="none" w:sz="0" w:space="0" w:color="auto"/>
                        <w:right w:val="none" w:sz="0" w:space="0" w:color="auto"/>
                      </w:divBdr>
                      <w:divsChild>
                        <w:div w:id="538275611">
                          <w:marLeft w:val="0"/>
                          <w:marRight w:val="0"/>
                          <w:marTop w:val="0"/>
                          <w:marBottom w:val="0"/>
                          <w:divBdr>
                            <w:top w:val="none" w:sz="0" w:space="0" w:color="auto"/>
                            <w:left w:val="none" w:sz="0" w:space="0" w:color="auto"/>
                            <w:bottom w:val="none" w:sz="0" w:space="0" w:color="auto"/>
                            <w:right w:val="none" w:sz="0" w:space="0" w:color="auto"/>
                          </w:divBdr>
                        </w:div>
                        <w:div w:id="2045445588">
                          <w:marLeft w:val="0"/>
                          <w:marRight w:val="0"/>
                          <w:marTop w:val="0"/>
                          <w:marBottom w:val="0"/>
                          <w:divBdr>
                            <w:top w:val="none" w:sz="0" w:space="0" w:color="auto"/>
                            <w:left w:val="none" w:sz="0" w:space="0" w:color="auto"/>
                            <w:bottom w:val="none" w:sz="0" w:space="0" w:color="auto"/>
                            <w:right w:val="none" w:sz="0" w:space="0" w:color="auto"/>
                          </w:divBdr>
                        </w:div>
                      </w:divsChild>
                    </w:div>
                    <w:div w:id="309940875">
                      <w:marLeft w:val="0"/>
                      <w:marRight w:val="0"/>
                      <w:marTop w:val="0"/>
                      <w:marBottom w:val="0"/>
                      <w:divBdr>
                        <w:top w:val="none" w:sz="0" w:space="0" w:color="auto"/>
                        <w:left w:val="none" w:sz="0" w:space="0" w:color="auto"/>
                        <w:bottom w:val="none" w:sz="0" w:space="0" w:color="auto"/>
                        <w:right w:val="none" w:sz="0" w:space="0" w:color="auto"/>
                      </w:divBdr>
                      <w:divsChild>
                        <w:div w:id="85004325">
                          <w:marLeft w:val="0"/>
                          <w:marRight w:val="0"/>
                          <w:marTop w:val="0"/>
                          <w:marBottom w:val="0"/>
                          <w:divBdr>
                            <w:top w:val="none" w:sz="0" w:space="0" w:color="auto"/>
                            <w:left w:val="none" w:sz="0" w:space="0" w:color="auto"/>
                            <w:bottom w:val="none" w:sz="0" w:space="0" w:color="auto"/>
                            <w:right w:val="none" w:sz="0" w:space="0" w:color="auto"/>
                          </w:divBdr>
                        </w:div>
                        <w:div w:id="2046440549">
                          <w:marLeft w:val="0"/>
                          <w:marRight w:val="0"/>
                          <w:marTop w:val="0"/>
                          <w:marBottom w:val="0"/>
                          <w:divBdr>
                            <w:top w:val="none" w:sz="0" w:space="0" w:color="auto"/>
                            <w:left w:val="none" w:sz="0" w:space="0" w:color="auto"/>
                            <w:bottom w:val="none" w:sz="0" w:space="0" w:color="auto"/>
                            <w:right w:val="none" w:sz="0" w:space="0" w:color="auto"/>
                          </w:divBdr>
                        </w:div>
                      </w:divsChild>
                    </w:div>
                    <w:div w:id="324092531">
                      <w:marLeft w:val="0"/>
                      <w:marRight w:val="0"/>
                      <w:marTop w:val="0"/>
                      <w:marBottom w:val="0"/>
                      <w:divBdr>
                        <w:top w:val="none" w:sz="0" w:space="0" w:color="auto"/>
                        <w:left w:val="none" w:sz="0" w:space="0" w:color="auto"/>
                        <w:bottom w:val="none" w:sz="0" w:space="0" w:color="auto"/>
                        <w:right w:val="none" w:sz="0" w:space="0" w:color="auto"/>
                      </w:divBdr>
                      <w:divsChild>
                        <w:div w:id="1339849020">
                          <w:marLeft w:val="0"/>
                          <w:marRight w:val="0"/>
                          <w:marTop w:val="0"/>
                          <w:marBottom w:val="0"/>
                          <w:divBdr>
                            <w:top w:val="none" w:sz="0" w:space="0" w:color="auto"/>
                            <w:left w:val="none" w:sz="0" w:space="0" w:color="auto"/>
                            <w:bottom w:val="none" w:sz="0" w:space="0" w:color="auto"/>
                            <w:right w:val="none" w:sz="0" w:space="0" w:color="auto"/>
                          </w:divBdr>
                        </w:div>
                      </w:divsChild>
                    </w:div>
                    <w:div w:id="414136684">
                      <w:marLeft w:val="0"/>
                      <w:marRight w:val="0"/>
                      <w:marTop w:val="0"/>
                      <w:marBottom w:val="0"/>
                      <w:divBdr>
                        <w:top w:val="none" w:sz="0" w:space="0" w:color="auto"/>
                        <w:left w:val="none" w:sz="0" w:space="0" w:color="auto"/>
                        <w:bottom w:val="none" w:sz="0" w:space="0" w:color="auto"/>
                        <w:right w:val="none" w:sz="0" w:space="0" w:color="auto"/>
                      </w:divBdr>
                      <w:divsChild>
                        <w:div w:id="1301691650">
                          <w:marLeft w:val="0"/>
                          <w:marRight w:val="0"/>
                          <w:marTop w:val="0"/>
                          <w:marBottom w:val="0"/>
                          <w:divBdr>
                            <w:top w:val="none" w:sz="0" w:space="0" w:color="auto"/>
                            <w:left w:val="none" w:sz="0" w:space="0" w:color="auto"/>
                            <w:bottom w:val="none" w:sz="0" w:space="0" w:color="auto"/>
                            <w:right w:val="none" w:sz="0" w:space="0" w:color="auto"/>
                          </w:divBdr>
                        </w:div>
                      </w:divsChild>
                    </w:div>
                    <w:div w:id="418527227">
                      <w:marLeft w:val="0"/>
                      <w:marRight w:val="0"/>
                      <w:marTop w:val="0"/>
                      <w:marBottom w:val="0"/>
                      <w:divBdr>
                        <w:top w:val="none" w:sz="0" w:space="0" w:color="auto"/>
                        <w:left w:val="none" w:sz="0" w:space="0" w:color="auto"/>
                        <w:bottom w:val="none" w:sz="0" w:space="0" w:color="auto"/>
                        <w:right w:val="none" w:sz="0" w:space="0" w:color="auto"/>
                      </w:divBdr>
                      <w:divsChild>
                        <w:div w:id="1737850552">
                          <w:marLeft w:val="0"/>
                          <w:marRight w:val="0"/>
                          <w:marTop w:val="0"/>
                          <w:marBottom w:val="0"/>
                          <w:divBdr>
                            <w:top w:val="none" w:sz="0" w:space="0" w:color="auto"/>
                            <w:left w:val="none" w:sz="0" w:space="0" w:color="auto"/>
                            <w:bottom w:val="none" w:sz="0" w:space="0" w:color="auto"/>
                            <w:right w:val="none" w:sz="0" w:space="0" w:color="auto"/>
                          </w:divBdr>
                        </w:div>
                      </w:divsChild>
                    </w:div>
                    <w:div w:id="461775856">
                      <w:marLeft w:val="0"/>
                      <w:marRight w:val="0"/>
                      <w:marTop w:val="0"/>
                      <w:marBottom w:val="0"/>
                      <w:divBdr>
                        <w:top w:val="none" w:sz="0" w:space="0" w:color="auto"/>
                        <w:left w:val="none" w:sz="0" w:space="0" w:color="auto"/>
                        <w:bottom w:val="none" w:sz="0" w:space="0" w:color="auto"/>
                        <w:right w:val="none" w:sz="0" w:space="0" w:color="auto"/>
                      </w:divBdr>
                      <w:divsChild>
                        <w:div w:id="1997757457">
                          <w:marLeft w:val="0"/>
                          <w:marRight w:val="0"/>
                          <w:marTop w:val="0"/>
                          <w:marBottom w:val="0"/>
                          <w:divBdr>
                            <w:top w:val="none" w:sz="0" w:space="0" w:color="auto"/>
                            <w:left w:val="none" w:sz="0" w:space="0" w:color="auto"/>
                            <w:bottom w:val="none" w:sz="0" w:space="0" w:color="auto"/>
                            <w:right w:val="none" w:sz="0" w:space="0" w:color="auto"/>
                          </w:divBdr>
                        </w:div>
                      </w:divsChild>
                    </w:div>
                    <w:div w:id="509874566">
                      <w:marLeft w:val="0"/>
                      <w:marRight w:val="0"/>
                      <w:marTop w:val="0"/>
                      <w:marBottom w:val="0"/>
                      <w:divBdr>
                        <w:top w:val="none" w:sz="0" w:space="0" w:color="auto"/>
                        <w:left w:val="none" w:sz="0" w:space="0" w:color="auto"/>
                        <w:bottom w:val="none" w:sz="0" w:space="0" w:color="auto"/>
                        <w:right w:val="none" w:sz="0" w:space="0" w:color="auto"/>
                      </w:divBdr>
                      <w:divsChild>
                        <w:div w:id="1019434821">
                          <w:marLeft w:val="0"/>
                          <w:marRight w:val="0"/>
                          <w:marTop w:val="0"/>
                          <w:marBottom w:val="0"/>
                          <w:divBdr>
                            <w:top w:val="none" w:sz="0" w:space="0" w:color="auto"/>
                            <w:left w:val="none" w:sz="0" w:space="0" w:color="auto"/>
                            <w:bottom w:val="none" w:sz="0" w:space="0" w:color="auto"/>
                            <w:right w:val="none" w:sz="0" w:space="0" w:color="auto"/>
                          </w:divBdr>
                        </w:div>
                      </w:divsChild>
                    </w:div>
                    <w:div w:id="513495644">
                      <w:marLeft w:val="0"/>
                      <w:marRight w:val="0"/>
                      <w:marTop w:val="0"/>
                      <w:marBottom w:val="0"/>
                      <w:divBdr>
                        <w:top w:val="none" w:sz="0" w:space="0" w:color="auto"/>
                        <w:left w:val="none" w:sz="0" w:space="0" w:color="auto"/>
                        <w:bottom w:val="none" w:sz="0" w:space="0" w:color="auto"/>
                        <w:right w:val="none" w:sz="0" w:space="0" w:color="auto"/>
                      </w:divBdr>
                      <w:divsChild>
                        <w:div w:id="2045715172">
                          <w:marLeft w:val="0"/>
                          <w:marRight w:val="0"/>
                          <w:marTop w:val="0"/>
                          <w:marBottom w:val="0"/>
                          <w:divBdr>
                            <w:top w:val="none" w:sz="0" w:space="0" w:color="auto"/>
                            <w:left w:val="none" w:sz="0" w:space="0" w:color="auto"/>
                            <w:bottom w:val="none" w:sz="0" w:space="0" w:color="auto"/>
                            <w:right w:val="none" w:sz="0" w:space="0" w:color="auto"/>
                          </w:divBdr>
                        </w:div>
                      </w:divsChild>
                    </w:div>
                    <w:div w:id="524909535">
                      <w:marLeft w:val="0"/>
                      <w:marRight w:val="0"/>
                      <w:marTop w:val="0"/>
                      <w:marBottom w:val="0"/>
                      <w:divBdr>
                        <w:top w:val="none" w:sz="0" w:space="0" w:color="auto"/>
                        <w:left w:val="none" w:sz="0" w:space="0" w:color="auto"/>
                        <w:bottom w:val="none" w:sz="0" w:space="0" w:color="auto"/>
                        <w:right w:val="none" w:sz="0" w:space="0" w:color="auto"/>
                      </w:divBdr>
                      <w:divsChild>
                        <w:div w:id="781270651">
                          <w:marLeft w:val="0"/>
                          <w:marRight w:val="0"/>
                          <w:marTop w:val="0"/>
                          <w:marBottom w:val="0"/>
                          <w:divBdr>
                            <w:top w:val="none" w:sz="0" w:space="0" w:color="auto"/>
                            <w:left w:val="none" w:sz="0" w:space="0" w:color="auto"/>
                            <w:bottom w:val="none" w:sz="0" w:space="0" w:color="auto"/>
                            <w:right w:val="none" w:sz="0" w:space="0" w:color="auto"/>
                          </w:divBdr>
                        </w:div>
                      </w:divsChild>
                    </w:div>
                    <w:div w:id="525796509">
                      <w:marLeft w:val="0"/>
                      <w:marRight w:val="0"/>
                      <w:marTop w:val="0"/>
                      <w:marBottom w:val="0"/>
                      <w:divBdr>
                        <w:top w:val="none" w:sz="0" w:space="0" w:color="auto"/>
                        <w:left w:val="none" w:sz="0" w:space="0" w:color="auto"/>
                        <w:bottom w:val="none" w:sz="0" w:space="0" w:color="auto"/>
                        <w:right w:val="none" w:sz="0" w:space="0" w:color="auto"/>
                      </w:divBdr>
                      <w:divsChild>
                        <w:div w:id="1793134497">
                          <w:marLeft w:val="0"/>
                          <w:marRight w:val="0"/>
                          <w:marTop w:val="0"/>
                          <w:marBottom w:val="0"/>
                          <w:divBdr>
                            <w:top w:val="none" w:sz="0" w:space="0" w:color="auto"/>
                            <w:left w:val="none" w:sz="0" w:space="0" w:color="auto"/>
                            <w:bottom w:val="none" w:sz="0" w:space="0" w:color="auto"/>
                            <w:right w:val="none" w:sz="0" w:space="0" w:color="auto"/>
                          </w:divBdr>
                        </w:div>
                      </w:divsChild>
                    </w:div>
                    <w:div w:id="559102034">
                      <w:marLeft w:val="0"/>
                      <w:marRight w:val="0"/>
                      <w:marTop w:val="0"/>
                      <w:marBottom w:val="0"/>
                      <w:divBdr>
                        <w:top w:val="none" w:sz="0" w:space="0" w:color="auto"/>
                        <w:left w:val="none" w:sz="0" w:space="0" w:color="auto"/>
                        <w:bottom w:val="none" w:sz="0" w:space="0" w:color="auto"/>
                        <w:right w:val="none" w:sz="0" w:space="0" w:color="auto"/>
                      </w:divBdr>
                      <w:divsChild>
                        <w:div w:id="624694941">
                          <w:marLeft w:val="0"/>
                          <w:marRight w:val="0"/>
                          <w:marTop w:val="0"/>
                          <w:marBottom w:val="0"/>
                          <w:divBdr>
                            <w:top w:val="none" w:sz="0" w:space="0" w:color="auto"/>
                            <w:left w:val="none" w:sz="0" w:space="0" w:color="auto"/>
                            <w:bottom w:val="none" w:sz="0" w:space="0" w:color="auto"/>
                            <w:right w:val="none" w:sz="0" w:space="0" w:color="auto"/>
                          </w:divBdr>
                        </w:div>
                      </w:divsChild>
                    </w:div>
                    <w:div w:id="579754311">
                      <w:marLeft w:val="0"/>
                      <w:marRight w:val="0"/>
                      <w:marTop w:val="0"/>
                      <w:marBottom w:val="0"/>
                      <w:divBdr>
                        <w:top w:val="none" w:sz="0" w:space="0" w:color="auto"/>
                        <w:left w:val="none" w:sz="0" w:space="0" w:color="auto"/>
                        <w:bottom w:val="none" w:sz="0" w:space="0" w:color="auto"/>
                        <w:right w:val="none" w:sz="0" w:space="0" w:color="auto"/>
                      </w:divBdr>
                      <w:divsChild>
                        <w:div w:id="650212404">
                          <w:marLeft w:val="0"/>
                          <w:marRight w:val="0"/>
                          <w:marTop w:val="0"/>
                          <w:marBottom w:val="0"/>
                          <w:divBdr>
                            <w:top w:val="none" w:sz="0" w:space="0" w:color="auto"/>
                            <w:left w:val="none" w:sz="0" w:space="0" w:color="auto"/>
                            <w:bottom w:val="none" w:sz="0" w:space="0" w:color="auto"/>
                            <w:right w:val="none" w:sz="0" w:space="0" w:color="auto"/>
                          </w:divBdr>
                        </w:div>
                      </w:divsChild>
                    </w:div>
                    <w:div w:id="643390334">
                      <w:marLeft w:val="0"/>
                      <w:marRight w:val="0"/>
                      <w:marTop w:val="0"/>
                      <w:marBottom w:val="0"/>
                      <w:divBdr>
                        <w:top w:val="none" w:sz="0" w:space="0" w:color="auto"/>
                        <w:left w:val="none" w:sz="0" w:space="0" w:color="auto"/>
                        <w:bottom w:val="none" w:sz="0" w:space="0" w:color="auto"/>
                        <w:right w:val="none" w:sz="0" w:space="0" w:color="auto"/>
                      </w:divBdr>
                      <w:divsChild>
                        <w:div w:id="777335549">
                          <w:marLeft w:val="0"/>
                          <w:marRight w:val="0"/>
                          <w:marTop w:val="0"/>
                          <w:marBottom w:val="0"/>
                          <w:divBdr>
                            <w:top w:val="none" w:sz="0" w:space="0" w:color="auto"/>
                            <w:left w:val="none" w:sz="0" w:space="0" w:color="auto"/>
                            <w:bottom w:val="none" w:sz="0" w:space="0" w:color="auto"/>
                            <w:right w:val="none" w:sz="0" w:space="0" w:color="auto"/>
                          </w:divBdr>
                        </w:div>
                      </w:divsChild>
                    </w:div>
                    <w:div w:id="687176767">
                      <w:marLeft w:val="0"/>
                      <w:marRight w:val="0"/>
                      <w:marTop w:val="0"/>
                      <w:marBottom w:val="0"/>
                      <w:divBdr>
                        <w:top w:val="none" w:sz="0" w:space="0" w:color="auto"/>
                        <w:left w:val="none" w:sz="0" w:space="0" w:color="auto"/>
                        <w:bottom w:val="none" w:sz="0" w:space="0" w:color="auto"/>
                        <w:right w:val="none" w:sz="0" w:space="0" w:color="auto"/>
                      </w:divBdr>
                      <w:divsChild>
                        <w:div w:id="874276372">
                          <w:marLeft w:val="0"/>
                          <w:marRight w:val="0"/>
                          <w:marTop w:val="0"/>
                          <w:marBottom w:val="0"/>
                          <w:divBdr>
                            <w:top w:val="none" w:sz="0" w:space="0" w:color="auto"/>
                            <w:left w:val="none" w:sz="0" w:space="0" w:color="auto"/>
                            <w:bottom w:val="none" w:sz="0" w:space="0" w:color="auto"/>
                            <w:right w:val="none" w:sz="0" w:space="0" w:color="auto"/>
                          </w:divBdr>
                        </w:div>
                      </w:divsChild>
                    </w:div>
                    <w:div w:id="691884056">
                      <w:marLeft w:val="0"/>
                      <w:marRight w:val="0"/>
                      <w:marTop w:val="0"/>
                      <w:marBottom w:val="0"/>
                      <w:divBdr>
                        <w:top w:val="none" w:sz="0" w:space="0" w:color="auto"/>
                        <w:left w:val="none" w:sz="0" w:space="0" w:color="auto"/>
                        <w:bottom w:val="none" w:sz="0" w:space="0" w:color="auto"/>
                        <w:right w:val="none" w:sz="0" w:space="0" w:color="auto"/>
                      </w:divBdr>
                      <w:divsChild>
                        <w:div w:id="1066957994">
                          <w:marLeft w:val="0"/>
                          <w:marRight w:val="0"/>
                          <w:marTop w:val="0"/>
                          <w:marBottom w:val="0"/>
                          <w:divBdr>
                            <w:top w:val="none" w:sz="0" w:space="0" w:color="auto"/>
                            <w:left w:val="none" w:sz="0" w:space="0" w:color="auto"/>
                            <w:bottom w:val="none" w:sz="0" w:space="0" w:color="auto"/>
                            <w:right w:val="none" w:sz="0" w:space="0" w:color="auto"/>
                          </w:divBdr>
                        </w:div>
                        <w:div w:id="1183663561">
                          <w:marLeft w:val="0"/>
                          <w:marRight w:val="0"/>
                          <w:marTop w:val="0"/>
                          <w:marBottom w:val="0"/>
                          <w:divBdr>
                            <w:top w:val="none" w:sz="0" w:space="0" w:color="auto"/>
                            <w:left w:val="none" w:sz="0" w:space="0" w:color="auto"/>
                            <w:bottom w:val="none" w:sz="0" w:space="0" w:color="auto"/>
                            <w:right w:val="none" w:sz="0" w:space="0" w:color="auto"/>
                          </w:divBdr>
                        </w:div>
                      </w:divsChild>
                    </w:div>
                    <w:div w:id="749353089">
                      <w:marLeft w:val="0"/>
                      <w:marRight w:val="0"/>
                      <w:marTop w:val="0"/>
                      <w:marBottom w:val="0"/>
                      <w:divBdr>
                        <w:top w:val="none" w:sz="0" w:space="0" w:color="auto"/>
                        <w:left w:val="none" w:sz="0" w:space="0" w:color="auto"/>
                        <w:bottom w:val="none" w:sz="0" w:space="0" w:color="auto"/>
                        <w:right w:val="none" w:sz="0" w:space="0" w:color="auto"/>
                      </w:divBdr>
                      <w:divsChild>
                        <w:div w:id="907033412">
                          <w:marLeft w:val="0"/>
                          <w:marRight w:val="0"/>
                          <w:marTop w:val="0"/>
                          <w:marBottom w:val="0"/>
                          <w:divBdr>
                            <w:top w:val="none" w:sz="0" w:space="0" w:color="auto"/>
                            <w:left w:val="none" w:sz="0" w:space="0" w:color="auto"/>
                            <w:bottom w:val="none" w:sz="0" w:space="0" w:color="auto"/>
                            <w:right w:val="none" w:sz="0" w:space="0" w:color="auto"/>
                          </w:divBdr>
                        </w:div>
                      </w:divsChild>
                    </w:div>
                    <w:div w:id="765730888">
                      <w:marLeft w:val="0"/>
                      <w:marRight w:val="0"/>
                      <w:marTop w:val="0"/>
                      <w:marBottom w:val="0"/>
                      <w:divBdr>
                        <w:top w:val="none" w:sz="0" w:space="0" w:color="auto"/>
                        <w:left w:val="none" w:sz="0" w:space="0" w:color="auto"/>
                        <w:bottom w:val="none" w:sz="0" w:space="0" w:color="auto"/>
                        <w:right w:val="none" w:sz="0" w:space="0" w:color="auto"/>
                      </w:divBdr>
                      <w:divsChild>
                        <w:div w:id="425931430">
                          <w:marLeft w:val="0"/>
                          <w:marRight w:val="0"/>
                          <w:marTop w:val="0"/>
                          <w:marBottom w:val="0"/>
                          <w:divBdr>
                            <w:top w:val="none" w:sz="0" w:space="0" w:color="auto"/>
                            <w:left w:val="none" w:sz="0" w:space="0" w:color="auto"/>
                            <w:bottom w:val="none" w:sz="0" w:space="0" w:color="auto"/>
                            <w:right w:val="none" w:sz="0" w:space="0" w:color="auto"/>
                          </w:divBdr>
                        </w:div>
                      </w:divsChild>
                    </w:div>
                    <w:div w:id="798955545">
                      <w:marLeft w:val="0"/>
                      <w:marRight w:val="0"/>
                      <w:marTop w:val="0"/>
                      <w:marBottom w:val="0"/>
                      <w:divBdr>
                        <w:top w:val="none" w:sz="0" w:space="0" w:color="auto"/>
                        <w:left w:val="none" w:sz="0" w:space="0" w:color="auto"/>
                        <w:bottom w:val="none" w:sz="0" w:space="0" w:color="auto"/>
                        <w:right w:val="none" w:sz="0" w:space="0" w:color="auto"/>
                      </w:divBdr>
                      <w:divsChild>
                        <w:div w:id="2077897155">
                          <w:marLeft w:val="0"/>
                          <w:marRight w:val="0"/>
                          <w:marTop w:val="0"/>
                          <w:marBottom w:val="0"/>
                          <w:divBdr>
                            <w:top w:val="none" w:sz="0" w:space="0" w:color="auto"/>
                            <w:left w:val="none" w:sz="0" w:space="0" w:color="auto"/>
                            <w:bottom w:val="none" w:sz="0" w:space="0" w:color="auto"/>
                            <w:right w:val="none" w:sz="0" w:space="0" w:color="auto"/>
                          </w:divBdr>
                        </w:div>
                      </w:divsChild>
                    </w:div>
                    <w:div w:id="818306201">
                      <w:marLeft w:val="0"/>
                      <w:marRight w:val="0"/>
                      <w:marTop w:val="0"/>
                      <w:marBottom w:val="0"/>
                      <w:divBdr>
                        <w:top w:val="none" w:sz="0" w:space="0" w:color="auto"/>
                        <w:left w:val="none" w:sz="0" w:space="0" w:color="auto"/>
                        <w:bottom w:val="none" w:sz="0" w:space="0" w:color="auto"/>
                        <w:right w:val="none" w:sz="0" w:space="0" w:color="auto"/>
                      </w:divBdr>
                      <w:divsChild>
                        <w:div w:id="248659037">
                          <w:marLeft w:val="0"/>
                          <w:marRight w:val="0"/>
                          <w:marTop w:val="0"/>
                          <w:marBottom w:val="0"/>
                          <w:divBdr>
                            <w:top w:val="none" w:sz="0" w:space="0" w:color="auto"/>
                            <w:left w:val="none" w:sz="0" w:space="0" w:color="auto"/>
                            <w:bottom w:val="none" w:sz="0" w:space="0" w:color="auto"/>
                            <w:right w:val="none" w:sz="0" w:space="0" w:color="auto"/>
                          </w:divBdr>
                        </w:div>
                        <w:div w:id="884562673">
                          <w:marLeft w:val="0"/>
                          <w:marRight w:val="0"/>
                          <w:marTop w:val="0"/>
                          <w:marBottom w:val="0"/>
                          <w:divBdr>
                            <w:top w:val="none" w:sz="0" w:space="0" w:color="auto"/>
                            <w:left w:val="none" w:sz="0" w:space="0" w:color="auto"/>
                            <w:bottom w:val="none" w:sz="0" w:space="0" w:color="auto"/>
                            <w:right w:val="none" w:sz="0" w:space="0" w:color="auto"/>
                          </w:divBdr>
                        </w:div>
                        <w:div w:id="1408381418">
                          <w:marLeft w:val="0"/>
                          <w:marRight w:val="0"/>
                          <w:marTop w:val="0"/>
                          <w:marBottom w:val="0"/>
                          <w:divBdr>
                            <w:top w:val="none" w:sz="0" w:space="0" w:color="auto"/>
                            <w:left w:val="none" w:sz="0" w:space="0" w:color="auto"/>
                            <w:bottom w:val="none" w:sz="0" w:space="0" w:color="auto"/>
                            <w:right w:val="none" w:sz="0" w:space="0" w:color="auto"/>
                          </w:divBdr>
                        </w:div>
                        <w:div w:id="1707365330">
                          <w:marLeft w:val="0"/>
                          <w:marRight w:val="0"/>
                          <w:marTop w:val="0"/>
                          <w:marBottom w:val="0"/>
                          <w:divBdr>
                            <w:top w:val="none" w:sz="0" w:space="0" w:color="auto"/>
                            <w:left w:val="none" w:sz="0" w:space="0" w:color="auto"/>
                            <w:bottom w:val="none" w:sz="0" w:space="0" w:color="auto"/>
                            <w:right w:val="none" w:sz="0" w:space="0" w:color="auto"/>
                          </w:divBdr>
                        </w:div>
                        <w:div w:id="1890532678">
                          <w:marLeft w:val="0"/>
                          <w:marRight w:val="0"/>
                          <w:marTop w:val="0"/>
                          <w:marBottom w:val="0"/>
                          <w:divBdr>
                            <w:top w:val="none" w:sz="0" w:space="0" w:color="auto"/>
                            <w:left w:val="none" w:sz="0" w:space="0" w:color="auto"/>
                            <w:bottom w:val="none" w:sz="0" w:space="0" w:color="auto"/>
                            <w:right w:val="none" w:sz="0" w:space="0" w:color="auto"/>
                          </w:divBdr>
                        </w:div>
                      </w:divsChild>
                    </w:div>
                    <w:div w:id="823740300">
                      <w:marLeft w:val="0"/>
                      <w:marRight w:val="0"/>
                      <w:marTop w:val="0"/>
                      <w:marBottom w:val="0"/>
                      <w:divBdr>
                        <w:top w:val="none" w:sz="0" w:space="0" w:color="auto"/>
                        <w:left w:val="none" w:sz="0" w:space="0" w:color="auto"/>
                        <w:bottom w:val="none" w:sz="0" w:space="0" w:color="auto"/>
                        <w:right w:val="none" w:sz="0" w:space="0" w:color="auto"/>
                      </w:divBdr>
                      <w:divsChild>
                        <w:div w:id="843740930">
                          <w:marLeft w:val="0"/>
                          <w:marRight w:val="0"/>
                          <w:marTop w:val="0"/>
                          <w:marBottom w:val="0"/>
                          <w:divBdr>
                            <w:top w:val="none" w:sz="0" w:space="0" w:color="auto"/>
                            <w:left w:val="none" w:sz="0" w:space="0" w:color="auto"/>
                            <w:bottom w:val="none" w:sz="0" w:space="0" w:color="auto"/>
                            <w:right w:val="none" w:sz="0" w:space="0" w:color="auto"/>
                          </w:divBdr>
                        </w:div>
                      </w:divsChild>
                    </w:div>
                    <w:div w:id="831457992">
                      <w:marLeft w:val="0"/>
                      <w:marRight w:val="0"/>
                      <w:marTop w:val="0"/>
                      <w:marBottom w:val="0"/>
                      <w:divBdr>
                        <w:top w:val="none" w:sz="0" w:space="0" w:color="auto"/>
                        <w:left w:val="none" w:sz="0" w:space="0" w:color="auto"/>
                        <w:bottom w:val="none" w:sz="0" w:space="0" w:color="auto"/>
                        <w:right w:val="none" w:sz="0" w:space="0" w:color="auto"/>
                      </w:divBdr>
                      <w:divsChild>
                        <w:div w:id="1300379243">
                          <w:marLeft w:val="0"/>
                          <w:marRight w:val="0"/>
                          <w:marTop w:val="0"/>
                          <w:marBottom w:val="0"/>
                          <w:divBdr>
                            <w:top w:val="none" w:sz="0" w:space="0" w:color="auto"/>
                            <w:left w:val="none" w:sz="0" w:space="0" w:color="auto"/>
                            <w:bottom w:val="none" w:sz="0" w:space="0" w:color="auto"/>
                            <w:right w:val="none" w:sz="0" w:space="0" w:color="auto"/>
                          </w:divBdr>
                        </w:div>
                      </w:divsChild>
                    </w:div>
                    <w:div w:id="910655400">
                      <w:marLeft w:val="0"/>
                      <w:marRight w:val="0"/>
                      <w:marTop w:val="0"/>
                      <w:marBottom w:val="0"/>
                      <w:divBdr>
                        <w:top w:val="none" w:sz="0" w:space="0" w:color="auto"/>
                        <w:left w:val="none" w:sz="0" w:space="0" w:color="auto"/>
                        <w:bottom w:val="none" w:sz="0" w:space="0" w:color="auto"/>
                        <w:right w:val="none" w:sz="0" w:space="0" w:color="auto"/>
                      </w:divBdr>
                      <w:divsChild>
                        <w:div w:id="1018314214">
                          <w:marLeft w:val="0"/>
                          <w:marRight w:val="0"/>
                          <w:marTop w:val="0"/>
                          <w:marBottom w:val="0"/>
                          <w:divBdr>
                            <w:top w:val="none" w:sz="0" w:space="0" w:color="auto"/>
                            <w:left w:val="none" w:sz="0" w:space="0" w:color="auto"/>
                            <w:bottom w:val="none" w:sz="0" w:space="0" w:color="auto"/>
                            <w:right w:val="none" w:sz="0" w:space="0" w:color="auto"/>
                          </w:divBdr>
                        </w:div>
                        <w:div w:id="1075591380">
                          <w:marLeft w:val="0"/>
                          <w:marRight w:val="0"/>
                          <w:marTop w:val="0"/>
                          <w:marBottom w:val="0"/>
                          <w:divBdr>
                            <w:top w:val="none" w:sz="0" w:space="0" w:color="auto"/>
                            <w:left w:val="none" w:sz="0" w:space="0" w:color="auto"/>
                            <w:bottom w:val="none" w:sz="0" w:space="0" w:color="auto"/>
                            <w:right w:val="none" w:sz="0" w:space="0" w:color="auto"/>
                          </w:divBdr>
                        </w:div>
                      </w:divsChild>
                    </w:div>
                    <w:div w:id="929311409">
                      <w:marLeft w:val="0"/>
                      <w:marRight w:val="0"/>
                      <w:marTop w:val="0"/>
                      <w:marBottom w:val="0"/>
                      <w:divBdr>
                        <w:top w:val="none" w:sz="0" w:space="0" w:color="auto"/>
                        <w:left w:val="none" w:sz="0" w:space="0" w:color="auto"/>
                        <w:bottom w:val="none" w:sz="0" w:space="0" w:color="auto"/>
                        <w:right w:val="none" w:sz="0" w:space="0" w:color="auto"/>
                      </w:divBdr>
                      <w:divsChild>
                        <w:div w:id="1975989957">
                          <w:marLeft w:val="0"/>
                          <w:marRight w:val="0"/>
                          <w:marTop w:val="0"/>
                          <w:marBottom w:val="0"/>
                          <w:divBdr>
                            <w:top w:val="none" w:sz="0" w:space="0" w:color="auto"/>
                            <w:left w:val="none" w:sz="0" w:space="0" w:color="auto"/>
                            <w:bottom w:val="none" w:sz="0" w:space="0" w:color="auto"/>
                            <w:right w:val="none" w:sz="0" w:space="0" w:color="auto"/>
                          </w:divBdr>
                        </w:div>
                      </w:divsChild>
                    </w:div>
                    <w:div w:id="931619835">
                      <w:marLeft w:val="0"/>
                      <w:marRight w:val="0"/>
                      <w:marTop w:val="0"/>
                      <w:marBottom w:val="0"/>
                      <w:divBdr>
                        <w:top w:val="none" w:sz="0" w:space="0" w:color="auto"/>
                        <w:left w:val="none" w:sz="0" w:space="0" w:color="auto"/>
                        <w:bottom w:val="none" w:sz="0" w:space="0" w:color="auto"/>
                        <w:right w:val="none" w:sz="0" w:space="0" w:color="auto"/>
                      </w:divBdr>
                      <w:divsChild>
                        <w:div w:id="960069519">
                          <w:marLeft w:val="0"/>
                          <w:marRight w:val="0"/>
                          <w:marTop w:val="0"/>
                          <w:marBottom w:val="0"/>
                          <w:divBdr>
                            <w:top w:val="none" w:sz="0" w:space="0" w:color="auto"/>
                            <w:left w:val="none" w:sz="0" w:space="0" w:color="auto"/>
                            <w:bottom w:val="none" w:sz="0" w:space="0" w:color="auto"/>
                            <w:right w:val="none" w:sz="0" w:space="0" w:color="auto"/>
                          </w:divBdr>
                        </w:div>
                      </w:divsChild>
                    </w:div>
                    <w:div w:id="1084104148">
                      <w:marLeft w:val="0"/>
                      <w:marRight w:val="0"/>
                      <w:marTop w:val="0"/>
                      <w:marBottom w:val="0"/>
                      <w:divBdr>
                        <w:top w:val="none" w:sz="0" w:space="0" w:color="auto"/>
                        <w:left w:val="none" w:sz="0" w:space="0" w:color="auto"/>
                        <w:bottom w:val="none" w:sz="0" w:space="0" w:color="auto"/>
                        <w:right w:val="none" w:sz="0" w:space="0" w:color="auto"/>
                      </w:divBdr>
                      <w:divsChild>
                        <w:div w:id="389111649">
                          <w:marLeft w:val="0"/>
                          <w:marRight w:val="0"/>
                          <w:marTop w:val="0"/>
                          <w:marBottom w:val="0"/>
                          <w:divBdr>
                            <w:top w:val="none" w:sz="0" w:space="0" w:color="auto"/>
                            <w:left w:val="none" w:sz="0" w:space="0" w:color="auto"/>
                            <w:bottom w:val="none" w:sz="0" w:space="0" w:color="auto"/>
                            <w:right w:val="none" w:sz="0" w:space="0" w:color="auto"/>
                          </w:divBdr>
                        </w:div>
                      </w:divsChild>
                    </w:div>
                    <w:div w:id="1209293546">
                      <w:marLeft w:val="0"/>
                      <w:marRight w:val="0"/>
                      <w:marTop w:val="0"/>
                      <w:marBottom w:val="0"/>
                      <w:divBdr>
                        <w:top w:val="none" w:sz="0" w:space="0" w:color="auto"/>
                        <w:left w:val="none" w:sz="0" w:space="0" w:color="auto"/>
                        <w:bottom w:val="none" w:sz="0" w:space="0" w:color="auto"/>
                        <w:right w:val="none" w:sz="0" w:space="0" w:color="auto"/>
                      </w:divBdr>
                      <w:divsChild>
                        <w:div w:id="1620987087">
                          <w:marLeft w:val="0"/>
                          <w:marRight w:val="0"/>
                          <w:marTop w:val="0"/>
                          <w:marBottom w:val="0"/>
                          <w:divBdr>
                            <w:top w:val="none" w:sz="0" w:space="0" w:color="auto"/>
                            <w:left w:val="none" w:sz="0" w:space="0" w:color="auto"/>
                            <w:bottom w:val="none" w:sz="0" w:space="0" w:color="auto"/>
                            <w:right w:val="none" w:sz="0" w:space="0" w:color="auto"/>
                          </w:divBdr>
                        </w:div>
                      </w:divsChild>
                    </w:div>
                    <w:div w:id="1289045875">
                      <w:marLeft w:val="0"/>
                      <w:marRight w:val="0"/>
                      <w:marTop w:val="0"/>
                      <w:marBottom w:val="0"/>
                      <w:divBdr>
                        <w:top w:val="none" w:sz="0" w:space="0" w:color="auto"/>
                        <w:left w:val="none" w:sz="0" w:space="0" w:color="auto"/>
                        <w:bottom w:val="none" w:sz="0" w:space="0" w:color="auto"/>
                        <w:right w:val="none" w:sz="0" w:space="0" w:color="auto"/>
                      </w:divBdr>
                      <w:divsChild>
                        <w:div w:id="486098009">
                          <w:marLeft w:val="0"/>
                          <w:marRight w:val="0"/>
                          <w:marTop w:val="0"/>
                          <w:marBottom w:val="0"/>
                          <w:divBdr>
                            <w:top w:val="none" w:sz="0" w:space="0" w:color="auto"/>
                            <w:left w:val="none" w:sz="0" w:space="0" w:color="auto"/>
                            <w:bottom w:val="none" w:sz="0" w:space="0" w:color="auto"/>
                            <w:right w:val="none" w:sz="0" w:space="0" w:color="auto"/>
                          </w:divBdr>
                        </w:div>
                        <w:div w:id="630210116">
                          <w:marLeft w:val="0"/>
                          <w:marRight w:val="0"/>
                          <w:marTop w:val="0"/>
                          <w:marBottom w:val="0"/>
                          <w:divBdr>
                            <w:top w:val="none" w:sz="0" w:space="0" w:color="auto"/>
                            <w:left w:val="none" w:sz="0" w:space="0" w:color="auto"/>
                            <w:bottom w:val="none" w:sz="0" w:space="0" w:color="auto"/>
                            <w:right w:val="none" w:sz="0" w:space="0" w:color="auto"/>
                          </w:divBdr>
                        </w:div>
                      </w:divsChild>
                    </w:div>
                    <w:div w:id="1339500720">
                      <w:marLeft w:val="0"/>
                      <w:marRight w:val="0"/>
                      <w:marTop w:val="0"/>
                      <w:marBottom w:val="0"/>
                      <w:divBdr>
                        <w:top w:val="none" w:sz="0" w:space="0" w:color="auto"/>
                        <w:left w:val="none" w:sz="0" w:space="0" w:color="auto"/>
                        <w:bottom w:val="none" w:sz="0" w:space="0" w:color="auto"/>
                        <w:right w:val="none" w:sz="0" w:space="0" w:color="auto"/>
                      </w:divBdr>
                      <w:divsChild>
                        <w:div w:id="616300763">
                          <w:marLeft w:val="0"/>
                          <w:marRight w:val="0"/>
                          <w:marTop w:val="0"/>
                          <w:marBottom w:val="0"/>
                          <w:divBdr>
                            <w:top w:val="none" w:sz="0" w:space="0" w:color="auto"/>
                            <w:left w:val="none" w:sz="0" w:space="0" w:color="auto"/>
                            <w:bottom w:val="none" w:sz="0" w:space="0" w:color="auto"/>
                            <w:right w:val="none" w:sz="0" w:space="0" w:color="auto"/>
                          </w:divBdr>
                        </w:div>
                      </w:divsChild>
                    </w:div>
                    <w:div w:id="1359745219">
                      <w:marLeft w:val="0"/>
                      <w:marRight w:val="0"/>
                      <w:marTop w:val="0"/>
                      <w:marBottom w:val="0"/>
                      <w:divBdr>
                        <w:top w:val="none" w:sz="0" w:space="0" w:color="auto"/>
                        <w:left w:val="none" w:sz="0" w:space="0" w:color="auto"/>
                        <w:bottom w:val="none" w:sz="0" w:space="0" w:color="auto"/>
                        <w:right w:val="none" w:sz="0" w:space="0" w:color="auto"/>
                      </w:divBdr>
                      <w:divsChild>
                        <w:div w:id="1965767906">
                          <w:marLeft w:val="0"/>
                          <w:marRight w:val="0"/>
                          <w:marTop w:val="0"/>
                          <w:marBottom w:val="0"/>
                          <w:divBdr>
                            <w:top w:val="none" w:sz="0" w:space="0" w:color="auto"/>
                            <w:left w:val="none" w:sz="0" w:space="0" w:color="auto"/>
                            <w:bottom w:val="none" w:sz="0" w:space="0" w:color="auto"/>
                            <w:right w:val="none" w:sz="0" w:space="0" w:color="auto"/>
                          </w:divBdr>
                        </w:div>
                      </w:divsChild>
                    </w:div>
                    <w:div w:id="1464226180">
                      <w:marLeft w:val="0"/>
                      <w:marRight w:val="0"/>
                      <w:marTop w:val="0"/>
                      <w:marBottom w:val="0"/>
                      <w:divBdr>
                        <w:top w:val="none" w:sz="0" w:space="0" w:color="auto"/>
                        <w:left w:val="none" w:sz="0" w:space="0" w:color="auto"/>
                        <w:bottom w:val="none" w:sz="0" w:space="0" w:color="auto"/>
                        <w:right w:val="none" w:sz="0" w:space="0" w:color="auto"/>
                      </w:divBdr>
                      <w:divsChild>
                        <w:div w:id="1344865330">
                          <w:marLeft w:val="0"/>
                          <w:marRight w:val="0"/>
                          <w:marTop w:val="0"/>
                          <w:marBottom w:val="0"/>
                          <w:divBdr>
                            <w:top w:val="none" w:sz="0" w:space="0" w:color="auto"/>
                            <w:left w:val="none" w:sz="0" w:space="0" w:color="auto"/>
                            <w:bottom w:val="none" w:sz="0" w:space="0" w:color="auto"/>
                            <w:right w:val="none" w:sz="0" w:space="0" w:color="auto"/>
                          </w:divBdr>
                        </w:div>
                        <w:div w:id="1797289210">
                          <w:marLeft w:val="0"/>
                          <w:marRight w:val="0"/>
                          <w:marTop w:val="0"/>
                          <w:marBottom w:val="0"/>
                          <w:divBdr>
                            <w:top w:val="none" w:sz="0" w:space="0" w:color="auto"/>
                            <w:left w:val="none" w:sz="0" w:space="0" w:color="auto"/>
                            <w:bottom w:val="none" w:sz="0" w:space="0" w:color="auto"/>
                            <w:right w:val="none" w:sz="0" w:space="0" w:color="auto"/>
                          </w:divBdr>
                        </w:div>
                      </w:divsChild>
                    </w:div>
                    <w:div w:id="1543051534">
                      <w:marLeft w:val="0"/>
                      <w:marRight w:val="0"/>
                      <w:marTop w:val="0"/>
                      <w:marBottom w:val="0"/>
                      <w:divBdr>
                        <w:top w:val="none" w:sz="0" w:space="0" w:color="auto"/>
                        <w:left w:val="none" w:sz="0" w:space="0" w:color="auto"/>
                        <w:bottom w:val="none" w:sz="0" w:space="0" w:color="auto"/>
                        <w:right w:val="none" w:sz="0" w:space="0" w:color="auto"/>
                      </w:divBdr>
                      <w:divsChild>
                        <w:div w:id="1860044065">
                          <w:marLeft w:val="0"/>
                          <w:marRight w:val="0"/>
                          <w:marTop w:val="0"/>
                          <w:marBottom w:val="0"/>
                          <w:divBdr>
                            <w:top w:val="none" w:sz="0" w:space="0" w:color="auto"/>
                            <w:left w:val="none" w:sz="0" w:space="0" w:color="auto"/>
                            <w:bottom w:val="none" w:sz="0" w:space="0" w:color="auto"/>
                            <w:right w:val="none" w:sz="0" w:space="0" w:color="auto"/>
                          </w:divBdr>
                        </w:div>
                      </w:divsChild>
                    </w:div>
                    <w:div w:id="1548028059">
                      <w:marLeft w:val="0"/>
                      <w:marRight w:val="0"/>
                      <w:marTop w:val="0"/>
                      <w:marBottom w:val="0"/>
                      <w:divBdr>
                        <w:top w:val="none" w:sz="0" w:space="0" w:color="auto"/>
                        <w:left w:val="none" w:sz="0" w:space="0" w:color="auto"/>
                        <w:bottom w:val="none" w:sz="0" w:space="0" w:color="auto"/>
                        <w:right w:val="none" w:sz="0" w:space="0" w:color="auto"/>
                      </w:divBdr>
                      <w:divsChild>
                        <w:div w:id="114258300">
                          <w:marLeft w:val="0"/>
                          <w:marRight w:val="0"/>
                          <w:marTop w:val="0"/>
                          <w:marBottom w:val="0"/>
                          <w:divBdr>
                            <w:top w:val="none" w:sz="0" w:space="0" w:color="auto"/>
                            <w:left w:val="none" w:sz="0" w:space="0" w:color="auto"/>
                            <w:bottom w:val="none" w:sz="0" w:space="0" w:color="auto"/>
                            <w:right w:val="none" w:sz="0" w:space="0" w:color="auto"/>
                          </w:divBdr>
                        </w:div>
                      </w:divsChild>
                    </w:div>
                    <w:div w:id="1578663309">
                      <w:marLeft w:val="0"/>
                      <w:marRight w:val="0"/>
                      <w:marTop w:val="0"/>
                      <w:marBottom w:val="0"/>
                      <w:divBdr>
                        <w:top w:val="none" w:sz="0" w:space="0" w:color="auto"/>
                        <w:left w:val="none" w:sz="0" w:space="0" w:color="auto"/>
                        <w:bottom w:val="none" w:sz="0" w:space="0" w:color="auto"/>
                        <w:right w:val="none" w:sz="0" w:space="0" w:color="auto"/>
                      </w:divBdr>
                      <w:divsChild>
                        <w:div w:id="1862696871">
                          <w:marLeft w:val="0"/>
                          <w:marRight w:val="0"/>
                          <w:marTop w:val="0"/>
                          <w:marBottom w:val="0"/>
                          <w:divBdr>
                            <w:top w:val="none" w:sz="0" w:space="0" w:color="auto"/>
                            <w:left w:val="none" w:sz="0" w:space="0" w:color="auto"/>
                            <w:bottom w:val="none" w:sz="0" w:space="0" w:color="auto"/>
                            <w:right w:val="none" w:sz="0" w:space="0" w:color="auto"/>
                          </w:divBdr>
                        </w:div>
                      </w:divsChild>
                    </w:div>
                    <w:div w:id="1582524308">
                      <w:marLeft w:val="0"/>
                      <w:marRight w:val="0"/>
                      <w:marTop w:val="0"/>
                      <w:marBottom w:val="0"/>
                      <w:divBdr>
                        <w:top w:val="none" w:sz="0" w:space="0" w:color="auto"/>
                        <w:left w:val="none" w:sz="0" w:space="0" w:color="auto"/>
                        <w:bottom w:val="none" w:sz="0" w:space="0" w:color="auto"/>
                        <w:right w:val="none" w:sz="0" w:space="0" w:color="auto"/>
                      </w:divBdr>
                      <w:divsChild>
                        <w:div w:id="1680619530">
                          <w:marLeft w:val="0"/>
                          <w:marRight w:val="0"/>
                          <w:marTop w:val="0"/>
                          <w:marBottom w:val="0"/>
                          <w:divBdr>
                            <w:top w:val="none" w:sz="0" w:space="0" w:color="auto"/>
                            <w:left w:val="none" w:sz="0" w:space="0" w:color="auto"/>
                            <w:bottom w:val="none" w:sz="0" w:space="0" w:color="auto"/>
                            <w:right w:val="none" w:sz="0" w:space="0" w:color="auto"/>
                          </w:divBdr>
                        </w:div>
                      </w:divsChild>
                    </w:div>
                    <w:div w:id="1610354743">
                      <w:marLeft w:val="0"/>
                      <w:marRight w:val="0"/>
                      <w:marTop w:val="0"/>
                      <w:marBottom w:val="0"/>
                      <w:divBdr>
                        <w:top w:val="none" w:sz="0" w:space="0" w:color="auto"/>
                        <w:left w:val="none" w:sz="0" w:space="0" w:color="auto"/>
                        <w:bottom w:val="none" w:sz="0" w:space="0" w:color="auto"/>
                        <w:right w:val="none" w:sz="0" w:space="0" w:color="auto"/>
                      </w:divBdr>
                      <w:divsChild>
                        <w:div w:id="1641763785">
                          <w:marLeft w:val="0"/>
                          <w:marRight w:val="0"/>
                          <w:marTop w:val="0"/>
                          <w:marBottom w:val="0"/>
                          <w:divBdr>
                            <w:top w:val="none" w:sz="0" w:space="0" w:color="auto"/>
                            <w:left w:val="none" w:sz="0" w:space="0" w:color="auto"/>
                            <w:bottom w:val="none" w:sz="0" w:space="0" w:color="auto"/>
                            <w:right w:val="none" w:sz="0" w:space="0" w:color="auto"/>
                          </w:divBdr>
                        </w:div>
                      </w:divsChild>
                    </w:div>
                    <w:div w:id="1639410368">
                      <w:marLeft w:val="0"/>
                      <w:marRight w:val="0"/>
                      <w:marTop w:val="0"/>
                      <w:marBottom w:val="0"/>
                      <w:divBdr>
                        <w:top w:val="none" w:sz="0" w:space="0" w:color="auto"/>
                        <w:left w:val="none" w:sz="0" w:space="0" w:color="auto"/>
                        <w:bottom w:val="none" w:sz="0" w:space="0" w:color="auto"/>
                        <w:right w:val="none" w:sz="0" w:space="0" w:color="auto"/>
                      </w:divBdr>
                      <w:divsChild>
                        <w:div w:id="1293902721">
                          <w:marLeft w:val="0"/>
                          <w:marRight w:val="0"/>
                          <w:marTop w:val="0"/>
                          <w:marBottom w:val="0"/>
                          <w:divBdr>
                            <w:top w:val="none" w:sz="0" w:space="0" w:color="auto"/>
                            <w:left w:val="none" w:sz="0" w:space="0" w:color="auto"/>
                            <w:bottom w:val="none" w:sz="0" w:space="0" w:color="auto"/>
                            <w:right w:val="none" w:sz="0" w:space="0" w:color="auto"/>
                          </w:divBdr>
                        </w:div>
                      </w:divsChild>
                    </w:div>
                    <w:div w:id="1661156170">
                      <w:marLeft w:val="0"/>
                      <w:marRight w:val="0"/>
                      <w:marTop w:val="0"/>
                      <w:marBottom w:val="0"/>
                      <w:divBdr>
                        <w:top w:val="none" w:sz="0" w:space="0" w:color="auto"/>
                        <w:left w:val="none" w:sz="0" w:space="0" w:color="auto"/>
                        <w:bottom w:val="none" w:sz="0" w:space="0" w:color="auto"/>
                        <w:right w:val="none" w:sz="0" w:space="0" w:color="auto"/>
                      </w:divBdr>
                      <w:divsChild>
                        <w:div w:id="929386491">
                          <w:marLeft w:val="0"/>
                          <w:marRight w:val="0"/>
                          <w:marTop w:val="0"/>
                          <w:marBottom w:val="0"/>
                          <w:divBdr>
                            <w:top w:val="none" w:sz="0" w:space="0" w:color="auto"/>
                            <w:left w:val="none" w:sz="0" w:space="0" w:color="auto"/>
                            <w:bottom w:val="none" w:sz="0" w:space="0" w:color="auto"/>
                            <w:right w:val="none" w:sz="0" w:space="0" w:color="auto"/>
                          </w:divBdr>
                        </w:div>
                        <w:div w:id="1132481960">
                          <w:marLeft w:val="0"/>
                          <w:marRight w:val="0"/>
                          <w:marTop w:val="0"/>
                          <w:marBottom w:val="0"/>
                          <w:divBdr>
                            <w:top w:val="none" w:sz="0" w:space="0" w:color="auto"/>
                            <w:left w:val="none" w:sz="0" w:space="0" w:color="auto"/>
                            <w:bottom w:val="none" w:sz="0" w:space="0" w:color="auto"/>
                            <w:right w:val="none" w:sz="0" w:space="0" w:color="auto"/>
                          </w:divBdr>
                        </w:div>
                      </w:divsChild>
                    </w:div>
                    <w:div w:id="1786075734">
                      <w:marLeft w:val="0"/>
                      <w:marRight w:val="0"/>
                      <w:marTop w:val="0"/>
                      <w:marBottom w:val="0"/>
                      <w:divBdr>
                        <w:top w:val="none" w:sz="0" w:space="0" w:color="auto"/>
                        <w:left w:val="none" w:sz="0" w:space="0" w:color="auto"/>
                        <w:bottom w:val="none" w:sz="0" w:space="0" w:color="auto"/>
                        <w:right w:val="none" w:sz="0" w:space="0" w:color="auto"/>
                      </w:divBdr>
                      <w:divsChild>
                        <w:div w:id="693725895">
                          <w:marLeft w:val="0"/>
                          <w:marRight w:val="0"/>
                          <w:marTop w:val="0"/>
                          <w:marBottom w:val="0"/>
                          <w:divBdr>
                            <w:top w:val="none" w:sz="0" w:space="0" w:color="auto"/>
                            <w:left w:val="none" w:sz="0" w:space="0" w:color="auto"/>
                            <w:bottom w:val="none" w:sz="0" w:space="0" w:color="auto"/>
                            <w:right w:val="none" w:sz="0" w:space="0" w:color="auto"/>
                          </w:divBdr>
                        </w:div>
                      </w:divsChild>
                    </w:div>
                    <w:div w:id="1810169921">
                      <w:marLeft w:val="0"/>
                      <w:marRight w:val="0"/>
                      <w:marTop w:val="0"/>
                      <w:marBottom w:val="0"/>
                      <w:divBdr>
                        <w:top w:val="none" w:sz="0" w:space="0" w:color="auto"/>
                        <w:left w:val="none" w:sz="0" w:space="0" w:color="auto"/>
                        <w:bottom w:val="none" w:sz="0" w:space="0" w:color="auto"/>
                        <w:right w:val="none" w:sz="0" w:space="0" w:color="auto"/>
                      </w:divBdr>
                      <w:divsChild>
                        <w:div w:id="202789740">
                          <w:marLeft w:val="0"/>
                          <w:marRight w:val="0"/>
                          <w:marTop w:val="0"/>
                          <w:marBottom w:val="0"/>
                          <w:divBdr>
                            <w:top w:val="none" w:sz="0" w:space="0" w:color="auto"/>
                            <w:left w:val="none" w:sz="0" w:space="0" w:color="auto"/>
                            <w:bottom w:val="none" w:sz="0" w:space="0" w:color="auto"/>
                            <w:right w:val="none" w:sz="0" w:space="0" w:color="auto"/>
                          </w:divBdr>
                        </w:div>
                      </w:divsChild>
                    </w:div>
                    <w:div w:id="1830514849">
                      <w:marLeft w:val="0"/>
                      <w:marRight w:val="0"/>
                      <w:marTop w:val="0"/>
                      <w:marBottom w:val="0"/>
                      <w:divBdr>
                        <w:top w:val="none" w:sz="0" w:space="0" w:color="auto"/>
                        <w:left w:val="none" w:sz="0" w:space="0" w:color="auto"/>
                        <w:bottom w:val="none" w:sz="0" w:space="0" w:color="auto"/>
                        <w:right w:val="none" w:sz="0" w:space="0" w:color="auto"/>
                      </w:divBdr>
                      <w:divsChild>
                        <w:div w:id="1141264716">
                          <w:marLeft w:val="0"/>
                          <w:marRight w:val="0"/>
                          <w:marTop w:val="0"/>
                          <w:marBottom w:val="0"/>
                          <w:divBdr>
                            <w:top w:val="none" w:sz="0" w:space="0" w:color="auto"/>
                            <w:left w:val="none" w:sz="0" w:space="0" w:color="auto"/>
                            <w:bottom w:val="none" w:sz="0" w:space="0" w:color="auto"/>
                            <w:right w:val="none" w:sz="0" w:space="0" w:color="auto"/>
                          </w:divBdr>
                        </w:div>
                      </w:divsChild>
                    </w:div>
                    <w:div w:id="1858930260">
                      <w:marLeft w:val="0"/>
                      <w:marRight w:val="0"/>
                      <w:marTop w:val="0"/>
                      <w:marBottom w:val="0"/>
                      <w:divBdr>
                        <w:top w:val="none" w:sz="0" w:space="0" w:color="auto"/>
                        <w:left w:val="none" w:sz="0" w:space="0" w:color="auto"/>
                        <w:bottom w:val="none" w:sz="0" w:space="0" w:color="auto"/>
                        <w:right w:val="none" w:sz="0" w:space="0" w:color="auto"/>
                      </w:divBdr>
                      <w:divsChild>
                        <w:div w:id="1138113756">
                          <w:marLeft w:val="0"/>
                          <w:marRight w:val="0"/>
                          <w:marTop w:val="0"/>
                          <w:marBottom w:val="0"/>
                          <w:divBdr>
                            <w:top w:val="none" w:sz="0" w:space="0" w:color="auto"/>
                            <w:left w:val="none" w:sz="0" w:space="0" w:color="auto"/>
                            <w:bottom w:val="none" w:sz="0" w:space="0" w:color="auto"/>
                            <w:right w:val="none" w:sz="0" w:space="0" w:color="auto"/>
                          </w:divBdr>
                        </w:div>
                      </w:divsChild>
                    </w:div>
                    <w:div w:id="1870987892">
                      <w:marLeft w:val="0"/>
                      <w:marRight w:val="0"/>
                      <w:marTop w:val="0"/>
                      <w:marBottom w:val="0"/>
                      <w:divBdr>
                        <w:top w:val="none" w:sz="0" w:space="0" w:color="auto"/>
                        <w:left w:val="none" w:sz="0" w:space="0" w:color="auto"/>
                        <w:bottom w:val="none" w:sz="0" w:space="0" w:color="auto"/>
                        <w:right w:val="none" w:sz="0" w:space="0" w:color="auto"/>
                      </w:divBdr>
                      <w:divsChild>
                        <w:div w:id="1367634384">
                          <w:marLeft w:val="0"/>
                          <w:marRight w:val="0"/>
                          <w:marTop w:val="0"/>
                          <w:marBottom w:val="0"/>
                          <w:divBdr>
                            <w:top w:val="none" w:sz="0" w:space="0" w:color="auto"/>
                            <w:left w:val="none" w:sz="0" w:space="0" w:color="auto"/>
                            <w:bottom w:val="none" w:sz="0" w:space="0" w:color="auto"/>
                            <w:right w:val="none" w:sz="0" w:space="0" w:color="auto"/>
                          </w:divBdr>
                        </w:div>
                      </w:divsChild>
                    </w:div>
                    <w:div w:id="1959530132">
                      <w:marLeft w:val="0"/>
                      <w:marRight w:val="0"/>
                      <w:marTop w:val="0"/>
                      <w:marBottom w:val="0"/>
                      <w:divBdr>
                        <w:top w:val="none" w:sz="0" w:space="0" w:color="auto"/>
                        <w:left w:val="none" w:sz="0" w:space="0" w:color="auto"/>
                        <w:bottom w:val="none" w:sz="0" w:space="0" w:color="auto"/>
                        <w:right w:val="none" w:sz="0" w:space="0" w:color="auto"/>
                      </w:divBdr>
                      <w:divsChild>
                        <w:div w:id="1391878054">
                          <w:marLeft w:val="0"/>
                          <w:marRight w:val="0"/>
                          <w:marTop w:val="0"/>
                          <w:marBottom w:val="0"/>
                          <w:divBdr>
                            <w:top w:val="none" w:sz="0" w:space="0" w:color="auto"/>
                            <w:left w:val="none" w:sz="0" w:space="0" w:color="auto"/>
                            <w:bottom w:val="none" w:sz="0" w:space="0" w:color="auto"/>
                            <w:right w:val="none" w:sz="0" w:space="0" w:color="auto"/>
                          </w:divBdr>
                        </w:div>
                      </w:divsChild>
                    </w:div>
                    <w:div w:id="2006469446">
                      <w:marLeft w:val="0"/>
                      <w:marRight w:val="0"/>
                      <w:marTop w:val="0"/>
                      <w:marBottom w:val="0"/>
                      <w:divBdr>
                        <w:top w:val="none" w:sz="0" w:space="0" w:color="auto"/>
                        <w:left w:val="none" w:sz="0" w:space="0" w:color="auto"/>
                        <w:bottom w:val="none" w:sz="0" w:space="0" w:color="auto"/>
                        <w:right w:val="none" w:sz="0" w:space="0" w:color="auto"/>
                      </w:divBdr>
                      <w:divsChild>
                        <w:div w:id="864178148">
                          <w:marLeft w:val="0"/>
                          <w:marRight w:val="0"/>
                          <w:marTop w:val="0"/>
                          <w:marBottom w:val="0"/>
                          <w:divBdr>
                            <w:top w:val="none" w:sz="0" w:space="0" w:color="auto"/>
                            <w:left w:val="none" w:sz="0" w:space="0" w:color="auto"/>
                            <w:bottom w:val="none" w:sz="0" w:space="0" w:color="auto"/>
                            <w:right w:val="none" w:sz="0" w:space="0" w:color="auto"/>
                          </w:divBdr>
                        </w:div>
                      </w:divsChild>
                    </w:div>
                    <w:div w:id="2136631906">
                      <w:marLeft w:val="0"/>
                      <w:marRight w:val="0"/>
                      <w:marTop w:val="0"/>
                      <w:marBottom w:val="0"/>
                      <w:divBdr>
                        <w:top w:val="none" w:sz="0" w:space="0" w:color="auto"/>
                        <w:left w:val="none" w:sz="0" w:space="0" w:color="auto"/>
                        <w:bottom w:val="none" w:sz="0" w:space="0" w:color="auto"/>
                        <w:right w:val="none" w:sz="0" w:space="0" w:color="auto"/>
                      </w:divBdr>
                      <w:divsChild>
                        <w:div w:id="164555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99042">
              <w:marLeft w:val="0"/>
              <w:marRight w:val="0"/>
              <w:marTop w:val="0"/>
              <w:marBottom w:val="0"/>
              <w:divBdr>
                <w:top w:val="none" w:sz="0" w:space="0" w:color="auto"/>
                <w:left w:val="none" w:sz="0" w:space="0" w:color="auto"/>
                <w:bottom w:val="none" w:sz="0" w:space="0" w:color="auto"/>
                <w:right w:val="none" w:sz="0" w:space="0" w:color="auto"/>
              </w:divBdr>
            </w:div>
            <w:div w:id="1374961135">
              <w:marLeft w:val="0"/>
              <w:marRight w:val="0"/>
              <w:marTop w:val="0"/>
              <w:marBottom w:val="0"/>
              <w:divBdr>
                <w:top w:val="none" w:sz="0" w:space="0" w:color="auto"/>
                <w:left w:val="none" w:sz="0" w:space="0" w:color="auto"/>
                <w:bottom w:val="none" w:sz="0" w:space="0" w:color="auto"/>
                <w:right w:val="none" w:sz="0" w:space="0" w:color="auto"/>
              </w:divBdr>
              <w:divsChild>
                <w:div w:id="277375058">
                  <w:marLeft w:val="0"/>
                  <w:marRight w:val="0"/>
                  <w:marTop w:val="0"/>
                  <w:marBottom w:val="0"/>
                  <w:divBdr>
                    <w:top w:val="none" w:sz="0" w:space="0" w:color="auto"/>
                    <w:left w:val="none" w:sz="0" w:space="0" w:color="auto"/>
                    <w:bottom w:val="none" w:sz="0" w:space="0" w:color="auto"/>
                    <w:right w:val="none" w:sz="0" w:space="0" w:color="auto"/>
                  </w:divBdr>
                </w:div>
                <w:div w:id="758909745">
                  <w:marLeft w:val="0"/>
                  <w:marRight w:val="0"/>
                  <w:marTop w:val="0"/>
                  <w:marBottom w:val="0"/>
                  <w:divBdr>
                    <w:top w:val="none" w:sz="0" w:space="0" w:color="auto"/>
                    <w:left w:val="none" w:sz="0" w:space="0" w:color="auto"/>
                    <w:bottom w:val="none" w:sz="0" w:space="0" w:color="auto"/>
                    <w:right w:val="none" w:sz="0" w:space="0" w:color="auto"/>
                  </w:divBdr>
                </w:div>
                <w:div w:id="772172543">
                  <w:marLeft w:val="0"/>
                  <w:marRight w:val="0"/>
                  <w:marTop w:val="0"/>
                  <w:marBottom w:val="0"/>
                  <w:divBdr>
                    <w:top w:val="none" w:sz="0" w:space="0" w:color="auto"/>
                    <w:left w:val="none" w:sz="0" w:space="0" w:color="auto"/>
                    <w:bottom w:val="none" w:sz="0" w:space="0" w:color="auto"/>
                    <w:right w:val="none" w:sz="0" w:space="0" w:color="auto"/>
                  </w:divBdr>
                </w:div>
                <w:div w:id="1589002427">
                  <w:marLeft w:val="0"/>
                  <w:marRight w:val="0"/>
                  <w:marTop w:val="0"/>
                  <w:marBottom w:val="0"/>
                  <w:divBdr>
                    <w:top w:val="none" w:sz="0" w:space="0" w:color="auto"/>
                    <w:left w:val="none" w:sz="0" w:space="0" w:color="auto"/>
                    <w:bottom w:val="none" w:sz="0" w:space="0" w:color="auto"/>
                    <w:right w:val="none" w:sz="0" w:space="0" w:color="auto"/>
                  </w:divBdr>
                </w:div>
                <w:div w:id="1748915927">
                  <w:marLeft w:val="0"/>
                  <w:marRight w:val="0"/>
                  <w:marTop w:val="0"/>
                  <w:marBottom w:val="0"/>
                  <w:divBdr>
                    <w:top w:val="none" w:sz="0" w:space="0" w:color="auto"/>
                    <w:left w:val="none" w:sz="0" w:space="0" w:color="auto"/>
                    <w:bottom w:val="none" w:sz="0" w:space="0" w:color="auto"/>
                    <w:right w:val="none" w:sz="0" w:space="0" w:color="auto"/>
                  </w:divBdr>
                </w:div>
                <w:div w:id="1952514433">
                  <w:marLeft w:val="0"/>
                  <w:marRight w:val="0"/>
                  <w:marTop w:val="0"/>
                  <w:marBottom w:val="0"/>
                  <w:divBdr>
                    <w:top w:val="none" w:sz="0" w:space="0" w:color="auto"/>
                    <w:left w:val="none" w:sz="0" w:space="0" w:color="auto"/>
                    <w:bottom w:val="none" w:sz="0" w:space="0" w:color="auto"/>
                    <w:right w:val="none" w:sz="0" w:space="0" w:color="auto"/>
                  </w:divBdr>
                </w:div>
              </w:divsChild>
            </w:div>
            <w:div w:id="1542982530">
              <w:marLeft w:val="0"/>
              <w:marRight w:val="0"/>
              <w:marTop w:val="0"/>
              <w:marBottom w:val="0"/>
              <w:divBdr>
                <w:top w:val="none" w:sz="0" w:space="0" w:color="auto"/>
                <w:left w:val="none" w:sz="0" w:space="0" w:color="auto"/>
                <w:bottom w:val="none" w:sz="0" w:space="0" w:color="auto"/>
                <w:right w:val="none" w:sz="0" w:space="0" w:color="auto"/>
              </w:divBdr>
            </w:div>
            <w:div w:id="2146653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336711">
      <w:bodyDiv w:val="1"/>
      <w:marLeft w:val="0"/>
      <w:marRight w:val="0"/>
      <w:marTop w:val="0"/>
      <w:marBottom w:val="0"/>
      <w:divBdr>
        <w:top w:val="none" w:sz="0" w:space="0" w:color="auto"/>
        <w:left w:val="none" w:sz="0" w:space="0" w:color="auto"/>
        <w:bottom w:val="none" w:sz="0" w:space="0" w:color="auto"/>
        <w:right w:val="none" w:sz="0" w:space="0" w:color="auto"/>
      </w:divBdr>
    </w:div>
    <w:div w:id="1127774149">
      <w:bodyDiv w:val="1"/>
      <w:marLeft w:val="0"/>
      <w:marRight w:val="0"/>
      <w:marTop w:val="0"/>
      <w:marBottom w:val="0"/>
      <w:divBdr>
        <w:top w:val="none" w:sz="0" w:space="0" w:color="auto"/>
        <w:left w:val="none" w:sz="0" w:space="0" w:color="auto"/>
        <w:bottom w:val="none" w:sz="0" w:space="0" w:color="auto"/>
        <w:right w:val="none" w:sz="0" w:space="0" w:color="auto"/>
      </w:divBdr>
    </w:div>
    <w:div w:id="1139345262">
      <w:bodyDiv w:val="1"/>
      <w:marLeft w:val="0"/>
      <w:marRight w:val="0"/>
      <w:marTop w:val="0"/>
      <w:marBottom w:val="0"/>
      <w:divBdr>
        <w:top w:val="none" w:sz="0" w:space="0" w:color="auto"/>
        <w:left w:val="none" w:sz="0" w:space="0" w:color="auto"/>
        <w:bottom w:val="none" w:sz="0" w:space="0" w:color="auto"/>
        <w:right w:val="none" w:sz="0" w:space="0" w:color="auto"/>
      </w:divBdr>
    </w:div>
    <w:div w:id="1147359492">
      <w:bodyDiv w:val="1"/>
      <w:marLeft w:val="0"/>
      <w:marRight w:val="0"/>
      <w:marTop w:val="0"/>
      <w:marBottom w:val="0"/>
      <w:divBdr>
        <w:top w:val="none" w:sz="0" w:space="0" w:color="auto"/>
        <w:left w:val="none" w:sz="0" w:space="0" w:color="auto"/>
        <w:bottom w:val="none" w:sz="0" w:space="0" w:color="auto"/>
        <w:right w:val="none" w:sz="0" w:space="0" w:color="auto"/>
      </w:divBdr>
    </w:div>
    <w:div w:id="1169060281">
      <w:bodyDiv w:val="1"/>
      <w:marLeft w:val="0"/>
      <w:marRight w:val="0"/>
      <w:marTop w:val="0"/>
      <w:marBottom w:val="0"/>
      <w:divBdr>
        <w:top w:val="none" w:sz="0" w:space="0" w:color="auto"/>
        <w:left w:val="none" w:sz="0" w:space="0" w:color="auto"/>
        <w:bottom w:val="none" w:sz="0" w:space="0" w:color="auto"/>
        <w:right w:val="none" w:sz="0" w:space="0" w:color="auto"/>
      </w:divBdr>
    </w:div>
    <w:div w:id="1179806069">
      <w:bodyDiv w:val="1"/>
      <w:marLeft w:val="0"/>
      <w:marRight w:val="0"/>
      <w:marTop w:val="0"/>
      <w:marBottom w:val="0"/>
      <w:divBdr>
        <w:top w:val="none" w:sz="0" w:space="0" w:color="auto"/>
        <w:left w:val="none" w:sz="0" w:space="0" w:color="auto"/>
        <w:bottom w:val="none" w:sz="0" w:space="0" w:color="auto"/>
        <w:right w:val="none" w:sz="0" w:space="0" w:color="auto"/>
      </w:divBdr>
    </w:div>
    <w:div w:id="1188980210">
      <w:bodyDiv w:val="1"/>
      <w:marLeft w:val="0"/>
      <w:marRight w:val="0"/>
      <w:marTop w:val="0"/>
      <w:marBottom w:val="0"/>
      <w:divBdr>
        <w:top w:val="none" w:sz="0" w:space="0" w:color="auto"/>
        <w:left w:val="none" w:sz="0" w:space="0" w:color="auto"/>
        <w:bottom w:val="none" w:sz="0" w:space="0" w:color="auto"/>
        <w:right w:val="none" w:sz="0" w:space="0" w:color="auto"/>
      </w:divBdr>
    </w:div>
    <w:div w:id="1219047655">
      <w:bodyDiv w:val="1"/>
      <w:marLeft w:val="0"/>
      <w:marRight w:val="0"/>
      <w:marTop w:val="0"/>
      <w:marBottom w:val="0"/>
      <w:divBdr>
        <w:top w:val="none" w:sz="0" w:space="0" w:color="auto"/>
        <w:left w:val="none" w:sz="0" w:space="0" w:color="auto"/>
        <w:bottom w:val="none" w:sz="0" w:space="0" w:color="auto"/>
        <w:right w:val="none" w:sz="0" w:space="0" w:color="auto"/>
      </w:divBdr>
    </w:div>
    <w:div w:id="1244485255">
      <w:bodyDiv w:val="1"/>
      <w:marLeft w:val="0"/>
      <w:marRight w:val="0"/>
      <w:marTop w:val="0"/>
      <w:marBottom w:val="0"/>
      <w:divBdr>
        <w:top w:val="none" w:sz="0" w:space="0" w:color="auto"/>
        <w:left w:val="none" w:sz="0" w:space="0" w:color="auto"/>
        <w:bottom w:val="none" w:sz="0" w:space="0" w:color="auto"/>
        <w:right w:val="none" w:sz="0" w:space="0" w:color="auto"/>
      </w:divBdr>
    </w:div>
    <w:div w:id="1266376540">
      <w:bodyDiv w:val="1"/>
      <w:marLeft w:val="0"/>
      <w:marRight w:val="0"/>
      <w:marTop w:val="0"/>
      <w:marBottom w:val="0"/>
      <w:divBdr>
        <w:top w:val="none" w:sz="0" w:space="0" w:color="auto"/>
        <w:left w:val="none" w:sz="0" w:space="0" w:color="auto"/>
        <w:bottom w:val="none" w:sz="0" w:space="0" w:color="auto"/>
        <w:right w:val="none" w:sz="0" w:space="0" w:color="auto"/>
      </w:divBdr>
    </w:div>
    <w:div w:id="1268196975">
      <w:bodyDiv w:val="1"/>
      <w:marLeft w:val="0"/>
      <w:marRight w:val="0"/>
      <w:marTop w:val="0"/>
      <w:marBottom w:val="0"/>
      <w:divBdr>
        <w:top w:val="none" w:sz="0" w:space="0" w:color="auto"/>
        <w:left w:val="none" w:sz="0" w:space="0" w:color="auto"/>
        <w:bottom w:val="none" w:sz="0" w:space="0" w:color="auto"/>
        <w:right w:val="none" w:sz="0" w:space="0" w:color="auto"/>
      </w:divBdr>
    </w:div>
    <w:div w:id="1316453200">
      <w:bodyDiv w:val="1"/>
      <w:marLeft w:val="0"/>
      <w:marRight w:val="0"/>
      <w:marTop w:val="0"/>
      <w:marBottom w:val="0"/>
      <w:divBdr>
        <w:top w:val="none" w:sz="0" w:space="0" w:color="auto"/>
        <w:left w:val="none" w:sz="0" w:space="0" w:color="auto"/>
        <w:bottom w:val="none" w:sz="0" w:space="0" w:color="auto"/>
        <w:right w:val="none" w:sz="0" w:space="0" w:color="auto"/>
      </w:divBdr>
      <w:divsChild>
        <w:div w:id="904099250">
          <w:marLeft w:val="0"/>
          <w:marRight w:val="0"/>
          <w:marTop w:val="0"/>
          <w:marBottom w:val="0"/>
          <w:divBdr>
            <w:top w:val="none" w:sz="0" w:space="0" w:color="auto"/>
            <w:left w:val="none" w:sz="0" w:space="0" w:color="auto"/>
            <w:bottom w:val="none" w:sz="0" w:space="0" w:color="auto"/>
            <w:right w:val="none" w:sz="0" w:space="0" w:color="auto"/>
          </w:divBdr>
          <w:divsChild>
            <w:div w:id="949553557">
              <w:marLeft w:val="0"/>
              <w:marRight w:val="0"/>
              <w:marTop w:val="0"/>
              <w:marBottom w:val="0"/>
              <w:divBdr>
                <w:top w:val="none" w:sz="0" w:space="0" w:color="auto"/>
                <w:left w:val="none" w:sz="0" w:space="0" w:color="auto"/>
                <w:bottom w:val="none" w:sz="0" w:space="0" w:color="auto"/>
                <w:right w:val="none" w:sz="0" w:space="0" w:color="auto"/>
              </w:divBdr>
              <w:divsChild>
                <w:div w:id="2006929448">
                  <w:marLeft w:val="0"/>
                  <w:marRight w:val="0"/>
                  <w:marTop w:val="0"/>
                  <w:marBottom w:val="0"/>
                  <w:divBdr>
                    <w:top w:val="none" w:sz="0" w:space="0" w:color="auto"/>
                    <w:left w:val="none" w:sz="0" w:space="0" w:color="auto"/>
                    <w:bottom w:val="none" w:sz="0" w:space="0" w:color="auto"/>
                    <w:right w:val="none" w:sz="0" w:space="0" w:color="auto"/>
                  </w:divBdr>
                  <w:divsChild>
                    <w:div w:id="1769349762">
                      <w:marLeft w:val="0"/>
                      <w:marRight w:val="0"/>
                      <w:marTop w:val="0"/>
                      <w:marBottom w:val="0"/>
                      <w:divBdr>
                        <w:top w:val="none" w:sz="0" w:space="0" w:color="auto"/>
                        <w:left w:val="none" w:sz="0" w:space="0" w:color="auto"/>
                        <w:bottom w:val="none" w:sz="0" w:space="0" w:color="auto"/>
                        <w:right w:val="none" w:sz="0" w:space="0" w:color="auto"/>
                      </w:divBdr>
                      <w:divsChild>
                        <w:div w:id="24907323">
                          <w:marLeft w:val="0"/>
                          <w:marRight w:val="0"/>
                          <w:marTop w:val="0"/>
                          <w:marBottom w:val="0"/>
                          <w:divBdr>
                            <w:top w:val="none" w:sz="0" w:space="0" w:color="auto"/>
                            <w:left w:val="none" w:sz="0" w:space="0" w:color="auto"/>
                            <w:bottom w:val="none" w:sz="0" w:space="0" w:color="auto"/>
                            <w:right w:val="none" w:sz="0" w:space="0" w:color="auto"/>
                          </w:divBdr>
                          <w:divsChild>
                            <w:div w:id="448283579">
                              <w:marLeft w:val="0"/>
                              <w:marRight w:val="0"/>
                              <w:marTop w:val="0"/>
                              <w:marBottom w:val="0"/>
                              <w:divBdr>
                                <w:top w:val="none" w:sz="0" w:space="0" w:color="auto"/>
                                <w:left w:val="none" w:sz="0" w:space="0" w:color="auto"/>
                                <w:bottom w:val="none" w:sz="0" w:space="0" w:color="auto"/>
                                <w:right w:val="none" w:sz="0" w:space="0" w:color="auto"/>
                              </w:divBdr>
                              <w:divsChild>
                                <w:div w:id="16385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4332283">
      <w:bodyDiv w:val="1"/>
      <w:marLeft w:val="0"/>
      <w:marRight w:val="0"/>
      <w:marTop w:val="0"/>
      <w:marBottom w:val="0"/>
      <w:divBdr>
        <w:top w:val="none" w:sz="0" w:space="0" w:color="auto"/>
        <w:left w:val="none" w:sz="0" w:space="0" w:color="auto"/>
        <w:bottom w:val="none" w:sz="0" w:space="0" w:color="auto"/>
        <w:right w:val="none" w:sz="0" w:space="0" w:color="auto"/>
      </w:divBdr>
    </w:div>
    <w:div w:id="1359309682">
      <w:bodyDiv w:val="1"/>
      <w:marLeft w:val="0"/>
      <w:marRight w:val="0"/>
      <w:marTop w:val="0"/>
      <w:marBottom w:val="0"/>
      <w:divBdr>
        <w:top w:val="none" w:sz="0" w:space="0" w:color="auto"/>
        <w:left w:val="none" w:sz="0" w:space="0" w:color="auto"/>
        <w:bottom w:val="none" w:sz="0" w:space="0" w:color="auto"/>
        <w:right w:val="none" w:sz="0" w:space="0" w:color="auto"/>
      </w:divBdr>
    </w:div>
    <w:div w:id="1362976047">
      <w:bodyDiv w:val="1"/>
      <w:marLeft w:val="0"/>
      <w:marRight w:val="0"/>
      <w:marTop w:val="0"/>
      <w:marBottom w:val="0"/>
      <w:divBdr>
        <w:top w:val="none" w:sz="0" w:space="0" w:color="auto"/>
        <w:left w:val="none" w:sz="0" w:space="0" w:color="auto"/>
        <w:bottom w:val="none" w:sz="0" w:space="0" w:color="auto"/>
        <w:right w:val="none" w:sz="0" w:space="0" w:color="auto"/>
      </w:divBdr>
    </w:div>
    <w:div w:id="1365326837">
      <w:bodyDiv w:val="1"/>
      <w:marLeft w:val="0"/>
      <w:marRight w:val="0"/>
      <w:marTop w:val="0"/>
      <w:marBottom w:val="0"/>
      <w:divBdr>
        <w:top w:val="none" w:sz="0" w:space="0" w:color="auto"/>
        <w:left w:val="none" w:sz="0" w:space="0" w:color="auto"/>
        <w:bottom w:val="none" w:sz="0" w:space="0" w:color="auto"/>
        <w:right w:val="none" w:sz="0" w:space="0" w:color="auto"/>
      </w:divBdr>
      <w:divsChild>
        <w:div w:id="625431713">
          <w:marLeft w:val="0"/>
          <w:marRight w:val="0"/>
          <w:marTop w:val="0"/>
          <w:marBottom w:val="0"/>
          <w:divBdr>
            <w:top w:val="none" w:sz="0" w:space="0" w:color="auto"/>
            <w:left w:val="none" w:sz="0" w:space="0" w:color="auto"/>
            <w:bottom w:val="none" w:sz="0" w:space="0" w:color="auto"/>
            <w:right w:val="none" w:sz="0" w:space="0" w:color="auto"/>
          </w:divBdr>
          <w:divsChild>
            <w:div w:id="245923509">
              <w:marLeft w:val="0"/>
              <w:marRight w:val="0"/>
              <w:marTop w:val="0"/>
              <w:marBottom w:val="0"/>
              <w:divBdr>
                <w:top w:val="none" w:sz="0" w:space="0" w:color="auto"/>
                <w:left w:val="none" w:sz="0" w:space="0" w:color="auto"/>
                <w:bottom w:val="none" w:sz="0" w:space="0" w:color="auto"/>
                <w:right w:val="none" w:sz="0" w:space="0" w:color="auto"/>
              </w:divBdr>
              <w:divsChild>
                <w:div w:id="131101034">
                  <w:marLeft w:val="0"/>
                  <w:marRight w:val="0"/>
                  <w:marTop w:val="0"/>
                  <w:marBottom w:val="0"/>
                  <w:divBdr>
                    <w:top w:val="none" w:sz="0" w:space="0" w:color="auto"/>
                    <w:left w:val="none" w:sz="0" w:space="0" w:color="auto"/>
                    <w:bottom w:val="none" w:sz="0" w:space="0" w:color="auto"/>
                    <w:right w:val="none" w:sz="0" w:space="0" w:color="auto"/>
                  </w:divBdr>
                  <w:divsChild>
                    <w:div w:id="728070089">
                      <w:marLeft w:val="0"/>
                      <w:marRight w:val="0"/>
                      <w:marTop w:val="0"/>
                      <w:marBottom w:val="0"/>
                      <w:divBdr>
                        <w:top w:val="none" w:sz="0" w:space="0" w:color="auto"/>
                        <w:left w:val="none" w:sz="0" w:space="0" w:color="auto"/>
                        <w:bottom w:val="none" w:sz="0" w:space="0" w:color="auto"/>
                        <w:right w:val="none" w:sz="0" w:space="0" w:color="auto"/>
                      </w:divBdr>
                      <w:divsChild>
                        <w:div w:id="989476372">
                          <w:marLeft w:val="0"/>
                          <w:marRight w:val="0"/>
                          <w:marTop w:val="0"/>
                          <w:marBottom w:val="0"/>
                          <w:divBdr>
                            <w:top w:val="none" w:sz="0" w:space="0" w:color="auto"/>
                            <w:left w:val="none" w:sz="0" w:space="0" w:color="auto"/>
                            <w:bottom w:val="none" w:sz="0" w:space="0" w:color="auto"/>
                            <w:right w:val="none" w:sz="0" w:space="0" w:color="auto"/>
                          </w:divBdr>
                          <w:divsChild>
                            <w:div w:id="939335927">
                              <w:marLeft w:val="0"/>
                              <w:marRight w:val="0"/>
                              <w:marTop w:val="0"/>
                              <w:marBottom w:val="0"/>
                              <w:divBdr>
                                <w:top w:val="none" w:sz="0" w:space="0" w:color="auto"/>
                                <w:left w:val="none" w:sz="0" w:space="0" w:color="auto"/>
                                <w:bottom w:val="none" w:sz="0" w:space="0" w:color="auto"/>
                                <w:right w:val="none" w:sz="0" w:space="0" w:color="auto"/>
                              </w:divBdr>
                              <w:divsChild>
                                <w:div w:id="134061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9548692">
      <w:bodyDiv w:val="1"/>
      <w:marLeft w:val="0"/>
      <w:marRight w:val="0"/>
      <w:marTop w:val="0"/>
      <w:marBottom w:val="0"/>
      <w:divBdr>
        <w:top w:val="none" w:sz="0" w:space="0" w:color="auto"/>
        <w:left w:val="none" w:sz="0" w:space="0" w:color="auto"/>
        <w:bottom w:val="none" w:sz="0" w:space="0" w:color="auto"/>
        <w:right w:val="none" w:sz="0" w:space="0" w:color="auto"/>
      </w:divBdr>
    </w:div>
    <w:div w:id="1402824193">
      <w:bodyDiv w:val="1"/>
      <w:marLeft w:val="0"/>
      <w:marRight w:val="0"/>
      <w:marTop w:val="0"/>
      <w:marBottom w:val="0"/>
      <w:divBdr>
        <w:top w:val="none" w:sz="0" w:space="0" w:color="auto"/>
        <w:left w:val="none" w:sz="0" w:space="0" w:color="auto"/>
        <w:bottom w:val="none" w:sz="0" w:space="0" w:color="auto"/>
        <w:right w:val="none" w:sz="0" w:space="0" w:color="auto"/>
      </w:divBdr>
    </w:div>
    <w:div w:id="1431513537">
      <w:bodyDiv w:val="1"/>
      <w:marLeft w:val="0"/>
      <w:marRight w:val="0"/>
      <w:marTop w:val="0"/>
      <w:marBottom w:val="0"/>
      <w:divBdr>
        <w:top w:val="none" w:sz="0" w:space="0" w:color="auto"/>
        <w:left w:val="none" w:sz="0" w:space="0" w:color="auto"/>
        <w:bottom w:val="none" w:sz="0" w:space="0" w:color="auto"/>
        <w:right w:val="none" w:sz="0" w:space="0" w:color="auto"/>
      </w:divBdr>
    </w:div>
    <w:div w:id="1436368546">
      <w:bodyDiv w:val="1"/>
      <w:marLeft w:val="0"/>
      <w:marRight w:val="0"/>
      <w:marTop w:val="0"/>
      <w:marBottom w:val="0"/>
      <w:divBdr>
        <w:top w:val="none" w:sz="0" w:space="0" w:color="auto"/>
        <w:left w:val="none" w:sz="0" w:space="0" w:color="auto"/>
        <w:bottom w:val="none" w:sz="0" w:space="0" w:color="auto"/>
        <w:right w:val="none" w:sz="0" w:space="0" w:color="auto"/>
      </w:divBdr>
    </w:div>
    <w:div w:id="1445929647">
      <w:bodyDiv w:val="1"/>
      <w:marLeft w:val="0"/>
      <w:marRight w:val="0"/>
      <w:marTop w:val="0"/>
      <w:marBottom w:val="0"/>
      <w:divBdr>
        <w:top w:val="none" w:sz="0" w:space="0" w:color="auto"/>
        <w:left w:val="none" w:sz="0" w:space="0" w:color="auto"/>
        <w:bottom w:val="none" w:sz="0" w:space="0" w:color="auto"/>
        <w:right w:val="none" w:sz="0" w:space="0" w:color="auto"/>
      </w:divBdr>
    </w:div>
    <w:div w:id="1459301808">
      <w:bodyDiv w:val="1"/>
      <w:marLeft w:val="0"/>
      <w:marRight w:val="0"/>
      <w:marTop w:val="0"/>
      <w:marBottom w:val="0"/>
      <w:divBdr>
        <w:top w:val="none" w:sz="0" w:space="0" w:color="auto"/>
        <w:left w:val="none" w:sz="0" w:space="0" w:color="auto"/>
        <w:bottom w:val="none" w:sz="0" w:space="0" w:color="auto"/>
        <w:right w:val="none" w:sz="0" w:space="0" w:color="auto"/>
      </w:divBdr>
    </w:div>
    <w:div w:id="1472209993">
      <w:bodyDiv w:val="1"/>
      <w:marLeft w:val="0"/>
      <w:marRight w:val="0"/>
      <w:marTop w:val="0"/>
      <w:marBottom w:val="0"/>
      <w:divBdr>
        <w:top w:val="none" w:sz="0" w:space="0" w:color="auto"/>
        <w:left w:val="none" w:sz="0" w:space="0" w:color="auto"/>
        <w:bottom w:val="none" w:sz="0" w:space="0" w:color="auto"/>
        <w:right w:val="none" w:sz="0" w:space="0" w:color="auto"/>
      </w:divBdr>
    </w:div>
    <w:div w:id="1499687842">
      <w:bodyDiv w:val="1"/>
      <w:marLeft w:val="0"/>
      <w:marRight w:val="0"/>
      <w:marTop w:val="0"/>
      <w:marBottom w:val="0"/>
      <w:divBdr>
        <w:top w:val="none" w:sz="0" w:space="0" w:color="auto"/>
        <w:left w:val="none" w:sz="0" w:space="0" w:color="auto"/>
        <w:bottom w:val="none" w:sz="0" w:space="0" w:color="auto"/>
        <w:right w:val="none" w:sz="0" w:space="0" w:color="auto"/>
      </w:divBdr>
    </w:div>
    <w:div w:id="1525241713">
      <w:bodyDiv w:val="1"/>
      <w:marLeft w:val="0"/>
      <w:marRight w:val="0"/>
      <w:marTop w:val="0"/>
      <w:marBottom w:val="0"/>
      <w:divBdr>
        <w:top w:val="none" w:sz="0" w:space="0" w:color="auto"/>
        <w:left w:val="none" w:sz="0" w:space="0" w:color="auto"/>
        <w:bottom w:val="none" w:sz="0" w:space="0" w:color="auto"/>
        <w:right w:val="none" w:sz="0" w:space="0" w:color="auto"/>
      </w:divBdr>
    </w:div>
    <w:div w:id="1527794418">
      <w:bodyDiv w:val="1"/>
      <w:marLeft w:val="0"/>
      <w:marRight w:val="0"/>
      <w:marTop w:val="0"/>
      <w:marBottom w:val="0"/>
      <w:divBdr>
        <w:top w:val="none" w:sz="0" w:space="0" w:color="auto"/>
        <w:left w:val="none" w:sz="0" w:space="0" w:color="auto"/>
        <w:bottom w:val="none" w:sz="0" w:space="0" w:color="auto"/>
        <w:right w:val="none" w:sz="0" w:space="0" w:color="auto"/>
      </w:divBdr>
    </w:div>
    <w:div w:id="1531643846">
      <w:bodyDiv w:val="1"/>
      <w:marLeft w:val="0"/>
      <w:marRight w:val="0"/>
      <w:marTop w:val="0"/>
      <w:marBottom w:val="0"/>
      <w:divBdr>
        <w:top w:val="none" w:sz="0" w:space="0" w:color="auto"/>
        <w:left w:val="none" w:sz="0" w:space="0" w:color="auto"/>
        <w:bottom w:val="none" w:sz="0" w:space="0" w:color="auto"/>
        <w:right w:val="none" w:sz="0" w:space="0" w:color="auto"/>
      </w:divBdr>
    </w:div>
    <w:div w:id="1571499837">
      <w:bodyDiv w:val="1"/>
      <w:marLeft w:val="0"/>
      <w:marRight w:val="0"/>
      <w:marTop w:val="0"/>
      <w:marBottom w:val="0"/>
      <w:divBdr>
        <w:top w:val="none" w:sz="0" w:space="0" w:color="auto"/>
        <w:left w:val="none" w:sz="0" w:space="0" w:color="auto"/>
        <w:bottom w:val="none" w:sz="0" w:space="0" w:color="auto"/>
        <w:right w:val="none" w:sz="0" w:space="0" w:color="auto"/>
      </w:divBdr>
    </w:div>
    <w:div w:id="1573466299">
      <w:bodyDiv w:val="1"/>
      <w:marLeft w:val="0"/>
      <w:marRight w:val="0"/>
      <w:marTop w:val="0"/>
      <w:marBottom w:val="0"/>
      <w:divBdr>
        <w:top w:val="none" w:sz="0" w:space="0" w:color="auto"/>
        <w:left w:val="none" w:sz="0" w:space="0" w:color="auto"/>
        <w:bottom w:val="none" w:sz="0" w:space="0" w:color="auto"/>
        <w:right w:val="none" w:sz="0" w:space="0" w:color="auto"/>
      </w:divBdr>
    </w:div>
    <w:div w:id="1575579218">
      <w:bodyDiv w:val="1"/>
      <w:marLeft w:val="0"/>
      <w:marRight w:val="0"/>
      <w:marTop w:val="0"/>
      <w:marBottom w:val="0"/>
      <w:divBdr>
        <w:top w:val="none" w:sz="0" w:space="0" w:color="auto"/>
        <w:left w:val="none" w:sz="0" w:space="0" w:color="auto"/>
        <w:bottom w:val="none" w:sz="0" w:space="0" w:color="auto"/>
        <w:right w:val="none" w:sz="0" w:space="0" w:color="auto"/>
      </w:divBdr>
    </w:div>
    <w:div w:id="1602105292">
      <w:bodyDiv w:val="1"/>
      <w:marLeft w:val="0"/>
      <w:marRight w:val="0"/>
      <w:marTop w:val="0"/>
      <w:marBottom w:val="0"/>
      <w:divBdr>
        <w:top w:val="none" w:sz="0" w:space="0" w:color="auto"/>
        <w:left w:val="none" w:sz="0" w:space="0" w:color="auto"/>
        <w:bottom w:val="none" w:sz="0" w:space="0" w:color="auto"/>
        <w:right w:val="none" w:sz="0" w:space="0" w:color="auto"/>
      </w:divBdr>
    </w:div>
    <w:div w:id="1612937904">
      <w:bodyDiv w:val="1"/>
      <w:marLeft w:val="0"/>
      <w:marRight w:val="0"/>
      <w:marTop w:val="0"/>
      <w:marBottom w:val="0"/>
      <w:divBdr>
        <w:top w:val="none" w:sz="0" w:space="0" w:color="auto"/>
        <w:left w:val="none" w:sz="0" w:space="0" w:color="auto"/>
        <w:bottom w:val="none" w:sz="0" w:space="0" w:color="auto"/>
        <w:right w:val="none" w:sz="0" w:space="0" w:color="auto"/>
      </w:divBdr>
    </w:div>
    <w:div w:id="1622346142">
      <w:bodyDiv w:val="1"/>
      <w:marLeft w:val="0"/>
      <w:marRight w:val="0"/>
      <w:marTop w:val="0"/>
      <w:marBottom w:val="0"/>
      <w:divBdr>
        <w:top w:val="none" w:sz="0" w:space="0" w:color="auto"/>
        <w:left w:val="none" w:sz="0" w:space="0" w:color="auto"/>
        <w:bottom w:val="none" w:sz="0" w:space="0" w:color="auto"/>
        <w:right w:val="none" w:sz="0" w:space="0" w:color="auto"/>
      </w:divBdr>
    </w:div>
    <w:div w:id="1627199647">
      <w:bodyDiv w:val="1"/>
      <w:marLeft w:val="0"/>
      <w:marRight w:val="0"/>
      <w:marTop w:val="0"/>
      <w:marBottom w:val="0"/>
      <w:divBdr>
        <w:top w:val="none" w:sz="0" w:space="0" w:color="auto"/>
        <w:left w:val="none" w:sz="0" w:space="0" w:color="auto"/>
        <w:bottom w:val="none" w:sz="0" w:space="0" w:color="auto"/>
        <w:right w:val="none" w:sz="0" w:space="0" w:color="auto"/>
      </w:divBdr>
    </w:div>
    <w:div w:id="1631091951">
      <w:bodyDiv w:val="1"/>
      <w:marLeft w:val="0"/>
      <w:marRight w:val="0"/>
      <w:marTop w:val="0"/>
      <w:marBottom w:val="0"/>
      <w:divBdr>
        <w:top w:val="none" w:sz="0" w:space="0" w:color="auto"/>
        <w:left w:val="none" w:sz="0" w:space="0" w:color="auto"/>
        <w:bottom w:val="none" w:sz="0" w:space="0" w:color="auto"/>
        <w:right w:val="none" w:sz="0" w:space="0" w:color="auto"/>
      </w:divBdr>
    </w:div>
    <w:div w:id="1643386915">
      <w:bodyDiv w:val="1"/>
      <w:marLeft w:val="0"/>
      <w:marRight w:val="0"/>
      <w:marTop w:val="0"/>
      <w:marBottom w:val="0"/>
      <w:divBdr>
        <w:top w:val="none" w:sz="0" w:space="0" w:color="auto"/>
        <w:left w:val="none" w:sz="0" w:space="0" w:color="auto"/>
        <w:bottom w:val="none" w:sz="0" w:space="0" w:color="auto"/>
        <w:right w:val="none" w:sz="0" w:space="0" w:color="auto"/>
      </w:divBdr>
    </w:div>
    <w:div w:id="1730957571">
      <w:bodyDiv w:val="1"/>
      <w:marLeft w:val="0"/>
      <w:marRight w:val="0"/>
      <w:marTop w:val="0"/>
      <w:marBottom w:val="0"/>
      <w:divBdr>
        <w:top w:val="none" w:sz="0" w:space="0" w:color="auto"/>
        <w:left w:val="none" w:sz="0" w:space="0" w:color="auto"/>
        <w:bottom w:val="none" w:sz="0" w:space="0" w:color="auto"/>
        <w:right w:val="none" w:sz="0" w:space="0" w:color="auto"/>
      </w:divBdr>
      <w:divsChild>
        <w:div w:id="205073347">
          <w:marLeft w:val="0"/>
          <w:marRight w:val="0"/>
          <w:marTop w:val="0"/>
          <w:marBottom w:val="0"/>
          <w:divBdr>
            <w:top w:val="none" w:sz="0" w:space="0" w:color="auto"/>
            <w:left w:val="none" w:sz="0" w:space="0" w:color="auto"/>
            <w:bottom w:val="none" w:sz="0" w:space="0" w:color="auto"/>
            <w:right w:val="none" w:sz="0" w:space="0" w:color="auto"/>
          </w:divBdr>
        </w:div>
        <w:div w:id="327827480">
          <w:marLeft w:val="0"/>
          <w:marRight w:val="0"/>
          <w:marTop w:val="0"/>
          <w:marBottom w:val="0"/>
          <w:divBdr>
            <w:top w:val="none" w:sz="0" w:space="0" w:color="auto"/>
            <w:left w:val="none" w:sz="0" w:space="0" w:color="auto"/>
            <w:bottom w:val="none" w:sz="0" w:space="0" w:color="auto"/>
            <w:right w:val="none" w:sz="0" w:space="0" w:color="auto"/>
          </w:divBdr>
        </w:div>
        <w:div w:id="893736167">
          <w:marLeft w:val="0"/>
          <w:marRight w:val="0"/>
          <w:marTop w:val="0"/>
          <w:marBottom w:val="0"/>
          <w:divBdr>
            <w:top w:val="none" w:sz="0" w:space="0" w:color="auto"/>
            <w:left w:val="none" w:sz="0" w:space="0" w:color="auto"/>
            <w:bottom w:val="none" w:sz="0" w:space="0" w:color="auto"/>
            <w:right w:val="none" w:sz="0" w:space="0" w:color="auto"/>
          </w:divBdr>
          <w:divsChild>
            <w:div w:id="208420871">
              <w:marLeft w:val="0"/>
              <w:marRight w:val="0"/>
              <w:marTop w:val="0"/>
              <w:marBottom w:val="0"/>
              <w:divBdr>
                <w:top w:val="none" w:sz="0" w:space="0" w:color="auto"/>
                <w:left w:val="none" w:sz="0" w:space="0" w:color="auto"/>
                <w:bottom w:val="none" w:sz="0" w:space="0" w:color="auto"/>
                <w:right w:val="none" w:sz="0" w:space="0" w:color="auto"/>
              </w:divBdr>
            </w:div>
            <w:div w:id="633566011">
              <w:marLeft w:val="0"/>
              <w:marRight w:val="0"/>
              <w:marTop w:val="0"/>
              <w:marBottom w:val="0"/>
              <w:divBdr>
                <w:top w:val="none" w:sz="0" w:space="0" w:color="auto"/>
                <w:left w:val="none" w:sz="0" w:space="0" w:color="auto"/>
                <w:bottom w:val="none" w:sz="0" w:space="0" w:color="auto"/>
                <w:right w:val="none" w:sz="0" w:space="0" w:color="auto"/>
              </w:divBdr>
            </w:div>
            <w:div w:id="1143228873">
              <w:marLeft w:val="0"/>
              <w:marRight w:val="0"/>
              <w:marTop w:val="0"/>
              <w:marBottom w:val="0"/>
              <w:divBdr>
                <w:top w:val="none" w:sz="0" w:space="0" w:color="auto"/>
                <w:left w:val="none" w:sz="0" w:space="0" w:color="auto"/>
                <w:bottom w:val="none" w:sz="0" w:space="0" w:color="auto"/>
                <w:right w:val="none" w:sz="0" w:space="0" w:color="auto"/>
              </w:divBdr>
            </w:div>
            <w:div w:id="1504973298">
              <w:marLeft w:val="0"/>
              <w:marRight w:val="0"/>
              <w:marTop w:val="0"/>
              <w:marBottom w:val="0"/>
              <w:divBdr>
                <w:top w:val="none" w:sz="0" w:space="0" w:color="auto"/>
                <w:left w:val="none" w:sz="0" w:space="0" w:color="auto"/>
                <w:bottom w:val="none" w:sz="0" w:space="0" w:color="auto"/>
                <w:right w:val="none" w:sz="0" w:space="0" w:color="auto"/>
              </w:divBdr>
            </w:div>
            <w:div w:id="1587883173">
              <w:marLeft w:val="0"/>
              <w:marRight w:val="0"/>
              <w:marTop w:val="0"/>
              <w:marBottom w:val="0"/>
              <w:divBdr>
                <w:top w:val="none" w:sz="0" w:space="0" w:color="auto"/>
                <w:left w:val="none" w:sz="0" w:space="0" w:color="auto"/>
                <w:bottom w:val="none" w:sz="0" w:space="0" w:color="auto"/>
                <w:right w:val="none" w:sz="0" w:space="0" w:color="auto"/>
              </w:divBdr>
            </w:div>
            <w:div w:id="1885823261">
              <w:marLeft w:val="0"/>
              <w:marRight w:val="0"/>
              <w:marTop w:val="0"/>
              <w:marBottom w:val="0"/>
              <w:divBdr>
                <w:top w:val="none" w:sz="0" w:space="0" w:color="auto"/>
                <w:left w:val="none" w:sz="0" w:space="0" w:color="auto"/>
                <w:bottom w:val="none" w:sz="0" w:space="0" w:color="auto"/>
                <w:right w:val="none" w:sz="0" w:space="0" w:color="auto"/>
              </w:divBdr>
            </w:div>
          </w:divsChild>
        </w:div>
        <w:div w:id="1355573552">
          <w:marLeft w:val="0"/>
          <w:marRight w:val="0"/>
          <w:marTop w:val="0"/>
          <w:marBottom w:val="0"/>
          <w:divBdr>
            <w:top w:val="none" w:sz="0" w:space="0" w:color="auto"/>
            <w:left w:val="none" w:sz="0" w:space="0" w:color="auto"/>
            <w:bottom w:val="none" w:sz="0" w:space="0" w:color="auto"/>
            <w:right w:val="none" w:sz="0" w:space="0" w:color="auto"/>
          </w:divBdr>
        </w:div>
        <w:div w:id="1658000090">
          <w:marLeft w:val="0"/>
          <w:marRight w:val="0"/>
          <w:marTop w:val="0"/>
          <w:marBottom w:val="0"/>
          <w:divBdr>
            <w:top w:val="none" w:sz="0" w:space="0" w:color="auto"/>
            <w:left w:val="none" w:sz="0" w:space="0" w:color="auto"/>
            <w:bottom w:val="none" w:sz="0" w:space="0" w:color="auto"/>
            <w:right w:val="none" w:sz="0" w:space="0" w:color="auto"/>
          </w:divBdr>
        </w:div>
        <w:div w:id="1770468816">
          <w:marLeft w:val="0"/>
          <w:marRight w:val="0"/>
          <w:marTop w:val="0"/>
          <w:marBottom w:val="0"/>
          <w:divBdr>
            <w:top w:val="none" w:sz="0" w:space="0" w:color="auto"/>
            <w:left w:val="none" w:sz="0" w:space="0" w:color="auto"/>
            <w:bottom w:val="none" w:sz="0" w:space="0" w:color="auto"/>
            <w:right w:val="none" w:sz="0" w:space="0" w:color="auto"/>
          </w:divBdr>
          <w:divsChild>
            <w:div w:id="1688871728">
              <w:marLeft w:val="0"/>
              <w:marRight w:val="0"/>
              <w:marTop w:val="0"/>
              <w:marBottom w:val="0"/>
              <w:divBdr>
                <w:top w:val="none" w:sz="0" w:space="0" w:color="auto"/>
                <w:left w:val="none" w:sz="0" w:space="0" w:color="auto"/>
                <w:bottom w:val="none" w:sz="0" w:space="0" w:color="auto"/>
                <w:right w:val="none" w:sz="0" w:space="0" w:color="auto"/>
              </w:divBdr>
              <w:divsChild>
                <w:div w:id="40371323">
                  <w:marLeft w:val="0"/>
                  <w:marRight w:val="0"/>
                  <w:marTop w:val="0"/>
                  <w:marBottom w:val="0"/>
                  <w:divBdr>
                    <w:top w:val="none" w:sz="0" w:space="0" w:color="auto"/>
                    <w:left w:val="none" w:sz="0" w:space="0" w:color="auto"/>
                    <w:bottom w:val="none" w:sz="0" w:space="0" w:color="auto"/>
                    <w:right w:val="none" w:sz="0" w:space="0" w:color="auto"/>
                  </w:divBdr>
                  <w:divsChild>
                    <w:div w:id="582297409">
                      <w:marLeft w:val="0"/>
                      <w:marRight w:val="0"/>
                      <w:marTop w:val="0"/>
                      <w:marBottom w:val="0"/>
                      <w:divBdr>
                        <w:top w:val="none" w:sz="0" w:space="0" w:color="auto"/>
                        <w:left w:val="none" w:sz="0" w:space="0" w:color="auto"/>
                        <w:bottom w:val="none" w:sz="0" w:space="0" w:color="auto"/>
                        <w:right w:val="none" w:sz="0" w:space="0" w:color="auto"/>
                      </w:divBdr>
                    </w:div>
                  </w:divsChild>
                </w:div>
                <w:div w:id="42486327">
                  <w:marLeft w:val="0"/>
                  <w:marRight w:val="0"/>
                  <w:marTop w:val="0"/>
                  <w:marBottom w:val="0"/>
                  <w:divBdr>
                    <w:top w:val="none" w:sz="0" w:space="0" w:color="auto"/>
                    <w:left w:val="none" w:sz="0" w:space="0" w:color="auto"/>
                    <w:bottom w:val="none" w:sz="0" w:space="0" w:color="auto"/>
                    <w:right w:val="none" w:sz="0" w:space="0" w:color="auto"/>
                  </w:divBdr>
                  <w:divsChild>
                    <w:div w:id="578713298">
                      <w:marLeft w:val="0"/>
                      <w:marRight w:val="0"/>
                      <w:marTop w:val="0"/>
                      <w:marBottom w:val="0"/>
                      <w:divBdr>
                        <w:top w:val="none" w:sz="0" w:space="0" w:color="auto"/>
                        <w:left w:val="none" w:sz="0" w:space="0" w:color="auto"/>
                        <w:bottom w:val="none" w:sz="0" w:space="0" w:color="auto"/>
                        <w:right w:val="none" w:sz="0" w:space="0" w:color="auto"/>
                      </w:divBdr>
                    </w:div>
                    <w:div w:id="761069575">
                      <w:marLeft w:val="0"/>
                      <w:marRight w:val="0"/>
                      <w:marTop w:val="0"/>
                      <w:marBottom w:val="0"/>
                      <w:divBdr>
                        <w:top w:val="none" w:sz="0" w:space="0" w:color="auto"/>
                        <w:left w:val="none" w:sz="0" w:space="0" w:color="auto"/>
                        <w:bottom w:val="none" w:sz="0" w:space="0" w:color="auto"/>
                        <w:right w:val="none" w:sz="0" w:space="0" w:color="auto"/>
                      </w:divBdr>
                    </w:div>
                  </w:divsChild>
                </w:div>
                <w:div w:id="57869923">
                  <w:marLeft w:val="0"/>
                  <w:marRight w:val="0"/>
                  <w:marTop w:val="0"/>
                  <w:marBottom w:val="0"/>
                  <w:divBdr>
                    <w:top w:val="none" w:sz="0" w:space="0" w:color="auto"/>
                    <w:left w:val="none" w:sz="0" w:space="0" w:color="auto"/>
                    <w:bottom w:val="none" w:sz="0" w:space="0" w:color="auto"/>
                    <w:right w:val="none" w:sz="0" w:space="0" w:color="auto"/>
                  </w:divBdr>
                  <w:divsChild>
                    <w:div w:id="1367949700">
                      <w:marLeft w:val="0"/>
                      <w:marRight w:val="0"/>
                      <w:marTop w:val="0"/>
                      <w:marBottom w:val="0"/>
                      <w:divBdr>
                        <w:top w:val="none" w:sz="0" w:space="0" w:color="auto"/>
                        <w:left w:val="none" w:sz="0" w:space="0" w:color="auto"/>
                        <w:bottom w:val="none" w:sz="0" w:space="0" w:color="auto"/>
                        <w:right w:val="none" w:sz="0" w:space="0" w:color="auto"/>
                      </w:divBdr>
                    </w:div>
                  </w:divsChild>
                </w:div>
                <w:div w:id="85805670">
                  <w:marLeft w:val="0"/>
                  <w:marRight w:val="0"/>
                  <w:marTop w:val="0"/>
                  <w:marBottom w:val="0"/>
                  <w:divBdr>
                    <w:top w:val="none" w:sz="0" w:space="0" w:color="auto"/>
                    <w:left w:val="none" w:sz="0" w:space="0" w:color="auto"/>
                    <w:bottom w:val="none" w:sz="0" w:space="0" w:color="auto"/>
                    <w:right w:val="none" w:sz="0" w:space="0" w:color="auto"/>
                  </w:divBdr>
                  <w:divsChild>
                    <w:div w:id="935213821">
                      <w:marLeft w:val="0"/>
                      <w:marRight w:val="0"/>
                      <w:marTop w:val="0"/>
                      <w:marBottom w:val="0"/>
                      <w:divBdr>
                        <w:top w:val="none" w:sz="0" w:space="0" w:color="auto"/>
                        <w:left w:val="none" w:sz="0" w:space="0" w:color="auto"/>
                        <w:bottom w:val="none" w:sz="0" w:space="0" w:color="auto"/>
                        <w:right w:val="none" w:sz="0" w:space="0" w:color="auto"/>
                      </w:divBdr>
                    </w:div>
                  </w:divsChild>
                </w:div>
                <w:div w:id="158154275">
                  <w:marLeft w:val="0"/>
                  <w:marRight w:val="0"/>
                  <w:marTop w:val="0"/>
                  <w:marBottom w:val="0"/>
                  <w:divBdr>
                    <w:top w:val="none" w:sz="0" w:space="0" w:color="auto"/>
                    <w:left w:val="none" w:sz="0" w:space="0" w:color="auto"/>
                    <w:bottom w:val="none" w:sz="0" w:space="0" w:color="auto"/>
                    <w:right w:val="none" w:sz="0" w:space="0" w:color="auto"/>
                  </w:divBdr>
                  <w:divsChild>
                    <w:div w:id="206262468">
                      <w:marLeft w:val="0"/>
                      <w:marRight w:val="0"/>
                      <w:marTop w:val="0"/>
                      <w:marBottom w:val="0"/>
                      <w:divBdr>
                        <w:top w:val="none" w:sz="0" w:space="0" w:color="auto"/>
                        <w:left w:val="none" w:sz="0" w:space="0" w:color="auto"/>
                        <w:bottom w:val="none" w:sz="0" w:space="0" w:color="auto"/>
                        <w:right w:val="none" w:sz="0" w:space="0" w:color="auto"/>
                      </w:divBdr>
                    </w:div>
                    <w:div w:id="429661693">
                      <w:marLeft w:val="0"/>
                      <w:marRight w:val="0"/>
                      <w:marTop w:val="0"/>
                      <w:marBottom w:val="0"/>
                      <w:divBdr>
                        <w:top w:val="none" w:sz="0" w:space="0" w:color="auto"/>
                        <w:left w:val="none" w:sz="0" w:space="0" w:color="auto"/>
                        <w:bottom w:val="none" w:sz="0" w:space="0" w:color="auto"/>
                        <w:right w:val="none" w:sz="0" w:space="0" w:color="auto"/>
                      </w:divBdr>
                    </w:div>
                    <w:div w:id="583730063">
                      <w:marLeft w:val="0"/>
                      <w:marRight w:val="0"/>
                      <w:marTop w:val="0"/>
                      <w:marBottom w:val="0"/>
                      <w:divBdr>
                        <w:top w:val="none" w:sz="0" w:space="0" w:color="auto"/>
                        <w:left w:val="none" w:sz="0" w:space="0" w:color="auto"/>
                        <w:bottom w:val="none" w:sz="0" w:space="0" w:color="auto"/>
                        <w:right w:val="none" w:sz="0" w:space="0" w:color="auto"/>
                      </w:divBdr>
                    </w:div>
                    <w:div w:id="2023698620">
                      <w:marLeft w:val="0"/>
                      <w:marRight w:val="0"/>
                      <w:marTop w:val="0"/>
                      <w:marBottom w:val="0"/>
                      <w:divBdr>
                        <w:top w:val="none" w:sz="0" w:space="0" w:color="auto"/>
                        <w:left w:val="none" w:sz="0" w:space="0" w:color="auto"/>
                        <w:bottom w:val="none" w:sz="0" w:space="0" w:color="auto"/>
                        <w:right w:val="none" w:sz="0" w:space="0" w:color="auto"/>
                      </w:divBdr>
                    </w:div>
                  </w:divsChild>
                </w:div>
                <w:div w:id="187374547">
                  <w:marLeft w:val="0"/>
                  <w:marRight w:val="0"/>
                  <w:marTop w:val="0"/>
                  <w:marBottom w:val="0"/>
                  <w:divBdr>
                    <w:top w:val="none" w:sz="0" w:space="0" w:color="auto"/>
                    <w:left w:val="none" w:sz="0" w:space="0" w:color="auto"/>
                    <w:bottom w:val="none" w:sz="0" w:space="0" w:color="auto"/>
                    <w:right w:val="none" w:sz="0" w:space="0" w:color="auto"/>
                  </w:divBdr>
                  <w:divsChild>
                    <w:div w:id="1750158345">
                      <w:marLeft w:val="0"/>
                      <w:marRight w:val="0"/>
                      <w:marTop w:val="0"/>
                      <w:marBottom w:val="0"/>
                      <w:divBdr>
                        <w:top w:val="none" w:sz="0" w:space="0" w:color="auto"/>
                        <w:left w:val="none" w:sz="0" w:space="0" w:color="auto"/>
                        <w:bottom w:val="none" w:sz="0" w:space="0" w:color="auto"/>
                        <w:right w:val="none" w:sz="0" w:space="0" w:color="auto"/>
                      </w:divBdr>
                    </w:div>
                  </w:divsChild>
                </w:div>
                <w:div w:id="206457549">
                  <w:marLeft w:val="0"/>
                  <w:marRight w:val="0"/>
                  <w:marTop w:val="0"/>
                  <w:marBottom w:val="0"/>
                  <w:divBdr>
                    <w:top w:val="none" w:sz="0" w:space="0" w:color="auto"/>
                    <w:left w:val="none" w:sz="0" w:space="0" w:color="auto"/>
                    <w:bottom w:val="none" w:sz="0" w:space="0" w:color="auto"/>
                    <w:right w:val="none" w:sz="0" w:space="0" w:color="auto"/>
                  </w:divBdr>
                  <w:divsChild>
                    <w:div w:id="481044117">
                      <w:marLeft w:val="0"/>
                      <w:marRight w:val="0"/>
                      <w:marTop w:val="0"/>
                      <w:marBottom w:val="0"/>
                      <w:divBdr>
                        <w:top w:val="none" w:sz="0" w:space="0" w:color="auto"/>
                        <w:left w:val="none" w:sz="0" w:space="0" w:color="auto"/>
                        <w:bottom w:val="none" w:sz="0" w:space="0" w:color="auto"/>
                        <w:right w:val="none" w:sz="0" w:space="0" w:color="auto"/>
                      </w:divBdr>
                    </w:div>
                    <w:div w:id="843737886">
                      <w:marLeft w:val="0"/>
                      <w:marRight w:val="0"/>
                      <w:marTop w:val="0"/>
                      <w:marBottom w:val="0"/>
                      <w:divBdr>
                        <w:top w:val="none" w:sz="0" w:space="0" w:color="auto"/>
                        <w:left w:val="none" w:sz="0" w:space="0" w:color="auto"/>
                        <w:bottom w:val="none" w:sz="0" w:space="0" w:color="auto"/>
                        <w:right w:val="none" w:sz="0" w:space="0" w:color="auto"/>
                      </w:divBdr>
                    </w:div>
                  </w:divsChild>
                </w:div>
                <w:div w:id="226886054">
                  <w:marLeft w:val="0"/>
                  <w:marRight w:val="0"/>
                  <w:marTop w:val="0"/>
                  <w:marBottom w:val="0"/>
                  <w:divBdr>
                    <w:top w:val="none" w:sz="0" w:space="0" w:color="auto"/>
                    <w:left w:val="none" w:sz="0" w:space="0" w:color="auto"/>
                    <w:bottom w:val="none" w:sz="0" w:space="0" w:color="auto"/>
                    <w:right w:val="none" w:sz="0" w:space="0" w:color="auto"/>
                  </w:divBdr>
                  <w:divsChild>
                    <w:div w:id="807161451">
                      <w:marLeft w:val="0"/>
                      <w:marRight w:val="0"/>
                      <w:marTop w:val="0"/>
                      <w:marBottom w:val="0"/>
                      <w:divBdr>
                        <w:top w:val="none" w:sz="0" w:space="0" w:color="auto"/>
                        <w:left w:val="none" w:sz="0" w:space="0" w:color="auto"/>
                        <w:bottom w:val="none" w:sz="0" w:space="0" w:color="auto"/>
                        <w:right w:val="none" w:sz="0" w:space="0" w:color="auto"/>
                      </w:divBdr>
                    </w:div>
                  </w:divsChild>
                </w:div>
                <w:div w:id="232737951">
                  <w:marLeft w:val="0"/>
                  <w:marRight w:val="0"/>
                  <w:marTop w:val="0"/>
                  <w:marBottom w:val="0"/>
                  <w:divBdr>
                    <w:top w:val="none" w:sz="0" w:space="0" w:color="auto"/>
                    <w:left w:val="none" w:sz="0" w:space="0" w:color="auto"/>
                    <w:bottom w:val="none" w:sz="0" w:space="0" w:color="auto"/>
                    <w:right w:val="none" w:sz="0" w:space="0" w:color="auto"/>
                  </w:divBdr>
                  <w:divsChild>
                    <w:div w:id="102305713">
                      <w:marLeft w:val="0"/>
                      <w:marRight w:val="0"/>
                      <w:marTop w:val="0"/>
                      <w:marBottom w:val="0"/>
                      <w:divBdr>
                        <w:top w:val="none" w:sz="0" w:space="0" w:color="auto"/>
                        <w:left w:val="none" w:sz="0" w:space="0" w:color="auto"/>
                        <w:bottom w:val="none" w:sz="0" w:space="0" w:color="auto"/>
                        <w:right w:val="none" w:sz="0" w:space="0" w:color="auto"/>
                      </w:divBdr>
                    </w:div>
                  </w:divsChild>
                </w:div>
                <w:div w:id="322658992">
                  <w:marLeft w:val="0"/>
                  <w:marRight w:val="0"/>
                  <w:marTop w:val="0"/>
                  <w:marBottom w:val="0"/>
                  <w:divBdr>
                    <w:top w:val="none" w:sz="0" w:space="0" w:color="auto"/>
                    <w:left w:val="none" w:sz="0" w:space="0" w:color="auto"/>
                    <w:bottom w:val="none" w:sz="0" w:space="0" w:color="auto"/>
                    <w:right w:val="none" w:sz="0" w:space="0" w:color="auto"/>
                  </w:divBdr>
                  <w:divsChild>
                    <w:div w:id="1147434113">
                      <w:marLeft w:val="0"/>
                      <w:marRight w:val="0"/>
                      <w:marTop w:val="0"/>
                      <w:marBottom w:val="0"/>
                      <w:divBdr>
                        <w:top w:val="none" w:sz="0" w:space="0" w:color="auto"/>
                        <w:left w:val="none" w:sz="0" w:space="0" w:color="auto"/>
                        <w:bottom w:val="none" w:sz="0" w:space="0" w:color="auto"/>
                        <w:right w:val="none" w:sz="0" w:space="0" w:color="auto"/>
                      </w:divBdr>
                    </w:div>
                    <w:div w:id="1537086544">
                      <w:marLeft w:val="0"/>
                      <w:marRight w:val="0"/>
                      <w:marTop w:val="0"/>
                      <w:marBottom w:val="0"/>
                      <w:divBdr>
                        <w:top w:val="none" w:sz="0" w:space="0" w:color="auto"/>
                        <w:left w:val="none" w:sz="0" w:space="0" w:color="auto"/>
                        <w:bottom w:val="none" w:sz="0" w:space="0" w:color="auto"/>
                        <w:right w:val="none" w:sz="0" w:space="0" w:color="auto"/>
                      </w:divBdr>
                    </w:div>
                  </w:divsChild>
                </w:div>
                <w:div w:id="337006152">
                  <w:marLeft w:val="0"/>
                  <w:marRight w:val="0"/>
                  <w:marTop w:val="0"/>
                  <w:marBottom w:val="0"/>
                  <w:divBdr>
                    <w:top w:val="none" w:sz="0" w:space="0" w:color="auto"/>
                    <w:left w:val="none" w:sz="0" w:space="0" w:color="auto"/>
                    <w:bottom w:val="none" w:sz="0" w:space="0" w:color="auto"/>
                    <w:right w:val="none" w:sz="0" w:space="0" w:color="auto"/>
                  </w:divBdr>
                  <w:divsChild>
                    <w:div w:id="1305625982">
                      <w:marLeft w:val="0"/>
                      <w:marRight w:val="0"/>
                      <w:marTop w:val="0"/>
                      <w:marBottom w:val="0"/>
                      <w:divBdr>
                        <w:top w:val="none" w:sz="0" w:space="0" w:color="auto"/>
                        <w:left w:val="none" w:sz="0" w:space="0" w:color="auto"/>
                        <w:bottom w:val="none" w:sz="0" w:space="0" w:color="auto"/>
                        <w:right w:val="none" w:sz="0" w:space="0" w:color="auto"/>
                      </w:divBdr>
                    </w:div>
                    <w:div w:id="1678924898">
                      <w:marLeft w:val="0"/>
                      <w:marRight w:val="0"/>
                      <w:marTop w:val="0"/>
                      <w:marBottom w:val="0"/>
                      <w:divBdr>
                        <w:top w:val="none" w:sz="0" w:space="0" w:color="auto"/>
                        <w:left w:val="none" w:sz="0" w:space="0" w:color="auto"/>
                        <w:bottom w:val="none" w:sz="0" w:space="0" w:color="auto"/>
                        <w:right w:val="none" w:sz="0" w:space="0" w:color="auto"/>
                      </w:divBdr>
                    </w:div>
                  </w:divsChild>
                </w:div>
                <w:div w:id="338237992">
                  <w:marLeft w:val="0"/>
                  <w:marRight w:val="0"/>
                  <w:marTop w:val="0"/>
                  <w:marBottom w:val="0"/>
                  <w:divBdr>
                    <w:top w:val="none" w:sz="0" w:space="0" w:color="auto"/>
                    <w:left w:val="none" w:sz="0" w:space="0" w:color="auto"/>
                    <w:bottom w:val="none" w:sz="0" w:space="0" w:color="auto"/>
                    <w:right w:val="none" w:sz="0" w:space="0" w:color="auto"/>
                  </w:divBdr>
                  <w:divsChild>
                    <w:div w:id="1919627374">
                      <w:marLeft w:val="0"/>
                      <w:marRight w:val="0"/>
                      <w:marTop w:val="0"/>
                      <w:marBottom w:val="0"/>
                      <w:divBdr>
                        <w:top w:val="none" w:sz="0" w:space="0" w:color="auto"/>
                        <w:left w:val="none" w:sz="0" w:space="0" w:color="auto"/>
                        <w:bottom w:val="none" w:sz="0" w:space="0" w:color="auto"/>
                        <w:right w:val="none" w:sz="0" w:space="0" w:color="auto"/>
                      </w:divBdr>
                    </w:div>
                  </w:divsChild>
                </w:div>
                <w:div w:id="364644996">
                  <w:marLeft w:val="0"/>
                  <w:marRight w:val="0"/>
                  <w:marTop w:val="0"/>
                  <w:marBottom w:val="0"/>
                  <w:divBdr>
                    <w:top w:val="none" w:sz="0" w:space="0" w:color="auto"/>
                    <w:left w:val="none" w:sz="0" w:space="0" w:color="auto"/>
                    <w:bottom w:val="none" w:sz="0" w:space="0" w:color="auto"/>
                    <w:right w:val="none" w:sz="0" w:space="0" w:color="auto"/>
                  </w:divBdr>
                  <w:divsChild>
                    <w:div w:id="1764498137">
                      <w:marLeft w:val="0"/>
                      <w:marRight w:val="0"/>
                      <w:marTop w:val="0"/>
                      <w:marBottom w:val="0"/>
                      <w:divBdr>
                        <w:top w:val="none" w:sz="0" w:space="0" w:color="auto"/>
                        <w:left w:val="none" w:sz="0" w:space="0" w:color="auto"/>
                        <w:bottom w:val="none" w:sz="0" w:space="0" w:color="auto"/>
                        <w:right w:val="none" w:sz="0" w:space="0" w:color="auto"/>
                      </w:divBdr>
                    </w:div>
                  </w:divsChild>
                </w:div>
                <w:div w:id="377702568">
                  <w:marLeft w:val="0"/>
                  <w:marRight w:val="0"/>
                  <w:marTop w:val="0"/>
                  <w:marBottom w:val="0"/>
                  <w:divBdr>
                    <w:top w:val="none" w:sz="0" w:space="0" w:color="auto"/>
                    <w:left w:val="none" w:sz="0" w:space="0" w:color="auto"/>
                    <w:bottom w:val="none" w:sz="0" w:space="0" w:color="auto"/>
                    <w:right w:val="none" w:sz="0" w:space="0" w:color="auto"/>
                  </w:divBdr>
                  <w:divsChild>
                    <w:div w:id="129252820">
                      <w:marLeft w:val="0"/>
                      <w:marRight w:val="0"/>
                      <w:marTop w:val="0"/>
                      <w:marBottom w:val="0"/>
                      <w:divBdr>
                        <w:top w:val="none" w:sz="0" w:space="0" w:color="auto"/>
                        <w:left w:val="none" w:sz="0" w:space="0" w:color="auto"/>
                        <w:bottom w:val="none" w:sz="0" w:space="0" w:color="auto"/>
                        <w:right w:val="none" w:sz="0" w:space="0" w:color="auto"/>
                      </w:divBdr>
                    </w:div>
                  </w:divsChild>
                </w:div>
                <w:div w:id="396903880">
                  <w:marLeft w:val="0"/>
                  <w:marRight w:val="0"/>
                  <w:marTop w:val="0"/>
                  <w:marBottom w:val="0"/>
                  <w:divBdr>
                    <w:top w:val="none" w:sz="0" w:space="0" w:color="auto"/>
                    <w:left w:val="none" w:sz="0" w:space="0" w:color="auto"/>
                    <w:bottom w:val="none" w:sz="0" w:space="0" w:color="auto"/>
                    <w:right w:val="none" w:sz="0" w:space="0" w:color="auto"/>
                  </w:divBdr>
                  <w:divsChild>
                    <w:div w:id="246695955">
                      <w:marLeft w:val="0"/>
                      <w:marRight w:val="0"/>
                      <w:marTop w:val="0"/>
                      <w:marBottom w:val="0"/>
                      <w:divBdr>
                        <w:top w:val="none" w:sz="0" w:space="0" w:color="auto"/>
                        <w:left w:val="none" w:sz="0" w:space="0" w:color="auto"/>
                        <w:bottom w:val="none" w:sz="0" w:space="0" w:color="auto"/>
                        <w:right w:val="none" w:sz="0" w:space="0" w:color="auto"/>
                      </w:divBdr>
                    </w:div>
                    <w:div w:id="456677241">
                      <w:marLeft w:val="0"/>
                      <w:marRight w:val="0"/>
                      <w:marTop w:val="0"/>
                      <w:marBottom w:val="0"/>
                      <w:divBdr>
                        <w:top w:val="none" w:sz="0" w:space="0" w:color="auto"/>
                        <w:left w:val="none" w:sz="0" w:space="0" w:color="auto"/>
                        <w:bottom w:val="none" w:sz="0" w:space="0" w:color="auto"/>
                        <w:right w:val="none" w:sz="0" w:space="0" w:color="auto"/>
                      </w:divBdr>
                    </w:div>
                    <w:div w:id="740643282">
                      <w:marLeft w:val="0"/>
                      <w:marRight w:val="0"/>
                      <w:marTop w:val="0"/>
                      <w:marBottom w:val="0"/>
                      <w:divBdr>
                        <w:top w:val="none" w:sz="0" w:space="0" w:color="auto"/>
                        <w:left w:val="none" w:sz="0" w:space="0" w:color="auto"/>
                        <w:bottom w:val="none" w:sz="0" w:space="0" w:color="auto"/>
                        <w:right w:val="none" w:sz="0" w:space="0" w:color="auto"/>
                      </w:divBdr>
                    </w:div>
                    <w:div w:id="942104864">
                      <w:marLeft w:val="0"/>
                      <w:marRight w:val="0"/>
                      <w:marTop w:val="0"/>
                      <w:marBottom w:val="0"/>
                      <w:divBdr>
                        <w:top w:val="none" w:sz="0" w:space="0" w:color="auto"/>
                        <w:left w:val="none" w:sz="0" w:space="0" w:color="auto"/>
                        <w:bottom w:val="none" w:sz="0" w:space="0" w:color="auto"/>
                        <w:right w:val="none" w:sz="0" w:space="0" w:color="auto"/>
                      </w:divBdr>
                    </w:div>
                    <w:div w:id="1305505516">
                      <w:marLeft w:val="0"/>
                      <w:marRight w:val="0"/>
                      <w:marTop w:val="0"/>
                      <w:marBottom w:val="0"/>
                      <w:divBdr>
                        <w:top w:val="none" w:sz="0" w:space="0" w:color="auto"/>
                        <w:left w:val="none" w:sz="0" w:space="0" w:color="auto"/>
                        <w:bottom w:val="none" w:sz="0" w:space="0" w:color="auto"/>
                        <w:right w:val="none" w:sz="0" w:space="0" w:color="auto"/>
                      </w:divBdr>
                    </w:div>
                  </w:divsChild>
                </w:div>
                <w:div w:id="415246759">
                  <w:marLeft w:val="0"/>
                  <w:marRight w:val="0"/>
                  <w:marTop w:val="0"/>
                  <w:marBottom w:val="0"/>
                  <w:divBdr>
                    <w:top w:val="none" w:sz="0" w:space="0" w:color="auto"/>
                    <w:left w:val="none" w:sz="0" w:space="0" w:color="auto"/>
                    <w:bottom w:val="none" w:sz="0" w:space="0" w:color="auto"/>
                    <w:right w:val="none" w:sz="0" w:space="0" w:color="auto"/>
                  </w:divBdr>
                  <w:divsChild>
                    <w:div w:id="105082405">
                      <w:marLeft w:val="0"/>
                      <w:marRight w:val="0"/>
                      <w:marTop w:val="0"/>
                      <w:marBottom w:val="0"/>
                      <w:divBdr>
                        <w:top w:val="none" w:sz="0" w:space="0" w:color="auto"/>
                        <w:left w:val="none" w:sz="0" w:space="0" w:color="auto"/>
                        <w:bottom w:val="none" w:sz="0" w:space="0" w:color="auto"/>
                        <w:right w:val="none" w:sz="0" w:space="0" w:color="auto"/>
                      </w:divBdr>
                    </w:div>
                  </w:divsChild>
                </w:div>
                <w:div w:id="546720105">
                  <w:marLeft w:val="0"/>
                  <w:marRight w:val="0"/>
                  <w:marTop w:val="0"/>
                  <w:marBottom w:val="0"/>
                  <w:divBdr>
                    <w:top w:val="none" w:sz="0" w:space="0" w:color="auto"/>
                    <w:left w:val="none" w:sz="0" w:space="0" w:color="auto"/>
                    <w:bottom w:val="none" w:sz="0" w:space="0" w:color="auto"/>
                    <w:right w:val="none" w:sz="0" w:space="0" w:color="auto"/>
                  </w:divBdr>
                  <w:divsChild>
                    <w:div w:id="1058167084">
                      <w:marLeft w:val="0"/>
                      <w:marRight w:val="0"/>
                      <w:marTop w:val="0"/>
                      <w:marBottom w:val="0"/>
                      <w:divBdr>
                        <w:top w:val="none" w:sz="0" w:space="0" w:color="auto"/>
                        <w:left w:val="none" w:sz="0" w:space="0" w:color="auto"/>
                        <w:bottom w:val="none" w:sz="0" w:space="0" w:color="auto"/>
                        <w:right w:val="none" w:sz="0" w:space="0" w:color="auto"/>
                      </w:divBdr>
                    </w:div>
                  </w:divsChild>
                </w:div>
                <w:div w:id="552473427">
                  <w:marLeft w:val="0"/>
                  <w:marRight w:val="0"/>
                  <w:marTop w:val="0"/>
                  <w:marBottom w:val="0"/>
                  <w:divBdr>
                    <w:top w:val="none" w:sz="0" w:space="0" w:color="auto"/>
                    <w:left w:val="none" w:sz="0" w:space="0" w:color="auto"/>
                    <w:bottom w:val="none" w:sz="0" w:space="0" w:color="auto"/>
                    <w:right w:val="none" w:sz="0" w:space="0" w:color="auto"/>
                  </w:divBdr>
                  <w:divsChild>
                    <w:div w:id="377055090">
                      <w:marLeft w:val="0"/>
                      <w:marRight w:val="0"/>
                      <w:marTop w:val="0"/>
                      <w:marBottom w:val="0"/>
                      <w:divBdr>
                        <w:top w:val="none" w:sz="0" w:space="0" w:color="auto"/>
                        <w:left w:val="none" w:sz="0" w:space="0" w:color="auto"/>
                        <w:bottom w:val="none" w:sz="0" w:space="0" w:color="auto"/>
                        <w:right w:val="none" w:sz="0" w:space="0" w:color="auto"/>
                      </w:divBdr>
                    </w:div>
                  </w:divsChild>
                </w:div>
                <w:div w:id="610474587">
                  <w:marLeft w:val="0"/>
                  <w:marRight w:val="0"/>
                  <w:marTop w:val="0"/>
                  <w:marBottom w:val="0"/>
                  <w:divBdr>
                    <w:top w:val="none" w:sz="0" w:space="0" w:color="auto"/>
                    <w:left w:val="none" w:sz="0" w:space="0" w:color="auto"/>
                    <w:bottom w:val="none" w:sz="0" w:space="0" w:color="auto"/>
                    <w:right w:val="none" w:sz="0" w:space="0" w:color="auto"/>
                  </w:divBdr>
                  <w:divsChild>
                    <w:div w:id="237794079">
                      <w:marLeft w:val="0"/>
                      <w:marRight w:val="0"/>
                      <w:marTop w:val="0"/>
                      <w:marBottom w:val="0"/>
                      <w:divBdr>
                        <w:top w:val="none" w:sz="0" w:space="0" w:color="auto"/>
                        <w:left w:val="none" w:sz="0" w:space="0" w:color="auto"/>
                        <w:bottom w:val="none" w:sz="0" w:space="0" w:color="auto"/>
                        <w:right w:val="none" w:sz="0" w:space="0" w:color="auto"/>
                      </w:divBdr>
                    </w:div>
                  </w:divsChild>
                </w:div>
                <w:div w:id="622267430">
                  <w:marLeft w:val="0"/>
                  <w:marRight w:val="0"/>
                  <w:marTop w:val="0"/>
                  <w:marBottom w:val="0"/>
                  <w:divBdr>
                    <w:top w:val="none" w:sz="0" w:space="0" w:color="auto"/>
                    <w:left w:val="none" w:sz="0" w:space="0" w:color="auto"/>
                    <w:bottom w:val="none" w:sz="0" w:space="0" w:color="auto"/>
                    <w:right w:val="none" w:sz="0" w:space="0" w:color="auto"/>
                  </w:divBdr>
                  <w:divsChild>
                    <w:div w:id="1745028741">
                      <w:marLeft w:val="0"/>
                      <w:marRight w:val="0"/>
                      <w:marTop w:val="0"/>
                      <w:marBottom w:val="0"/>
                      <w:divBdr>
                        <w:top w:val="none" w:sz="0" w:space="0" w:color="auto"/>
                        <w:left w:val="none" w:sz="0" w:space="0" w:color="auto"/>
                        <w:bottom w:val="none" w:sz="0" w:space="0" w:color="auto"/>
                        <w:right w:val="none" w:sz="0" w:space="0" w:color="auto"/>
                      </w:divBdr>
                    </w:div>
                  </w:divsChild>
                </w:div>
                <w:div w:id="663558310">
                  <w:marLeft w:val="0"/>
                  <w:marRight w:val="0"/>
                  <w:marTop w:val="0"/>
                  <w:marBottom w:val="0"/>
                  <w:divBdr>
                    <w:top w:val="none" w:sz="0" w:space="0" w:color="auto"/>
                    <w:left w:val="none" w:sz="0" w:space="0" w:color="auto"/>
                    <w:bottom w:val="none" w:sz="0" w:space="0" w:color="auto"/>
                    <w:right w:val="none" w:sz="0" w:space="0" w:color="auto"/>
                  </w:divBdr>
                  <w:divsChild>
                    <w:div w:id="369495936">
                      <w:marLeft w:val="0"/>
                      <w:marRight w:val="0"/>
                      <w:marTop w:val="0"/>
                      <w:marBottom w:val="0"/>
                      <w:divBdr>
                        <w:top w:val="none" w:sz="0" w:space="0" w:color="auto"/>
                        <w:left w:val="none" w:sz="0" w:space="0" w:color="auto"/>
                        <w:bottom w:val="none" w:sz="0" w:space="0" w:color="auto"/>
                        <w:right w:val="none" w:sz="0" w:space="0" w:color="auto"/>
                      </w:divBdr>
                    </w:div>
                  </w:divsChild>
                </w:div>
                <w:div w:id="785393550">
                  <w:marLeft w:val="0"/>
                  <w:marRight w:val="0"/>
                  <w:marTop w:val="0"/>
                  <w:marBottom w:val="0"/>
                  <w:divBdr>
                    <w:top w:val="none" w:sz="0" w:space="0" w:color="auto"/>
                    <w:left w:val="none" w:sz="0" w:space="0" w:color="auto"/>
                    <w:bottom w:val="none" w:sz="0" w:space="0" w:color="auto"/>
                    <w:right w:val="none" w:sz="0" w:space="0" w:color="auto"/>
                  </w:divBdr>
                  <w:divsChild>
                    <w:div w:id="1539967872">
                      <w:marLeft w:val="0"/>
                      <w:marRight w:val="0"/>
                      <w:marTop w:val="0"/>
                      <w:marBottom w:val="0"/>
                      <w:divBdr>
                        <w:top w:val="none" w:sz="0" w:space="0" w:color="auto"/>
                        <w:left w:val="none" w:sz="0" w:space="0" w:color="auto"/>
                        <w:bottom w:val="none" w:sz="0" w:space="0" w:color="auto"/>
                        <w:right w:val="none" w:sz="0" w:space="0" w:color="auto"/>
                      </w:divBdr>
                    </w:div>
                  </w:divsChild>
                </w:div>
                <w:div w:id="822815517">
                  <w:marLeft w:val="0"/>
                  <w:marRight w:val="0"/>
                  <w:marTop w:val="0"/>
                  <w:marBottom w:val="0"/>
                  <w:divBdr>
                    <w:top w:val="none" w:sz="0" w:space="0" w:color="auto"/>
                    <w:left w:val="none" w:sz="0" w:space="0" w:color="auto"/>
                    <w:bottom w:val="none" w:sz="0" w:space="0" w:color="auto"/>
                    <w:right w:val="none" w:sz="0" w:space="0" w:color="auto"/>
                  </w:divBdr>
                  <w:divsChild>
                    <w:div w:id="222255208">
                      <w:marLeft w:val="0"/>
                      <w:marRight w:val="0"/>
                      <w:marTop w:val="0"/>
                      <w:marBottom w:val="0"/>
                      <w:divBdr>
                        <w:top w:val="none" w:sz="0" w:space="0" w:color="auto"/>
                        <w:left w:val="none" w:sz="0" w:space="0" w:color="auto"/>
                        <w:bottom w:val="none" w:sz="0" w:space="0" w:color="auto"/>
                        <w:right w:val="none" w:sz="0" w:space="0" w:color="auto"/>
                      </w:divBdr>
                    </w:div>
                    <w:div w:id="1353338309">
                      <w:marLeft w:val="0"/>
                      <w:marRight w:val="0"/>
                      <w:marTop w:val="0"/>
                      <w:marBottom w:val="0"/>
                      <w:divBdr>
                        <w:top w:val="none" w:sz="0" w:space="0" w:color="auto"/>
                        <w:left w:val="none" w:sz="0" w:space="0" w:color="auto"/>
                        <w:bottom w:val="none" w:sz="0" w:space="0" w:color="auto"/>
                        <w:right w:val="none" w:sz="0" w:space="0" w:color="auto"/>
                      </w:divBdr>
                    </w:div>
                  </w:divsChild>
                </w:div>
                <w:div w:id="960844812">
                  <w:marLeft w:val="0"/>
                  <w:marRight w:val="0"/>
                  <w:marTop w:val="0"/>
                  <w:marBottom w:val="0"/>
                  <w:divBdr>
                    <w:top w:val="none" w:sz="0" w:space="0" w:color="auto"/>
                    <w:left w:val="none" w:sz="0" w:space="0" w:color="auto"/>
                    <w:bottom w:val="none" w:sz="0" w:space="0" w:color="auto"/>
                    <w:right w:val="none" w:sz="0" w:space="0" w:color="auto"/>
                  </w:divBdr>
                  <w:divsChild>
                    <w:div w:id="1037466023">
                      <w:marLeft w:val="0"/>
                      <w:marRight w:val="0"/>
                      <w:marTop w:val="0"/>
                      <w:marBottom w:val="0"/>
                      <w:divBdr>
                        <w:top w:val="none" w:sz="0" w:space="0" w:color="auto"/>
                        <w:left w:val="none" w:sz="0" w:space="0" w:color="auto"/>
                        <w:bottom w:val="none" w:sz="0" w:space="0" w:color="auto"/>
                        <w:right w:val="none" w:sz="0" w:space="0" w:color="auto"/>
                      </w:divBdr>
                    </w:div>
                  </w:divsChild>
                </w:div>
                <w:div w:id="993873220">
                  <w:marLeft w:val="0"/>
                  <w:marRight w:val="0"/>
                  <w:marTop w:val="0"/>
                  <w:marBottom w:val="0"/>
                  <w:divBdr>
                    <w:top w:val="none" w:sz="0" w:space="0" w:color="auto"/>
                    <w:left w:val="none" w:sz="0" w:space="0" w:color="auto"/>
                    <w:bottom w:val="none" w:sz="0" w:space="0" w:color="auto"/>
                    <w:right w:val="none" w:sz="0" w:space="0" w:color="auto"/>
                  </w:divBdr>
                  <w:divsChild>
                    <w:div w:id="101653601">
                      <w:marLeft w:val="0"/>
                      <w:marRight w:val="0"/>
                      <w:marTop w:val="0"/>
                      <w:marBottom w:val="0"/>
                      <w:divBdr>
                        <w:top w:val="none" w:sz="0" w:space="0" w:color="auto"/>
                        <w:left w:val="none" w:sz="0" w:space="0" w:color="auto"/>
                        <w:bottom w:val="none" w:sz="0" w:space="0" w:color="auto"/>
                        <w:right w:val="none" w:sz="0" w:space="0" w:color="auto"/>
                      </w:divBdr>
                    </w:div>
                  </w:divsChild>
                </w:div>
                <w:div w:id="1049960482">
                  <w:marLeft w:val="0"/>
                  <w:marRight w:val="0"/>
                  <w:marTop w:val="0"/>
                  <w:marBottom w:val="0"/>
                  <w:divBdr>
                    <w:top w:val="none" w:sz="0" w:space="0" w:color="auto"/>
                    <w:left w:val="none" w:sz="0" w:space="0" w:color="auto"/>
                    <w:bottom w:val="none" w:sz="0" w:space="0" w:color="auto"/>
                    <w:right w:val="none" w:sz="0" w:space="0" w:color="auto"/>
                  </w:divBdr>
                  <w:divsChild>
                    <w:div w:id="2071414233">
                      <w:marLeft w:val="0"/>
                      <w:marRight w:val="0"/>
                      <w:marTop w:val="0"/>
                      <w:marBottom w:val="0"/>
                      <w:divBdr>
                        <w:top w:val="none" w:sz="0" w:space="0" w:color="auto"/>
                        <w:left w:val="none" w:sz="0" w:space="0" w:color="auto"/>
                        <w:bottom w:val="none" w:sz="0" w:space="0" w:color="auto"/>
                        <w:right w:val="none" w:sz="0" w:space="0" w:color="auto"/>
                      </w:divBdr>
                    </w:div>
                  </w:divsChild>
                </w:div>
                <w:div w:id="1053389171">
                  <w:marLeft w:val="0"/>
                  <w:marRight w:val="0"/>
                  <w:marTop w:val="0"/>
                  <w:marBottom w:val="0"/>
                  <w:divBdr>
                    <w:top w:val="none" w:sz="0" w:space="0" w:color="auto"/>
                    <w:left w:val="none" w:sz="0" w:space="0" w:color="auto"/>
                    <w:bottom w:val="none" w:sz="0" w:space="0" w:color="auto"/>
                    <w:right w:val="none" w:sz="0" w:space="0" w:color="auto"/>
                  </w:divBdr>
                  <w:divsChild>
                    <w:div w:id="253124283">
                      <w:marLeft w:val="0"/>
                      <w:marRight w:val="0"/>
                      <w:marTop w:val="0"/>
                      <w:marBottom w:val="0"/>
                      <w:divBdr>
                        <w:top w:val="none" w:sz="0" w:space="0" w:color="auto"/>
                        <w:left w:val="none" w:sz="0" w:space="0" w:color="auto"/>
                        <w:bottom w:val="none" w:sz="0" w:space="0" w:color="auto"/>
                        <w:right w:val="none" w:sz="0" w:space="0" w:color="auto"/>
                      </w:divBdr>
                    </w:div>
                  </w:divsChild>
                </w:div>
                <w:div w:id="1067262128">
                  <w:marLeft w:val="0"/>
                  <w:marRight w:val="0"/>
                  <w:marTop w:val="0"/>
                  <w:marBottom w:val="0"/>
                  <w:divBdr>
                    <w:top w:val="none" w:sz="0" w:space="0" w:color="auto"/>
                    <w:left w:val="none" w:sz="0" w:space="0" w:color="auto"/>
                    <w:bottom w:val="none" w:sz="0" w:space="0" w:color="auto"/>
                    <w:right w:val="none" w:sz="0" w:space="0" w:color="auto"/>
                  </w:divBdr>
                  <w:divsChild>
                    <w:div w:id="1792283377">
                      <w:marLeft w:val="0"/>
                      <w:marRight w:val="0"/>
                      <w:marTop w:val="0"/>
                      <w:marBottom w:val="0"/>
                      <w:divBdr>
                        <w:top w:val="none" w:sz="0" w:space="0" w:color="auto"/>
                        <w:left w:val="none" w:sz="0" w:space="0" w:color="auto"/>
                        <w:bottom w:val="none" w:sz="0" w:space="0" w:color="auto"/>
                        <w:right w:val="none" w:sz="0" w:space="0" w:color="auto"/>
                      </w:divBdr>
                    </w:div>
                  </w:divsChild>
                </w:div>
                <w:div w:id="1071660082">
                  <w:marLeft w:val="0"/>
                  <w:marRight w:val="0"/>
                  <w:marTop w:val="0"/>
                  <w:marBottom w:val="0"/>
                  <w:divBdr>
                    <w:top w:val="none" w:sz="0" w:space="0" w:color="auto"/>
                    <w:left w:val="none" w:sz="0" w:space="0" w:color="auto"/>
                    <w:bottom w:val="none" w:sz="0" w:space="0" w:color="auto"/>
                    <w:right w:val="none" w:sz="0" w:space="0" w:color="auto"/>
                  </w:divBdr>
                  <w:divsChild>
                    <w:div w:id="947472978">
                      <w:marLeft w:val="0"/>
                      <w:marRight w:val="0"/>
                      <w:marTop w:val="0"/>
                      <w:marBottom w:val="0"/>
                      <w:divBdr>
                        <w:top w:val="none" w:sz="0" w:space="0" w:color="auto"/>
                        <w:left w:val="none" w:sz="0" w:space="0" w:color="auto"/>
                        <w:bottom w:val="none" w:sz="0" w:space="0" w:color="auto"/>
                        <w:right w:val="none" w:sz="0" w:space="0" w:color="auto"/>
                      </w:divBdr>
                    </w:div>
                  </w:divsChild>
                </w:div>
                <w:div w:id="1109357231">
                  <w:marLeft w:val="0"/>
                  <w:marRight w:val="0"/>
                  <w:marTop w:val="0"/>
                  <w:marBottom w:val="0"/>
                  <w:divBdr>
                    <w:top w:val="none" w:sz="0" w:space="0" w:color="auto"/>
                    <w:left w:val="none" w:sz="0" w:space="0" w:color="auto"/>
                    <w:bottom w:val="none" w:sz="0" w:space="0" w:color="auto"/>
                    <w:right w:val="none" w:sz="0" w:space="0" w:color="auto"/>
                  </w:divBdr>
                  <w:divsChild>
                    <w:div w:id="1151363608">
                      <w:marLeft w:val="0"/>
                      <w:marRight w:val="0"/>
                      <w:marTop w:val="0"/>
                      <w:marBottom w:val="0"/>
                      <w:divBdr>
                        <w:top w:val="none" w:sz="0" w:space="0" w:color="auto"/>
                        <w:left w:val="none" w:sz="0" w:space="0" w:color="auto"/>
                        <w:bottom w:val="none" w:sz="0" w:space="0" w:color="auto"/>
                        <w:right w:val="none" w:sz="0" w:space="0" w:color="auto"/>
                      </w:divBdr>
                    </w:div>
                  </w:divsChild>
                </w:div>
                <w:div w:id="1137528094">
                  <w:marLeft w:val="0"/>
                  <w:marRight w:val="0"/>
                  <w:marTop w:val="0"/>
                  <w:marBottom w:val="0"/>
                  <w:divBdr>
                    <w:top w:val="none" w:sz="0" w:space="0" w:color="auto"/>
                    <w:left w:val="none" w:sz="0" w:space="0" w:color="auto"/>
                    <w:bottom w:val="none" w:sz="0" w:space="0" w:color="auto"/>
                    <w:right w:val="none" w:sz="0" w:space="0" w:color="auto"/>
                  </w:divBdr>
                  <w:divsChild>
                    <w:div w:id="518743683">
                      <w:marLeft w:val="0"/>
                      <w:marRight w:val="0"/>
                      <w:marTop w:val="0"/>
                      <w:marBottom w:val="0"/>
                      <w:divBdr>
                        <w:top w:val="none" w:sz="0" w:space="0" w:color="auto"/>
                        <w:left w:val="none" w:sz="0" w:space="0" w:color="auto"/>
                        <w:bottom w:val="none" w:sz="0" w:space="0" w:color="auto"/>
                        <w:right w:val="none" w:sz="0" w:space="0" w:color="auto"/>
                      </w:divBdr>
                    </w:div>
                  </w:divsChild>
                </w:div>
                <w:div w:id="1240746854">
                  <w:marLeft w:val="0"/>
                  <w:marRight w:val="0"/>
                  <w:marTop w:val="0"/>
                  <w:marBottom w:val="0"/>
                  <w:divBdr>
                    <w:top w:val="none" w:sz="0" w:space="0" w:color="auto"/>
                    <w:left w:val="none" w:sz="0" w:space="0" w:color="auto"/>
                    <w:bottom w:val="none" w:sz="0" w:space="0" w:color="auto"/>
                    <w:right w:val="none" w:sz="0" w:space="0" w:color="auto"/>
                  </w:divBdr>
                  <w:divsChild>
                    <w:div w:id="316497218">
                      <w:marLeft w:val="0"/>
                      <w:marRight w:val="0"/>
                      <w:marTop w:val="0"/>
                      <w:marBottom w:val="0"/>
                      <w:divBdr>
                        <w:top w:val="none" w:sz="0" w:space="0" w:color="auto"/>
                        <w:left w:val="none" w:sz="0" w:space="0" w:color="auto"/>
                        <w:bottom w:val="none" w:sz="0" w:space="0" w:color="auto"/>
                        <w:right w:val="none" w:sz="0" w:space="0" w:color="auto"/>
                      </w:divBdr>
                    </w:div>
                  </w:divsChild>
                </w:div>
                <w:div w:id="1274943306">
                  <w:marLeft w:val="0"/>
                  <w:marRight w:val="0"/>
                  <w:marTop w:val="0"/>
                  <w:marBottom w:val="0"/>
                  <w:divBdr>
                    <w:top w:val="none" w:sz="0" w:space="0" w:color="auto"/>
                    <w:left w:val="none" w:sz="0" w:space="0" w:color="auto"/>
                    <w:bottom w:val="none" w:sz="0" w:space="0" w:color="auto"/>
                    <w:right w:val="none" w:sz="0" w:space="0" w:color="auto"/>
                  </w:divBdr>
                  <w:divsChild>
                    <w:div w:id="511142261">
                      <w:marLeft w:val="0"/>
                      <w:marRight w:val="0"/>
                      <w:marTop w:val="0"/>
                      <w:marBottom w:val="0"/>
                      <w:divBdr>
                        <w:top w:val="none" w:sz="0" w:space="0" w:color="auto"/>
                        <w:left w:val="none" w:sz="0" w:space="0" w:color="auto"/>
                        <w:bottom w:val="none" w:sz="0" w:space="0" w:color="auto"/>
                        <w:right w:val="none" w:sz="0" w:space="0" w:color="auto"/>
                      </w:divBdr>
                    </w:div>
                  </w:divsChild>
                </w:div>
                <w:div w:id="1306659340">
                  <w:marLeft w:val="0"/>
                  <w:marRight w:val="0"/>
                  <w:marTop w:val="0"/>
                  <w:marBottom w:val="0"/>
                  <w:divBdr>
                    <w:top w:val="none" w:sz="0" w:space="0" w:color="auto"/>
                    <w:left w:val="none" w:sz="0" w:space="0" w:color="auto"/>
                    <w:bottom w:val="none" w:sz="0" w:space="0" w:color="auto"/>
                    <w:right w:val="none" w:sz="0" w:space="0" w:color="auto"/>
                  </w:divBdr>
                  <w:divsChild>
                    <w:div w:id="2122408322">
                      <w:marLeft w:val="0"/>
                      <w:marRight w:val="0"/>
                      <w:marTop w:val="0"/>
                      <w:marBottom w:val="0"/>
                      <w:divBdr>
                        <w:top w:val="none" w:sz="0" w:space="0" w:color="auto"/>
                        <w:left w:val="none" w:sz="0" w:space="0" w:color="auto"/>
                        <w:bottom w:val="none" w:sz="0" w:space="0" w:color="auto"/>
                        <w:right w:val="none" w:sz="0" w:space="0" w:color="auto"/>
                      </w:divBdr>
                    </w:div>
                  </w:divsChild>
                </w:div>
                <w:div w:id="1308438417">
                  <w:marLeft w:val="0"/>
                  <w:marRight w:val="0"/>
                  <w:marTop w:val="0"/>
                  <w:marBottom w:val="0"/>
                  <w:divBdr>
                    <w:top w:val="none" w:sz="0" w:space="0" w:color="auto"/>
                    <w:left w:val="none" w:sz="0" w:space="0" w:color="auto"/>
                    <w:bottom w:val="none" w:sz="0" w:space="0" w:color="auto"/>
                    <w:right w:val="none" w:sz="0" w:space="0" w:color="auto"/>
                  </w:divBdr>
                  <w:divsChild>
                    <w:div w:id="825707327">
                      <w:marLeft w:val="0"/>
                      <w:marRight w:val="0"/>
                      <w:marTop w:val="0"/>
                      <w:marBottom w:val="0"/>
                      <w:divBdr>
                        <w:top w:val="none" w:sz="0" w:space="0" w:color="auto"/>
                        <w:left w:val="none" w:sz="0" w:space="0" w:color="auto"/>
                        <w:bottom w:val="none" w:sz="0" w:space="0" w:color="auto"/>
                        <w:right w:val="none" w:sz="0" w:space="0" w:color="auto"/>
                      </w:divBdr>
                    </w:div>
                  </w:divsChild>
                </w:div>
                <w:div w:id="1407848426">
                  <w:marLeft w:val="0"/>
                  <w:marRight w:val="0"/>
                  <w:marTop w:val="0"/>
                  <w:marBottom w:val="0"/>
                  <w:divBdr>
                    <w:top w:val="none" w:sz="0" w:space="0" w:color="auto"/>
                    <w:left w:val="none" w:sz="0" w:space="0" w:color="auto"/>
                    <w:bottom w:val="none" w:sz="0" w:space="0" w:color="auto"/>
                    <w:right w:val="none" w:sz="0" w:space="0" w:color="auto"/>
                  </w:divBdr>
                  <w:divsChild>
                    <w:div w:id="669915">
                      <w:marLeft w:val="0"/>
                      <w:marRight w:val="0"/>
                      <w:marTop w:val="0"/>
                      <w:marBottom w:val="0"/>
                      <w:divBdr>
                        <w:top w:val="none" w:sz="0" w:space="0" w:color="auto"/>
                        <w:left w:val="none" w:sz="0" w:space="0" w:color="auto"/>
                        <w:bottom w:val="none" w:sz="0" w:space="0" w:color="auto"/>
                        <w:right w:val="none" w:sz="0" w:space="0" w:color="auto"/>
                      </w:divBdr>
                    </w:div>
                  </w:divsChild>
                </w:div>
                <w:div w:id="1430586031">
                  <w:marLeft w:val="0"/>
                  <w:marRight w:val="0"/>
                  <w:marTop w:val="0"/>
                  <w:marBottom w:val="0"/>
                  <w:divBdr>
                    <w:top w:val="none" w:sz="0" w:space="0" w:color="auto"/>
                    <w:left w:val="none" w:sz="0" w:space="0" w:color="auto"/>
                    <w:bottom w:val="none" w:sz="0" w:space="0" w:color="auto"/>
                    <w:right w:val="none" w:sz="0" w:space="0" w:color="auto"/>
                  </w:divBdr>
                  <w:divsChild>
                    <w:div w:id="1031733827">
                      <w:marLeft w:val="0"/>
                      <w:marRight w:val="0"/>
                      <w:marTop w:val="0"/>
                      <w:marBottom w:val="0"/>
                      <w:divBdr>
                        <w:top w:val="none" w:sz="0" w:space="0" w:color="auto"/>
                        <w:left w:val="none" w:sz="0" w:space="0" w:color="auto"/>
                        <w:bottom w:val="none" w:sz="0" w:space="0" w:color="auto"/>
                        <w:right w:val="none" w:sz="0" w:space="0" w:color="auto"/>
                      </w:divBdr>
                    </w:div>
                  </w:divsChild>
                </w:div>
                <w:div w:id="1444955816">
                  <w:marLeft w:val="0"/>
                  <w:marRight w:val="0"/>
                  <w:marTop w:val="0"/>
                  <w:marBottom w:val="0"/>
                  <w:divBdr>
                    <w:top w:val="none" w:sz="0" w:space="0" w:color="auto"/>
                    <w:left w:val="none" w:sz="0" w:space="0" w:color="auto"/>
                    <w:bottom w:val="none" w:sz="0" w:space="0" w:color="auto"/>
                    <w:right w:val="none" w:sz="0" w:space="0" w:color="auto"/>
                  </w:divBdr>
                  <w:divsChild>
                    <w:div w:id="1311208198">
                      <w:marLeft w:val="0"/>
                      <w:marRight w:val="0"/>
                      <w:marTop w:val="0"/>
                      <w:marBottom w:val="0"/>
                      <w:divBdr>
                        <w:top w:val="none" w:sz="0" w:space="0" w:color="auto"/>
                        <w:left w:val="none" w:sz="0" w:space="0" w:color="auto"/>
                        <w:bottom w:val="none" w:sz="0" w:space="0" w:color="auto"/>
                        <w:right w:val="none" w:sz="0" w:space="0" w:color="auto"/>
                      </w:divBdr>
                    </w:div>
                  </w:divsChild>
                </w:div>
                <w:div w:id="1495485171">
                  <w:marLeft w:val="0"/>
                  <w:marRight w:val="0"/>
                  <w:marTop w:val="0"/>
                  <w:marBottom w:val="0"/>
                  <w:divBdr>
                    <w:top w:val="none" w:sz="0" w:space="0" w:color="auto"/>
                    <w:left w:val="none" w:sz="0" w:space="0" w:color="auto"/>
                    <w:bottom w:val="none" w:sz="0" w:space="0" w:color="auto"/>
                    <w:right w:val="none" w:sz="0" w:space="0" w:color="auto"/>
                  </w:divBdr>
                  <w:divsChild>
                    <w:div w:id="475341235">
                      <w:marLeft w:val="0"/>
                      <w:marRight w:val="0"/>
                      <w:marTop w:val="0"/>
                      <w:marBottom w:val="0"/>
                      <w:divBdr>
                        <w:top w:val="none" w:sz="0" w:space="0" w:color="auto"/>
                        <w:left w:val="none" w:sz="0" w:space="0" w:color="auto"/>
                        <w:bottom w:val="none" w:sz="0" w:space="0" w:color="auto"/>
                        <w:right w:val="none" w:sz="0" w:space="0" w:color="auto"/>
                      </w:divBdr>
                    </w:div>
                  </w:divsChild>
                </w:div>
                <w:div w:id="1501309283">
                  <w:marLeft w:val="0"/>
                  <w:marRight w:val="0"/>
                  <w:marTop w:val="0"/>
                  <w:marBottom w:val="0"/>
                  <w:divBdr>
                    <w:top w:val="none" w:sz="0" w:space="0" w:color="auto"/>
                    <w:left w:val="none" w:sz="0" w:space="0" w:color="auto"/>
                    <w:bottom w:val="none" w:sz="0" w:space="0" w:color="auto"/>
                    <w:right w:val="none" w:sz="0" w:space="0" w:color="auto"/>
                  </w:divBdr>
                  <w:divsChild>
                    <w:div w:id="1568229213">
                      <w:marLeft w:val="0"/>
                      <w:marRight w:val="0"/>
                      <w:marTop w:val="0"/>
                      <w:marBottom w:val="0"/>
                      <w:divBdr>
                        <w:top w:val="none" w:sz="0" w:space="0" w:color="auto"/>
                        <w:left w:val="none" w:sz="0" w:space="0" w:color="auto"/>
                        <w:bottom w:val="none" w:sz="0" w:space="0" w:color="auto"/>
                        <w:right w:val="none" w:sz="0" w:space="0" w:color="auto"/>
                      </w:divBdr>
                    </w:div>
                  </w:divsChild>
                </w:div>
                <w:div w:id="1592204454">
                  <w:marLeft w:val="0"/>
                  <w:marRight w:val="0"/>
                  <w:marTop w:val="0"/>
                  <w:marBottom w:val="0"/>
                  <w:divBdr>
                    <w:top w:val="none" w:sz="0" w:space="0" w:color="auto"/>
                    <w:left w:val="none" w:sz="0" w:space="0" w:color="auto"/>
                    <w:bottom w:val="none" w:sz="0" w:space="0" w:color="auto"/>
                    <w:right w:val="none" w:sz="0" w:space="0" w:color="auto"/>
                  </w:divBdr>
                  <w:divsChild>
                    <w:div w:id="1826120226">
                      <w:marLeft w:val="0"/>
                      <w:marRight w:val="0"/>
                      <w:marTop w:val="0"/>
                      <w:marBottom w:val="0"/>
                      <w:divBdr>
                        <w:top w:val="none" w:sz="0" w:space="0" w:color="auto"/>
                        <w:left w:val="none" w:sz="0" w:space="0" w:color="auto"/>
                        <w:bottom w:val="none" w:sz="0" w:space="0" w:color="auto"/>
                        <w:right w:val="none" w:sz="0" w:space="0" w:color="auto"/>
                      </w:divBdr>
                    </w:div>
                  </w:divsChild>
                </w:div>
                <w:div w:id="1593852787">
                  <w:marLeft w:val="0"/>
                  <w:marRight w:val="0"/>
                  <w:marTop w:val="0"/>
                  <w:marBottom w:val="0"/>
                  <w:divBdr>
                    <w:top w:val="none" w:sz="0" w:space="0" w:color="auto"/>
                    <w:left w:val="none" w:sz="0" w:space="0" w:color="auto"/>
                    <w:bottom w:val="none" w:sz="0" w:space="0" w:color="auto"/>
                    <w:right w:val="none" w:sz="0" w:space="0" w:color="auto"/>
                  </w:divBdr>
                  <w:divsChild>
                    <w:div w:id="1108547438">
                      <w:marLeft w:val="0"/>
                      <w:marRight w:val="0"/>
                      <w:marTop w:val="0"/>
                      <w:marBottom w:val="0"/>
                      <w:divBdr>
                        <w:top w:val="none" w:sz="0" w:space="0" w:color="auto"/>
                        <w:left w:val="none" w:sz="0" w:space="0" w:color="auto"/>
                        <w:bottom w:val="none" w:sz="0" w:space="0" w:color="auto"/>
                        <w:right w:val="none" w:sz="0" w:space="0" w:color="auto"/>
                      </w:divBdr>
                    </w:div>
                  </w:divsChild>
                </w:div>
                <w:div w:id="1629436343">
                  <w:marLeft w:val="0"/>
                  <w:marRight w:val="0"/>
                  <w:marTop w:val="0"/>
                  <w:marBottom w:val="0"/>
                  <w:divBdr>
                    <w:top w:val="none" w:sz="0" w:space="0" w:color="auto"/>
                    <w:left w:val="none" w:sz="0" w:space="0" w:color="auto"/>
                    <w:bottom w:val="none" w:sz="0" w:space="0" w:color="auto"/>
                    <w:right w:val="none" w:sz="0" w:space="0" w:color="auto"/>
                  </w:divBdr>
                  <w:divsChild>
                    <w:div w:id="134034074">
                      <w:marLeft w:val="0"/>
                      <w:marRight w:val="0"/>
                      <w:marTop w:val="0"/>
                      <w:marBottom w:val="0"/>
                      <w:divBdr>
                        <w:top w:val="none" w:sz="0" w:space="0" w:color="auto"/>
                        <w:left w:val="none" w:sz="0" w:space="0" w:color="auto"/>
                        <w:bottom w:val="none" w:sz="0" w:space="0" w:color="auto"/>
                        <w:right w:val="none" w:sz="0" w:space="0" w:color="auto"/>
                      </w:divBdr>
                    </w:div>
                    <w:div w:id="1369063478">
                      <w:marLeft w:val="0"/>
                      <w:marRight w:val="0"/>
                      <w:marTop w:val="0"/>
                      <w:marBottom w:val="0"/>
                      <w:divBdr>
                        <w:top w:val="none" w:sz="0" w:space="0" w:color="auto"/>
                        <w:left w:val="none" w:sz="0" w:space="0" w:color="auto"/>
                        <w:bottom w:val="none" w:sz="0" w:space="0" w:color="auto"/>
                        <w:right w:val="none" w:sz="0" w:space="0" w:color="auto"/>
                      </w:divBdr>
                    </w:div>
                  </w:divsChild>
                </w:div>
                <w:div w:id="1662003758">
                  <w:marLeft w:val="0"/>
                  <w:marRight w:val="0"/>
                  <w:marTop w:val="0"/>
                  <w:marBottom w:val="0"/>
                  <w:divBdr>
                    <w:top w:val="none" w:sz="0" w:space="0" w:color="auto"/>
                    <w:left w:val="none" w:sz="0" w:space="0" w:color="auto"/>
                    <w:bottom w:val="none" w:sz="0" w:space="0" w:color="auto"/>
                    <w:right w:val="none" w:sz="0" w:space="0" w:color="auto"/>
                  </w:divBdr>
                  <w:divsChild>
                    <w:div w:id="511912916">
                      <w:marLeft w:val="0"/>
                      <w:marRight w:val="0"/>
                      <w:marTop w:val="0"/>
                      <w:marBottom w:val="0"/>
                      <w:divBdr>
                        <w:top w:val="none" w:sz="0" w:space="0" w:color="auto"/>
                        <w:left w:val="none" w:sz="0" w:space="0" w:color="auto"/>
                        <w:bottom w:val="none" w:sz="0" w:space="0" w:color="auto"/>
                        <w:right w:val="none" w:sz="0" w:space="0" w:color="auto"/>
                      </w:divBdr>
                    </w:div>
                    <w:div w:id="1712149322">
                      <w:marLeft w:val="0"/>
                      <w:marRight w:val="0"/>
                      <w:marTop w:val="0"/>
                      <w:marBottom w:val="0"/>
                      <w:divBdr>
                        <w:top w:val="none" w:sz="0" w:space="0" w:color="auto"/>
                        <w:left w:val="none" w:sz="0" w:space="0" w:color="auto"/>
                        <w:bottom w:val="none" w:sz="0" w:space="0" w:color="auto"/>
                        <w:right w:val="none" w:sz="0" w:space="0" w:color="auto"/>
                      </w:divBdr>
                    </w:div>
                  </w:divsChild>
                </w:div>
                <w:div w:id="1740981710">
                  <w:marLeft w:val="0"/>
                  <w:marRight w:val="0"/>
                  <w:marTop w:val="0"/>
                  <w:marBottom w:val="0"/>
                  <w:divBdr>
                    <w:top w:val="none" w:sz="0" w:space="0" w:color="auto"/>
                    <w:left w:val="none" w:sz="0" w:space="0" w:color="auto"/>
                    <w:bottom w:val="none" w:sz="0" w:space="0" w:color="auto"/>
                    <w:right w:val="none" w:sz="0" w:space="0" w:color="auto"/>
                  </w:divBdr>
                  <w:divsChild>
                    <w:div w:id="907882102">
                      <w:marLeft w:val="0"/>
                      <w:marRight w:val="0"/>
                      <w:marTop w:val="0"/>
                      <w:marBottom w:val="0"/>
                      <w:divBdr>
                        <w:top w:val="none" w:sz="0" w:space="0" w:color="auto"/>
                        <w:left w:val="none" w:sz="0" w:space="0" w:color="auto"/>
                        <w:bottom w:val="none" w:sz="0" w:space="0" w:color="auto"/>
                        <w:right w:val="none" w:sz="0" w:space="0" w:color="auto"/>
                      </w:divBdr>
                    </w:div>
                  </w:divsChild>
                </w:div>
                <w:div w:id="1784493553">
                  <w:marLeft w:val="0"/>
                  <w:marRight w:val="0"/>
                  <w:marTop w:val="0"/>
                  <w:marBottom w:val="0"/>
                  <w:divBdr>
                    <w:top w:val="none" w:sz="0" w:space="0" w:color="auto"/>
                    <w:left w:val="none" w:sz="0" w:space="0" w:color="auto"/>
                    <w:bottom w:val="none" w:sz="0" w:space="0" w:color="auto"/>
                    <w:right w:val="none" w:sz="0" w:space="0" w:color="auto"/>
                  </w:divBdr>
                  <w:divsChild>
                    <w:div w:id="1964193725">
                      <w:marLeft w:val="0"/>
                      <w:marRight w:val="0"/>
                      <w:marTop w:val="0"/>
                      <w:marBottom w:val="0"/>
                      <w:divBdr>
                        <w:top w:val="none" w:sz="0" w:space="0" w:color="auto"/>
                        <w:left w:val="none" w:sz="0" w:space="0" w:color="auto"/>
                        <w:bottom w:val="none" w:sz="0" w:space="0" w:color="auto"/>
                        <w:right w:val="none" w:sz="0" w:space="0" w:color="auto"/>
                      </w:divBdr>
                    </w:div>
                  </w:divsChild>
                </w:div>
                <w:div w:id="1792357188">
                  <w:marLeft w:val="0"/>
                  <w:marRight w:val="0"/>
                  <w:marTop w:val="0"/>
                  <w:marBottom w:val="0"/>
                  <w:divBdr>
                    <w:top w:val="none" w:sz="0" w:space="0" w:color="auto"/>
                    <w:left w:val="none" w:sz="0" w:space="0" w:color="auto"/>
                    <w:bottom w:val="none" w:sz="0" w:space="0" w:color="auto"/>
                    <w:right w:val="none" w:sz="0" w:space="0" w:color="auto"/>
                  </w:divBdr>
                  <w:divsChild>
                    <w:div w:id="704714680">
                      <w:marLeft w:val="0"/>
                      <w:marRight w:val="0"/>
                      <w:marTop w:val="0"/>
                      <w:marBottom w:val="0"/>
                      <w:divBdr>
                        <w:top w:val="none" w:sz="0" w:space="0" w:color="auto"/>
                        <w:left w:val="none" w:sz="0" w:space="0" w:color="auto"/>
                        <w:bottom w:val="none" w:sz="0" w:space="0" w:color="auto"/>
                        <w:right w:val="none" w:sz="0" w:space="0" w:color="auto"/>
                      </w:divBdr>
                    </w:div>
                    <w:div w:id="997804448">
                      <w:marLeft w:val="0"/>
                      <w:marRight w:val="0"/>
                      <w:marTop w:val="0"/>
                      <w:marBottom w:val="0"/>
                      <w:divBdr>
                        <w:top w:val="none" w:sz="0" w:space="0" w:color="auto"/>
                        <w:left w:val="none" w:sz="0" w:space="0" w:color="auto"/>
                        <w:bottom w:val="none" w:sz="0" w:space="0" w:color="auto"/>
                        <w:right w:val="none" w:sz="0" w:space="0" w:color="auto"/>
                      </w:divBdr>
                    </w:div>
                  </w:divsChild>
                </w:div>
                <w:div w:id="1799572193">
                  <w:marLeft w:val="0"/>
                  <w:marRight w:val="0"/>
                  <w:marTop w:val="0"/>
                  <w:marBottom w:val="0"/>
                  <w:divBdr>
                    <w:top w:val="none" w:sz="0" w:space="0" w:color="auto"/>
                    <w:left w:val="none" w:sz="0" w:space="0" w:color="auto"/>
                    <w:bottom w:val="none" w:sz="0" w:space="0" w:color="auto"/>
                    <w:right w:val="none" w:sz="0" w:space="0" w:color="auto"/>
                  </w:divBdr>
                  <w:divsChild>
                    <w:div w:id="1613517716">
                      <w:marLeft w:val="0"/>
                      <w:marRight w:val="0"/>
                      <w:marTop w:val="0"/>
                      <w:marBottom w:val="0"/>
                      <w:divBdr>
                        <w:top w:val="none" w:sz="0" w:space="0" w:color="auto"/>
                        <w:left w:val="none" w:sz="0" w:space="0" w:color="auto"/>
                        <w:bottom w:val="none" w:sz="0" w:space="0" w:color="auto"/>
                        <w:right w:val="none" w:sz="0" w:space="0" w:color="auto"/>
                      </w:divBdr>
                    </w:div>
                  </w:divsChild>
                </w:div>
                <w:div w:id="1832258936">
                  <w:marLeft w:val="0"/>
                  <w:marRight w:val="0"/>
                  <w:marTop w:val="0"/>
                  <w:marBottom w:val="0"/>
                  <w:divBdr>
                    <w:top w:val="none" w:sz="0" w:space="0" w:color="auto"/>
                    <w:left w:val="none" w:sz="0" w:space="0" w:color="auto"/>
                    <w:bottom w:val="none" w:sz="0" w:space="0" w:color="auto"/>
                    <w:right w:val="none" w:sz="0" w:space="0" w:color="auto"/>
                  </w:divBdr>
                  <w:divsChild>
                    <w:div w:id="1948848469">
                      <w:marLeft w:val="0"/>
                      <w:marRight w:val="0"/>
                      <w:marTop w:val="0"/>
                      <w:marBottom w:val="0"/>
                      <w:divBdr>
                        <w:top w:val="none" w:sz="0" w:space="0" w:color="auto"/>
                        <w:left w:val="none" w:sz="0" w:space="0" w:color="auto"/>
                        <w:bottom w:val="none" w:sz="0" w:space="0" w:color="auto"/>
                        <w:right w:val="none" w:sz="0" w:space="0" w:color="auto"/>
                      </w:divBdr>
                    </w:div>
                  </w:divsChild>
                </w:div>
                <w:div w:id="1875078611">
                  <w:marLeft w:val="0"/>
                  <w:marRight w:val="0"/>
                  <w:marTop w:val="0"/>
                  <w:marBottom w:val="0"/>
                  <w:divBdr>
                    <w:top w:val="none" w:sz="0" w:space="0" w:color="auto"/>
                    <w:left w:val="none" w:sz="0" w:space="0" w:color="auto"/>
                    <w:bottom w:val="none" w:sz="0" w:space="0" w:color="auto"/>
                    <w:right w:val="none" w:sz="0" w:space="0" w:color="auto"/>
                  </w:divBdr>
                  <w:divsChild>
                    <w:div w:id="2019497264">
                      <w:marLeft w:val="0"/>
                      <w:marRight w:val="0"/>
                      <w:marTop w:val="0"/>
                      <w:marBottom w:val="0"/>
                      <w:divBdr>
                        <w:top w:val="none" w:sz="0" w:space="0" w:color="auto"/>
                        <w:left w:val="none" w:sz="0" w:space="0" w:color="auto"/>
                        <w:bottom w:val="none" w:sz="0" w:space="0" w:color="auto"/>
                        <w:right w:val="none" w:sz="0" w:space="0" w:color="auto"/>
                      </w:divBdr>
                    </w:div>
                  </w:divsChild>
                </w:div>
                <w:div w:id="2002806659">
                  <w:marLeft w:val="0"/>
                  <w:marRight w:val="0"/>
                  <w:marTop w:val="0"/>
                  <w:marBottom w:val="0"/>
                  <w:divBdr>
                    <w:top w:val="none" w:sz="0" w:space="0" w:color="auto"/>
                    <w:left w:val="none" w:sz="0" w:space="0" w:color="auto"/>
                    <w:bottom w:val="none" w:sz="0" w:space="0" w:color="auto"/>
                    <w:right w:val="none" w:sz="0" w:space="0" w:color="auto"/>
                  </w:divBdr>
                  <w:divsChild>
                    <w:div w:id="1439327399">
                      <w:marLeft w:val="0"/>
                      <w:marRight w:val="0"/>
                      <w:marTop w:val="0"/>
                      <w:marBottom w:val="0"/>
                      <w:divBdr>
                        <w:top w:val="none" w:sz="0" w:space="0" w:color="auto"/>
                        <w:left w:val="none" w:sz="0" w:space="0" w:color="auto"/>
                        <w:bottom w:val="none" w:sz="0" w:space="0" w:color="auto"/>
                        <w:right w:val="none" w:sz="0" w:space="0" w:color="auto"/>
                      </w:divBdr>
                    </w:div>
                  </w:divsChild>
                </w:div>
                <w:div w:id="2078935291">
                  <w:marLeft w:val="0"/>
                  <w:marRight w:val="0"/>
                  <w:marTop w:val="0"/>
                  <w:marBottom w:val="0"/>
                  <w:divBdr>
                    <w:top w:val="none" w:sz="0" w:space="0" w:color="auto"/>
                    <w:left w:val="none" w:sz="0" w:space="0" w:color="auto"/>
                    <w:bottom w:val="none" w:sz="0" w:space="0" w:color="auto"/>
                    <w:right w:val="none" w:sz="0" w:space="0" w:color="auto"/>
                  </w:divBdr>
                  <w:divsChild>
                    <w:div w:id="701327474">
                      <w:marLeft w:val="0"/>
                      <w:marRight w:val="0"/>
                      <w:marTop w:val="0"/>
                      <w:marBottom w:val="0"/>
                      <w:divBdr>
                        <w:top w:val="none" w:sz="0" w:space="0" w:color="auto"/>
                        <w:left w:val="none" w:sz="0" w:space="0" w:color="auto"/>
                        <w:bottom w:val="none" w:sz="0" w:space="0" w:color="auto"/>
                        <w:right w:val="none" w:sz="0" w:space="0" w:color="auto"/>
                      </w:divBdr>
                    </w:div>
                    <w:div w:id="874192916">
                      <w:marLeft w:val="0"/>
                      <w:marRight w:val="0"/>
                      <w:marTop w:val="0"/>
                      <w:marBottom w:val="0"/>
                      <w:divBdr>
                        <w:top w:val="none" w:sz="0" w:space="0" w:color="auto"/>
                        <w:left w:val="none" w:sz="0" w:space="0" w:color="auto"/>
                        <w:bottom w:val="none" w:sz="0" w:space="0" w:color="auto"/>
                        <w:right w:val="none" w:sz="0" w:space="0" w:color="auto"/>
                      </w:divBdr>
                    </w:div>
                  </w:divsChild>
                </w:div>
                <w:div w:id="2143961077">
                  <w:marLeft w:val="0"/>
                  <w:marRight w:val="0"/>
                  <w:marTop w:val="0"/>
                  <w:marBottom w:val="0"/>
                  <w:divBdr>
                    <w:top w:val="none" w:sz="0" w:space="0" w:color="auto"/>
                    <w:left w:val="none" w:sz="0" w:space="0" w:color="auto"/>
                    <w:bottom w:val="none" w:sz="0" w:space="0" w:color="auto"/>
                    <w:right w:val="none" w:sz="0" w:space="0" w:color="auto"/>
                  </w:divBdr>
                  <w:divsChild>
                    <w:div w:id="1127234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995842">
          <w:marLeft w:val="0"/>
          <w:marRight w:val="0"/>
          <w:marTop w:val="0"/>
          <w:marBottom w:val="0"/>
          <w:divBdr>
            <w:top w:val="none" w:sz="0" w:space="0" w:color="auto"/>
            <w:left w:val="none" w:sz="0" w:space="0" w:color="auto"/>
            <w:bottom w:val="none" w:sz="0" w:space="0" w:color="auto"/>
            <w:right w:val="none" w:sz="0" w:space="0" w:color="auto"/>
          </w:divBdr>
        </w:div>
        <w:div w:id="1834291658">
          <w:marLeft w:val="0"/>
          <w:marRight w:val="0"/>
          <w:marTop w:val="0"/>
          <w:marBottom w:val="0"/>
          <w:divBdr>
            <w:top w:val="none" w:sz="0" w:space="0" w:color="auto"/>
            <w:left w:val="none" w:sz="0" w:space="0" w:color="auto"/>
            <w:bottom w:val="none" w:sz="0" w:space="0" w:color="auto"/>
            <w:right w:val="none" w:sz="0" w:space="0" w:color="auto"/>
          </w:divBdr>
        </w:div>
      </w:divsChild>
    </w:div>
    <w:div w:id="1744916019">
      <w:bodyDiv w:val="1"/>
      <w:marLeft w:val="0"/>
      <w:marRight w:val="0"/>
      <w:marTop w:val="0"/>
      <w:marBottom w:val="0"/>
      <w:divBdr>
        <w:top w:val="none" w:sz="0" w:space="0" w:color="auto"/>
        <w:left w:val="none" w:sz="0" w:space="0" w:color="auto"/>
        <w:bottom w:val="none" w:sz="0" w:space="0" w:color="auto"/>
        <w:right w:val="none" w:sz="0" w:space="0" w:color="auto"/>
      </w:divBdr>
    </w:div>
    <w:div w:id="1776361263">
      <w:bodyDiv w:val="1"/>
      <w:marLeft w:val="0"/>
      <w:marRight w:val="0"/>
      <w:marTop w:val="0"/>
      <w:marBottom w:val="0"/>
      <w:divBdr>
        <w:top w:val="none" w:sz="0" w:space="0" w:color="auto"/>
        <w:left w:val="none" w:sz="0" w:space="0" w:color="auto"/>
        <w:bottom w:val="none" w:sz="0" w:space="0" w:color="auto"/>
        <w:right w:val="none" w:sz="0" w:space="0" w:color="auto"/>
      </w:divBdr>
    </w:div>
    <w:div w:id="1819033179">
      <w:bodyDiv w:val="1"/>
      <w:marLeft w:val="0"/>
      <w:marRight w:val="0"/>
      <w:marTop w:val="0"/>
      <w:marBottom w:val="0"/>
      <w:divBdr>
        <w:top w:val="none" w:sz="0" w:space="0" w:color="auto"/>
        <w:left w:val="none" w:sz="0" w:space="0" w:color="auto"/>
        <w:bottom w:val="none" w:sz="0" w:space="0" w:color="auto"/>
        <w:right w:val="none" w:sz="0" w:space="0" w:color="auto"/>
      </w:divBdr>
    </w:div>
    <w:div w:id="1820459805">
      <w:bodyDiv w:val="1"/>
      <w:marLeft w:val="0"/>
      <w:marRight w:val="0"/>
      <w:marTop w:val="0"/>
      <w:marBottom w:val="0"/>
      <w:divBdr>
        <w:top w:val="none" w:sz="0" w:space="0" w:color="auto"/>
        <w:left w:val="none" w:sz="0" w:space="0" w:color="auto"/>
        <w:bottom w:val="none" w:sz="0" w:space="0" w:color="auto"/>
        <w:right w:val="none" w:sz="0" w:space="0" w:color="auto"/>
      </w:divBdr>
    </w:div>
    <w:div w:id="1829666085">
      <w:bodyDiv w:val="1"/>
      <w:marLeft w:val="0"/>
      <w:marRight w:val="0"/>
      <w:marTop w:val="0"/>
      <w:marBottom w:val="0"/>
      <w:divBdr>
        <w:top w:val="none" w:sz="0" w:space="0" w:color="auto"/>
        <w:left w:val="none" w:sz="0" w:space="0" w:color="auto"/>
        <w:bottom w:val="none" w:sz="0" w:space="0" w:color="auto"/>
        <w:right w:val="none" w:sz="0" w:space="0" w:color="auto"/>
      </w:divBdr>
    </w:div>
    <w:div w:id="1833057032">
      <w:bodyDiv w:val="1"/>
      <w:marLeft w:val="0"/>
      <w:marRight w:val="0"/>
      <w:marTop w:val="0"/>
      <w:marBottom w:val="0"/>
      <w:divBdr>
        <w:top w:val="none" w:sz="0" w:space="0" w:color="auto"/>
        <w:left w:val="none" w:sz="0" w:space="0" w:color="auto"/>
        <w:bottom w:val="none" w:sz="0" w:space="0" w:color="auto"/>
        <w:right w:val="none" w:sz="0" w:space="0" w:color="auto"/>
      </w:divBdr>
    </w:div>
    <w:div w:id="1871990919">
      <w:bodyDiv w:val="1"/>
      <w:marLeft w:val="0"/>
      <w:marRight w:val="0"/>
      <w:marTop w:val="0"/>
      <w:marBottom w:val="0"/>
      <w:divBdr>
        <w:top w:val="none" w:sz="0" w:space="0" w:color="auto"/>
        <w:left w:val="none" w:sz="0" w:space="0" w:color="auto"/>
        <w:bottom w:val="none" w:sz="0" w:space="0" w:color="auto"/>
        <w:right w:val="none" w:sz="0" w:space="0" w:color="auto"/>
      </w:divBdr>
    </w:div>
    <w:div w:id="1881552189">
      <w:bodyDiv w:val="1"/>
      <w:marLeft w:val="0"/>
      <w:marRight w:val="0"/>
      <w:marTop w:val="0"/>
      <w:marBottom w:val="0"/>
      <w:divBdr>
        <w:top w:val="none" w:sz="0" w:space="0" w:color="auto"/>
        <w:left w:val="none" w:sz="0" w:space="0" w:color="auto"/>
        <w:bottom w:val="none" w:sz="0" w:space="0" w:color="auto"/>
        <w:right w:val="none" w:sz="0" w:space="0" w:color="auto"/>
      </w:divBdr>
    </w:div>
    <w:div w:id="1895314941">
      <w:bodyDiv w:val="1"/>
      <w:marLeft w:val="0"/>
      <w:marRight w:val="0"/>
      <w:marTop w:val="0"/>
      <w:marBottom w:val="0"/>
      <w:divBdr>
        <w:top w:val="none" w:sz="0" w:space="0" w:color="auto"/>
        <w:left w:val="none" w:sz="0" w:space="0" w:color="auto"/>
        <w:bottom w:val="none" w:sz="0" w:space="0" w:color="auto"/>
        <w:right w:val="none" w:sz="0" w:space="0" w:color="auto"/>
      </w:divBdr>
    </w:div>
    <w:div w:id="1898740506">
      <w:bodyDiv w:val="1"/>
      <w:marLeft w:val="0"/>
      <w:marRight w:val="0"/>
      <w:marTop w:val="0"/>
      <w:marBottom w:val="0"/>
      <w:divBdr>
        <w:top w:val="none" w:sz="0" w:space="0" w:color="auto"/>
        <w:left w:val="none" w:sz="0" w:space="0" w:color="auto"/>
        <w:bottom w:val="none" w:sz="0" w:space="0" w:color="auto"/>
        <w:right w:val="none" w:sz="0" w:space="0" w:color="auto"/>
      </w:divBdr>
    </w:div>
    <w:div w:id="1910652212">
      <w:bodyDiv w:val="1"/>
      <w:marLeft w:val="0"/>
      <w:marRight w:val="0"/>
      <w:marTop w:val="0"/>
      <w:marBottom w:val="0"/>
      <w:divBdr>
        <w:top w:val="none" w:sz="0" w:space="0" w:color="auto"/>
        <w:left w:val="none" w:sz="0" w:space="0" w:color="auto"/>
        <w:bottom w:val="none" w:sz="0" w:space="0" w:color="auto"/>
        <w:right w:val="none" w:sz="0" w:space="0" w:color="auto"/>
      </w:divBdr>
    </w:div>
    <w:div w:id="1959296207">
      <w:bodyDiv w:val="1"/>
      <w:marLeft w:val="0"/>
      <w:marRight w:val="0"/>
      <w:marTop w:val="0"/>
      <w:marBottom w:val="0"/>
      <w:divBdr>
        <w:top w:val="none" w:sz="0" w:space="0" w:color="auto"/>
        <w:left w:val="none" w:sz="0" w:space="0" w:color="auto"/>
        <w:bottom w:val="none" w:sz="0" w:space="0" w:color="auto"/>
        <w:right w:val="none" w:sz="0" w:space="0" w:color="auto"/>
      </w:divBdr>
    </w:div>
    <w:div w:id="1964847537">
      <w:bodyDiv w:val="1"/>
      <w:marLeft w:val="0"/>
      <w:marRight w:val="0"/>
      <w:marTop w:val="0"/>
      <w:marBottom w:val="0"/>
      <w:divBdr>
        <w:top w:val="none" w:sz="0" w:space="0" w:color="auto"/>
        <w:left w:val="none" w:sz="0" w:space="0" w:color="auto"/>
        <w:bottom w:val="none" w:sz="0" w:space="0" w:color="auto"/>
        <w:right w:val="none" w:sz="0" w:space="0" w:color="auto"/>
      </w:divBdr>
    </w:div>
    <w:div w:id="1969583920">
      <w:bodyDiv w:val="1"/>
      <w:marLeft w:val="0"/>
      <w:marRight w:val="0"/>
      <w:marTop w:val="0"/>
      <w:marBottom w:val="0"/>
      <w:divBdr>
        <w:top w:val="none" w:sz="0" w:space="0" w:color="auto"/>
        <w:left w:val="none" w:sz="0" w:space="0" w:color="auto"/>
        <w:bottom w:val="none" w:sz="0" w:space="0" w:color="auto"/>
        <w:right w:val="none" w:sz="0" w:space="0" w:color="auto"/>
      </w:divBdr>
    </w:div>
    <w:div w:id="1988898503">
      <w:bodyDiv w:val="1"/>
      <w:marLeft w:val="0"/>
      <w:marRight w:val="0"/>
      <w:marTop w:val="0"/>
      <w:marBottom w:val="0"/>
      <w:divBdr>
        <w:top w:val="none" w:sz="0" w:space="0" w:color="auto"/>
        <w:left w:val="none" w:sz="0" w:space="0" w:color="auto"/>
        <w:bottom w:val="none" w:sz="0" w:space="0" w:color="auto"/>
        <w:right w:val="none" w:sz="0" w:space="0" w:color="auto"/>
      </w:divBdr>
    </w:div>
    <w:div w:id="2017994752">
      <w:bodyDiv w:val="1"/>
      <w:marLeft w:val="0"/>
      <w:marRight w:val="0"/>
      <w:marTop w:val="0"/>
      <w:marBottom w:val="0"/>
      <w:divBdr>
        <w:top w:val="none" w:sz="0" w:space="0" w:color="auto"/>
        <w:left w:val="none" w:sz="0" w:space="0" w:color="auto"/>
        <w:bottom w:val="none" w:sz="0" w:space="0" w:color="auto"/>
        <w:right w:val="none" w:sz="0" w:space="0" w:color="auto"/>
      </w:divBdr>
    </w:div>
    <w:div w:id="2018918487">
      <w:bodyDiv w:val="1"/>
      <w:marLeft w:val="0"/>
      <w:marRight w:val="0"/>
      <w:marTop w:val="0"/>
      <w:marBottom w:val="0"/>
      <w:divBdr>
        <w:top w:val="none" w:sz="0" w:space="0" w:color="auto"/>
        <w:left w:val="none" w:sz="0" w:space="0" w:color="auto"/>
        <w:bottom w:val="none" w:sz="0" w:space="0" w:color="auto"/>
        <w:right w:val="none" w:sz="0" w:space="0" w:color="auto"/>
      </w:divBdr>
    </w:div>
    <w:div w:id="2020423676">
      <w:bodyDiv w:val="1"/>
      <w:marLeft w:val="0"/>
      <w:marRight w:val="0"/>
      <w:marTop w:val="0"/>
      <w:marBottom w:val="0"/>
      <w:divBdr>
        <w:top w:val="none" w:sz="0" w:space="0" w:color="auto"/>
        <w:left w:val="none" w:sz="0" w:space="0" w:color="auto"/>
        <w:bottom w:val="none" w:sz="0" w:space="0" w:color="auto"/>
        <w:right w:val="none" w:sz="0" w:space="0" w:color="auto"/>
      </w:divBdr>
    </w:div>
    <w:div w:id="2044820484">
      <w:bodyDiv w:val="1"/>
      <w:marLeft w:val="0"/>
      <w:marRight w:val="0"/>
      <w:marTop w:val="0"/>
      <w:marBottom w:val="0"/>
      <w:divBdr>
        <w:top w:val="none" w:sz="0" w:space="0" w:color="auto"/>
        <w:left w:val="none" w:sz="0" w:space="0" w:color="auto"/>
        <w:bottom w:val="none" w:sz="0" w:space="0" w:color="auto"/>
        <w:right w:val="none" w:sz="0" w:space="0" w:color="auto"/>
      </w:divBdr>
    </w:div>
    <w:div w:id="2053338033">
      <w:bodyDiv w:val="1"/>
      <w:marLeft w:val="0"/>
      <w:marRight w:val="0"/>
      <w:marTop w:val="0"/>
      <w:marBottom w:val="0"/>
      <w:divBdr>
        <w:top w:val="none" w:sz="0" w:space="0" w:color="auto"/>
        <w:left w:val="none" w:sz="0" w:space="0" w:color="auto"/>
        <w:bottom w:val="none" w:sz="0" w:space="0" w:color="auto"/>
        <w:right w:val="none" w:sz="0" w:space="0" w:color="auto"/>
      </w:divBdr>
    </w:div>
    <w:div w:id="2071876012">
      <w:bodyDiv w:val="1"/>
      <w:marLeft w:val="0"/>
      <w:marRight w:val="0"/>
      <w:marTop w:val="0"/>
      <w:marBottom w:val="0"/>
      <w:divBdr>
        <w:top w:val="none" w:sz="0" w:space="0" w:color="auto"/>
        <w:left w:val="none" w:sz="0" w:space="0" w:color="auto"/>
        <w:bottom w:val="none" w:sz="0" w:space="0" w:color="auto"/>
        <w:right w:val="none" w:sz="0" w:space="0" w:color="auto"/>
      </w:divBdr>
    </w:div>
    <w:div w:id="2079941273">
      <w:bodyDiv w:val="1"/>
      <w:marLeft w:val="0"/>
      <w:marRight w:val="0"/>
      <w:marTop w:val="0"/>
      <w:marBottom w:val="0"/>
      <w:divBdr>
        <w:top w:val="none" w:sz="0" w:space="0" w:color="auto"/>
        <w:left w:val="none" w:sz="0" w:space="0" w:color="auto"/>
        <w:bottom w:val="none" w:sz="0" w:space="0" w:color="auto"/>
        <w:right w:val="none" w:sz="0" w:space="0" w:color="auto"/>
      </w:divBdr>
    </w:div>
    <w:div w:id="2087605351">
      <w:bodyDiv w:val="1"/>
      <w:marLeft w:val="0"/>
      <w:marRight w:val="0"/>
      <w:marTop w:val="0"/>
      <w:marBottom w:val="0"/>
      <w:divBdr>
        <w:top w:val="none" w:sz="0" w:space="0" w:color="auto"/>
        <w:left w:val="none" w:sz="0" w:space="0" w:color="auto"/>
        <w:bottom w:val="none" w:sz="0" w:space="0" w:color="auto"/>
        <w:right w:val="none" w:sz="0" w:space="0" w:color="auto"/>
      </w:divBdr>
    </w:div>
    <w:div w:id="2094929799">
      <w:bodyDiv w:val="1"/>
      <w:marLeft w:val="0"/>
      <w:marRight w:val="0"/>
      <w:marTop w:val="0"/>
      <w:marBottom w:val="0"/>
      <w:divBdr>
        <w:top w:val="none" w:sz="0" w:space="0" w:color="auto"/>
        <w:left w:val="none" w:sz="0" w:space="0" w:color="auto"/>
        <w:bottom w:val="none" w:sz="0" w:space="0" w:color="auto"/>
        <w:right w:val="none" w:sz="0" w:space="0" w:color="auto"/>
      </w:divBdr>
    </w:div>
    <w:div w:id="2111967742">
      <w:bodyDiv w:val="1"/>
      <w:marLeft w:val="0"/>
      <w:marRight w:val="0"/>
      <w:marTop w:val="0"/>
      <w:marBottom w:val="0"/>
      <w:divBdr>
        <w:top w:val="none" w:sz="0" w:space="0" w:color="auto"/>
        <w:left w:val="none" w:sz="0" w:space="0" w:color="auto"/>
        <w:bottom w:val="none" w:sz="0" w:space="0" w:color="auto"/>
        <w:right w:val="none" w:sz="0" w:space="0" w:color="auto"/>
      </w:divBdr>
    </w:div>
    <w:div w:id="21207568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6.xml"/><Relationship Id="rId26" Type="http://schemas.openxmlformats.org/officeDocument/2006/relationships/chart" Target="charts/chart13.xml"/><Relationship Id="rId39" Type="http://schemas.openxmlformats.org/officeDocument/2006/relationships/hyperlink" Target="https://www.mrrb.bg/static/media/ups/articles/attachments/2%20%D0%9E%D1%86%D0%B5%D0%BD%D0%BA%D0%B0%20%D0%BD%D0%B0%20%D0%96%D0%A1%20%D0%B2%20%D0%A0%D0%91-%D0%A1%D0%B2%D0%B5%D1%82%D0%BE%D0%B2%D0%BD%D0%B0%20%D0%B1%D0%B0%D0%BD%D0%BA%D0%B0-2017e69f167ce9b2e7fb95258bc27f341a7b.pdf" TargetMode="External"/><Relationship Id="rId21" Type="http://schemas.openxmlformats.org/officeDocument/2006/relationships/chart" Target="charts/chart9.xml"/><Relationship Id="rId34" Type="http://schemas.openxmlformats.org/officeDocument/2006/relationships/hyperlink" Target="https://www.seea.government.bg/documents/Analiz_EE_za2024.pdf"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5.xml"/><Relationship Id="rId20" Type="http://schemas.openxmlformats.org/officeDocument/2006/relationships/chart" Target="charts/chart8.xml"/><Relationship Id="rId29" Type="http://schemas.openxmlformats.org/officeDocument/2006/relationships/image" Target="media/image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chart" Target="charts/chart11.xml"/><Relationship Id="rId32" Type="http://schemas.openxmlformats.org/officeDocument/2006/relationships/hyperlink" Target="https://lex.bg/laws/ldoc/2135475623" TargetMode="External"/><Relationship Id="rId37" Type="http://schemas.openxmlformats.org/officeDocument/2006/relationships/hyperlink" Target="chrome-extension://efaidnbmnnnibpcajpcglclefindmkaj/https:/www.iki.bas.bg/files/%D0%98%D0%98%D0%98-%D0%91%D0%90%D0%9D_%D0%B4%D0%B0%D0%BD%D0%BD%D0%B8%20%D0%B8%20%D0%B0%D0%BD%D0%B0%D0%BB%D0%B8%D0%B7_%D0%B5%D0%BD%D0%B5%D1%80%D0%B3%D0%B8%D0%B9%D0%BD%D0%BE%20%D0%B1%D0%B5%D0%B4%D0%BD%D0%B8.pdf" TargetMode="Externa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chart" Target="charts/chart4.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chart" Target="charts/chart18.xml"/><Relationship Id="rId10" Type="http://schemas.openxmlformats.org/officeDocument/2006/relationships/endnotes" Target="endnotes.xml"/><Relationship Id="rId19" Type="http://schemas.openxmlformats.org/officeDocument/2006/relationships/chart" Target="charts/chart7.xml"/><Relationship Id="rId31" Type="http://schemas.openxmlformats.org/officeDocument/2006/relationships/hyperlink" Target="https://www.iki.bas.bg/godishen-doklad-2024"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3.xml"/><Relationship Id="rId22" Type="http://schemas.openxmlformats.org/officeDocument/2006/relationships/image" Target="media/image1.png"/><Relationship Id="rId27" Type="http://schemas.openxmlformats.org/officeDocument/2006/relationships/chart" Target="charts/chart14.xml"/><Relationship Id="rId30" Type="http://schemas.openxmlformats.org/officeDocument/2006/relationships/chart" Target="charts/chart16.xml"/><Relationship Id="rId35" Type="http://schemas.openxmlformats.org/officeDocument/2006/relationships/chart" Target="charts/chart17.xml"/><Relationship Id="rId43" Type="http://schemas.microsoft.com/office/2019/05/relationships/documenttasks" Target="documenttasks/documenttasks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chart" Target="charts/chart1.xml"/><Relationship Id="rId17" Type="http://schemas.openxmlformats.org/officeDocument/2006/relationships/hyperlink" Target="https://sheerenov.eu/bg/%d0%bd%d0%b0%d1%87%d0%b0%d0%bb%d0%be" TargetMode="External"/><Relationship Id="rId25" Type="http://schemas.openxmlformats.org/officeDocument/2006/relationships/chart" Target="charts/chart12.xml"/><Relationship Id="rId33" Type="http://schemas.openxmlformats.org/officeDocument/2006/relationships/hyperlink" Target="about:blank" TargetMode="External"/><Relationship Id="rId38" Type="http://schemas.openxmlformats.org/officeDocument/2006/relationships/hyperlink" Target="https://sheerenovplus.eu/"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eur-lex.europa.eu/legal-content/BG/TXT/HTML/?uri=OJ:L_202502152" TargetMode="External"/><Relationship Id="rId3" Type="http://schemas.openxmlformats.org/officeDocument/2006/relationships/hyperlink" Target="https://www.nsi.bg/statistical-data/244" TargetMode="External"/><Relationship Id="rId7" Type="http://schemas.openxmlformats.org/officeDocument/2006/relationships/hyperlink" Target="https://www.edih-construction.bg/" TargetMode="External"/><Relationship Id="rId12" Type="http://schemas.openxmlformats.org/officeDocument/2006/relationships/hyperlink" Target="https://www.climateka.bg/bavene-fond-decarbonizatia/" TargetMode="External"/><Relationship Id="rId2" Type="http://schemas.openxmlformats.org/officeDocument/2006/relationships/hyperlink" Target="https://www.nsi.bg/statistical-data/244" TargetMode="External"/><Relationship Id="rId1" Type="http://schemas.openxmlformats.org/officeDocument/2006/relationships/hyperlink" Target="https://www.nsi.bg/statistical-data/244" TargetMode="External"/><Relationship Id="rId6" Type="http://schemas.openxmlformats.org/officeDocument/2006/relationships/hyperlink" Target="https://www.mrrb.bg/bg/proekti-nbsp-nbsp-br-po-npvu/investicii-po-npvu/cifrova-transformaciya-na-bulgarskiya-stroitelen-sektor/" TargetMode="External"/><Relationship Id="rId11" Type="http://schemas.openxmlformats.org/officeDocument/2006/relationships/hyperlink" Target="https://me.government.bg/uploads/manager/source/FINAL%20REPORT_EIB%20BG%20NDF_Deliverable%207%20Final%20Technical_Report_09012023_1.pdf" TargetMode="External"/><Relationship Id="rId5" Type="http://schemas.openxmlformats.org/officeDocument/2006/relationships/hyperlink" Target="https://ksb.bg/deynosti/analizi-i-prouchvaniya/" TargetMode="External"/><Relationship Id="rId10" Type="http://schemas.openxmlformats.org/officeDocument/2006/relationships/hyperlink" Target="https://eur-lex.europa.eu/legal-content/BG/TXT/HTML/?uri=OJ:L_202502151" TargetMode="External"/><Relationship Id="rId4" Type="http://schemas.openxmlformats.org/officeDocument/2006/relationships/hyperlink" Target="https://www.nsi.bg/statistical-data/244" TargetMode="External"/><Relationship Id="rId9" Type="http://schemas.openxmlformats.org/officeDocument/2006/relationships/hyperlink" Target="https://eur-lex.europa.eu/legal-content/BG/TXT/HTML/?uri=OJ:L_202502150"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D:\&#1041;&#1040;&#1053;\&#1045;&#1085;&#1077;&#1088;&#1075;&#1080;&#1081;&#1085;&#1072;%20&#1073;&#1077;&#1076;&#1085;&#1086;&#1089;&#1090;\&#1053;&#1057;&#1048;%20&#1076;&#1072;&#1085;&#1085;&#1080;\&#1053;&#1086;&#1074;&#1080;%20&#1089;&#1084;&#1077;&#1090;&#1082;&#1080;%20-%20&#1079;&#1072;%20&#1087;&#1088;&#1086;&#1074;&#1077;&#1088;&#1082;&#1072;%20&#1086;&#1090;%20&#1040;&#1059;&#1045;&#1056;.xlsx" TargetMode="Externa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D:\&#1041;&#1040;&#1053;\&#1045;&#1085;&#1077;&#1088;&#1075;&#1080;&#1081;&#1085;&#1072;%20&#1073;&#1077;&#1076;&#1085;&#1086;&#1089;&#1090;\&#1053;&#1057;&#1048;%20&#1076;&#1072;&#1085;&#1085;&#1080;\&#1053;&#1086;&#1074;&#1080;%20&#1089;&#1084;&#1077;&#1090;&#1082;&#1080;%20-%20&#1079;&#1072;%20&#1087;&#1088;&#1086;&#1074;&#1077;&#1088;&#1082;&#1072;%20&#1086;&#1090;%20&#1040;&#1059;&#1045;&#1056;.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639468724127598E-2"/>
          <c:y val="7.2432814585045593E-2"/>
          <c:w val="0.56181953765846404"/>
          <c:h val="0.845566778900112"/>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B69-42CC-B860-28FC0D16E18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B69-42CC-B860-28FC0D16E187}"/>
              </c:ext>
            </c:extLst>
          </c:dPt>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'Таблица №2 и Фиг 1'!$K$5:$K$6</c:f>
              <c:strCache>
                <c:ptCount val="2"/>
                <c:pt idx="0">
                  <c:v>Обитавани жилища </c:v>
                </c:pt>
                <c:pt idx="1">
                  <c:v>Необитавани жилища </c:v>
                </c:pt>
              </c:strCache>
            </c:strRef>
          </c:cat>
          <c:val>
            <c:numRef>
              <c:f>'Таблица №2 и Фиг 1'!$M$5:$M$6</c:f>
              <c:numCache>
                <c:formatCode>0.0%</c:formatCode>
                <c:ptCount val="2"/>
                <c:pt idx="0">
                  <c:v>0.80371782073388398</c:v>
                </c:pt>
                <c:pt idx="1">
                  <c:v>0.19628217926611599</c:v>
                </c:pt>
              </c:numCache>
            </c:numRef>
          </c:val>
          <c:extLst>
            <c:ext xmlns:c16="http://schemas.microsoft.com/office/drawing/2014/chart" uri="{C3380CC4-5D6E-409C-BE32-E72D297353CC}">
              <c16:uniqueId val="{00000004-4B69-42CC-B860-28FC0D16E187}"/>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b657aeea-e180-4778-b592-88548e419c7c}"/>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Sheet3!$O$4</c:f>
              <c:strCache>
                <c:ptCount val="1"/>
                <c:pt idx="0">
                  <c:v>Обитавани жилища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Sheet3!$N$5:$N$11</c:f>
              <c:strCache>
                <c:ptCount val="7"/>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pt idx="6">
                  <c:v>Друго</c:v>
                </c:pt>
              </c:strCache>
            </c:strRef>
          </c:cat>
          <c:val>
            <c:numRef>
              <c:f>Sheet3!$O$5:$O$11</c:f>
              <c:numCache>
                <c:formatCode>0.0%</c:formatCode>
                <c:ptCount val="7"/>
                <c:pt idx="0">
                  <c:v>0.57799999999999996</c:v>
                </c:pt>
                <c:pt idx="1">
                  <c:v>0.68100000000000005</c:v>
                </c:pt>
                <c:pt idx="2">
                  <c:v>0.52100000000000002</c:v>
                </c:pt>
                <c:pt idx="3">
                  <c:v>0.55900000000000005</c:v>
                </c:pt>
                <c:pt idx="4">
                  <c:v>0.06</c:v>
                </c:pt>
                <c:pt idx="5">
                  <c:v>0.94599999999999995</c:v>
                </c:pt>
                <c:pt idx="6">
                  <c:v>0.98699999999999999</c:v>
                </c:pt>
              </c:numCache>
            </c:numRef>
          </c:val>
          <c:extLst>
            <c:ext xmlns:c16="http://schemas.microsoft.com/office/drawing/2014/chart" uri="{C3380CC4-5D6E-409C-BE32-E72D297353CC}">
              <c16:uniqueId val="{00000000-993F-4ABB-948D-FA216BC523F5}"/>
            </c:ext>
          </c:extLst>
        </c:ser>
        <c:ser>
          <c:idx val="1"/>
          <c:order val="1"/>
          <c:tx>
            <c:strRef>
              <c:f>Sheet3!$P$4</c:f>
              <c:strCache>
                <c:ptCount val="1"/>
                <c:pt idx="0">
                  <c:v>Необитавани жилища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Sheet3!$N$5:$N$11</c:f>
              <c:strCache>
                <c:ptCount val="7"/>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pt idx="6">
                  <c:v>Друго</c:v>
                </c:pt>
              </c:strCache>
            </c:strRef>
          </c:cat>
          <c:val>
            <c:numRef>
              <c:f>Sheet3!$P$5:$P$11</c:f>
              <c:numCache>
                <c:formatCode>0.0%</c:formatCode>
                <c:ptCount val="7"/>
                <c:pt idx="0">
                  <c:v>0.42199999999999999</c:v>
                </c:pt>
                <c:pt idx="1">
                  <c:v>0.31900000000000001</c:v>
                </c:pt>
                <c:pt idx="2">
                  <c:v>0.47899999999999998</c:v>
                </c:pt>
                <c:pt idx="3">
                  <c:v>0.441</c:v>
                </c:pt>
                <c:pt idx="4">
                  <c:v>0.94</c:v>
                </c:pt>
                <c:pt idx="5">
                  <c:v>5.3999999999999999E-2</c:v>
                </c:pt>
                <c:pt idx="6">
                  <c:v>1.2999999999999999E-2</c:v>
                </c:pt>
              </c:numCache>
            </c:numRef>
          </c:val>
          <c:extLst>
            <c:ext xmlns:c16="http://schemas.microsoft.com/office/drawing/2014/chart" uri="{C3380CC4-5D6E-409C-BE32-E72D297353CC}">
              <c16:uniqueId val="{00000001-993F-4ABB-948D-FA216BC523F5}"/>
            </c:ext>
          </c:extLst>
        </c:ser>
        <c:dLbls>
          <c:showLegendKey val="0"/>
          <c:showVal val="0"/>
          <c:showCatName val="0"/>
          <c:showSerName val="0"/>
          <c:showPercent val="0"/>
          <c:showBubbleSize val="0"/>
        </c:dLbls>
        <c:gapWidth val="150"/>
        <c:overlap val="100"/>
        <c:axId val="1906556576"/>
        <c:axId val="1906536416"/>
      </c:barChart>
      <c:catAx>
        <c:axId val="190655657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crossAx val="1906536416"/>
        <c:crosses val="autoZero"/>
        <c:auto val="1"/>
        <c:lblAlgn val="ctr"/>
        <c:lblOffset val="100"/>
        <c:noMultiLvlLbl val="0"/>
      </c:catAx>
      <c:valAx>
        <c:axId val="1906536416"/>
        <c:scaling>
          <c:orientation val="minMax"/>
        </c:scaling>
        <c:delete val="0"/>
        <c:axPos val="t"/>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crossAx val="1906556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feca6c0a-a2d2-4ab3-a283-c63b7e4068d8}"/>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983-4421-AF14-F0A6D29BA8B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983-4421-AF14-F0A6D29BA8B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983-4421-AF14-F0A6D29BA8B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983-4421-AF14-F0A6D29BA8B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983-4421-AF14-F0A6D29BA8B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983-4421-AF14-F0A6D29BA8B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983-4421-AF14-F0A6D29BA8B8}"/>
              </c:ext>
            </c:extLst>
          </c:dPt>
          <c:dLbls>
            <c:dLbl>
              <c:idx val="0"/>
              <c:layout>
                <c:manualLayout>
                  <c:x val="9.7281605424322001E-2"/>
                  <c:y val="1.4727325750947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983-4421-AF14-F0A6D29BA8B8}"/>
                </c:ext>
              </c:extLst>
            </c:dLbl>
            <c:dLbl>
              <c:idx val="4"/>
              <c:layout>
                <c:manualLayout>
                  <c:x val="2.8390529308836399E-2"/>
                  <c:y val="-4.3090915718868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983-4421-AF14-F0A6D29BA8B8}"/>
                </c:ext>
              </c:extLst>
            </c:dLbl>
            <c:dLbl>
              <c:idx val="5"/>
              <c:layout>
                <c:manualLayout>
                  <c:x val="-6.72100831146107E-2"/>
                  <c:y val="5.0780110819480903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983-4421-AF14-F0A6D29BA8B8}"/>
                </c:ext>
              </c:extLst>
            </c:dLbl>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'Жилища собственост'!$C$6:$C$12</c:f>
              <c:strCache>
                <c:ptCount val="7"/>
                <c:pt idx="0">
                  <c:v>Държавно</c:v>
                </c:pt>
                <c:pt idx="1">
                  <c:v>Общинско</c:v>
                </c:pt>
                <c:pt idx="2">
                  <c:v>Частно, на българско физическо лице</c:v>
                </c:pt>
                <c:pt idx="3">
                  <c:v>Частно, на българско юридическо лице</c:v>
                </c:pt>
                <c:pt idx="4">
                  <c:v>Частно, на чуждестранно физическо лице</c:v>
                </c:pt>
                <c:pt idx="5">
                  <c:v>Частно, на чуждестранно юридическо лице</c:v>
                </c:pt>
                <c:pt idx="6">
                  <c:v>Непоказано</c:v>
                </c:pt>
              </c:strCache>
            </c:strRef>
          </c:cat>
          <c:val>
            <c:numRef>
              <c:f>'Жилища собственост'!$F$6:$F$12</c:f>
              <c:numCache>
                <c:formatCode>0.0%</c:formatCode>
                <c:ptCount val="7"/>
                <c:pt idx="0">
                  <c:v>4.0088903807754504E-3</c:v>
                </c:pt>
                <c:pt idx="1">
                  <c:v>8.6103959998663406E-3</c:v>
                </c:pt>
                <c:pt idx="2">
                  <c:v>0.91703002596676397</c:v>
                </c:pt>
                <c:pt idx="3">
                  <c:v>5.3669509657938499E-3</c:v>
                </c:pt>
                <c:pt idx="4">
                  <c:v>2.38313516121016E-3</c:v>
                </c:pt>
                <c:pt idx="5">
                  <c:v>2.3735334885219701E-4</c:v>
                </c:pt>
                <c:pt idx="6">
                  <c:v>6.2363248176738398E-2</c:v>
                </c:pt>
              </c:numCache>
            </c:numRef>
          </c:val>
          <c:extLst>
            <c:ext xmlns:c16="http://schemas.microsoft.com/office/drawing/2014/chart" uri="{C3380CC4-5D6E-409C-BE32-E72D297353CC}">
              <c16:uniqueId val="{0000000E-5983-4421-AF14-F0A6D29BA8B8}"/>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40e909d3-e99b-41d6-8c6c-9d76d6c121aa}"/>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9817147856518"/>
          <c:y val="6.25E-2"/>
          <c:w val="0.69622778851376599"/>
          <c:h val="0.76222009623572295"/>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F06-4088-981D-4DE93B524E3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F06-4088-981D-4DE93B524E3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F06-4088-981D-4DE93B524E3A}"/>
              </c:ext>
            </c:extLst>
          </c:dPt>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'Жилища изолация и дограма'!$B$7:$B$9</c:f>
              <c:strCache>
                <c:ptCount val="3"/>
                <c:pt idx="0">
                  <c:v>Да, изцяло</c:v>
                </c:pt>
                <c:pt idx="1">
                  <c:v>Да, частично</c:v>
                </c:pt>
                <c:pt idx="2">
                  <c:v>Няма</c:v>
                </c:pt>
              </c:strCache>
            </c:strRef>
          </c:cat>
          <c:val>
            <c:numRef>
              <c:f>'Жилища изолация и дограма'!$N$7:$N$9</c:f>
              <c:numCache>
                <c:formatCode>0.0%</c:formatCode>
                <c:ptCount val="3"/>
                <c:pt idx="0">
                  <c:v>0.277192993236966</c:v>
                </c:pt>
                <c:pt idx="1">
                  <c:v>0.107840226630201</c:v>
                </c:pt>
                <c:pt idx="2">
                  <c:v>0.61496678013283301</c:v>
                </c:pt>
              </c:numCache>
            </c:numRef>
          </c:val>
          <c:extLst>
            <c:ext xmlns:c16="http://schemas.microsoft.com/office/drawing/2014/chart" uri="{C3380CC4-5D6E-409C-BE32-E72D297353CC}">
              <c16:uniqueId val="{00000006-3F06-4088-981D-4DE93B524E3A}"/>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35a254bd-52df-4da0-b5d9-d624b5d3e9a6}"/>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3750968427981901"/>
          <c:y val="8.9994673085628807E-2"/>
          <c:w val="0.49181524335181598"/>
          <c:h val="0.75556335301079702"/>
        </c:manualLayout>
      </c:layout>
      <c:barChart>
        <c:barDir val="bar"/>
        <c:grouping val="stacked"/>
        <c:varyColors val="0"/>
        <c:ser>
          <c:idx val="0"/>
          <c:order val="0"/>
          <c:tx>
            <c:strRef>
              <c:f>'Жилища изолация и дограма'!$B$11</c:f>
              <c:strCache>
                <c:ptCount val="1"/>
                <c:pt idx="0">
                  <c:v>Да, изцяло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'Жилища изолация и дограма'!$D$10:$J$10</c:f>
              <c:strCache>
                <c:ptCount val="7"/>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pt idx="6">
                  <c:v>Друго</c:v>
                </c:pt>
              </c:strCache>
            </c:strRef>
          </c:cat>
          <c:val>
            <c:numRef>
              <c:f>'Жилища изолация и дограма'!$D$11:$J$11</c:f>
              <c:numCache>
                <c:formatCode>0.0%</c:formatCode>
                <c:ptCount val="7"/>
                <c:pt idx="0">
                  <c:v>0.17019597280377399</c:v>
                </c:pt>
                <c:pt idx="1">
                  <c:v>0.370415108939666</c:v>
                </c:pt>
                <c:pt idx="2">
                  <c:v>0.48173060479963498</c:v>
                </c:pt>
                <c:pt idx="3">
                  <c:v>0.43996276760781899</c:v>
                </c:pt>
                <c:pt idx="4">
                  <c:v>0.36762988908347899</c:v>
                </c:pt>
                <c:pt idx="5">
                  <c:v>0.51092233009708699</c:v>
                </c:pt>
                <c:pt idx="6">
                  <c:v>0.203111739745403</c:v>
                </c:pt>
              </c:numCache>
            </c:numRef>
          </c:val>
          <c:extLst>
            <c:ext xmlns:c16="http://schemas.microsoft.com/office/drawing/2014/chart" uri="{C3380CC4-5D6E-409C-BE32-E72D297353CC}">
              <c16:uniqueId val="{00000000-F1C9-4019-9F05-7D34A0BD1CA6}"/>
            </c:ext>
          </c:extLst>
        </c:ser>
        <c:ser>
          <c:idx val="1"/>
          <c:order val="1"/>
          <c:tx>
            <c:strRef>
              <c:f>'Жилища изолация и дограма'!$B$12</c:f>
              <c:strCache>
                <c:ptCount val="1"/>
                <c:pt idx="0">
                  <c:v>Да, частично</c:v>
                </c:pt>
              </c:strCache>
            </c:strRef>
          </c:tx>
          <c:spPr>
            <a:solidFill>
              <a:schemeClr val="accent2"/>
            </a:solidFill>
            <a:ln>
              <a:noFill/>
            </a:ln>
            <a:effectLst/>
          </c:spPr>
          <c:invertIfNegative val="0"/>
          <c:dLbls>
            <c:dLbl>
              <c:idx val="0"/>
              <c:layout>
                <c:manualLayout>
                  <c:x val="3.858520900321540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1C9-4019-9F05-7D34A0BD1CA6}"/>
                </c:ext>
              </c:extLst>
            </c:dLbl>
            <c:dLbl>
              <c:idx val="1"/>
              <c:layout>
                <c:manualLayout>
                  <c:x val="1.71489817792068E-2"/>
                  <c:y val="4.2329996646383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1C9-4019-9F05-7D34A0BD1CA6}"/>
                </c:ext>
              </c:extLst>
            </c:dLbl>
            <c:dLbl>
              <c:idx val="6"/>
              <c:layout>
                <c:manualLayout>
                  <c:x val="5.1446945337620599E-2"/>
                  <c:y val="3.6361190255667601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1C9-4019-9F05-7D34A0BD1CA6}"/>
                </c:ext>
              </c:extLst>
            </c:dLbl>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'Жилища изолация и дограма'!$D$10:$J$10</c:f>
              <c:strCache>
                <c:ptCount val="7"/>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pt idx="6">
                  <c:v>Друго</c:v>
                </c:pt>
              </c:strCache>
            </c:strRef>
          </c:cat>
          <c:val>
            <c:numRef>
              <c:f>'Жилища изолация и дограма'!$D$12:$J$12</c:f>
              <c:numCache>
                <c:formatCode>0.0%</c:formatCode>
                <c:ptCount val="7"/>
                <c:pt idx="0">
                  <c:v>8.5218377857766703E-2</c:v>
                </c:pt>
                <c:pt idx="1">
                  <c:v>0.12965612286060901</c:v>
                </c:pt>
                <c:pt idx="2">
                  <c:v>9.6505728780710301E-2</c:v>
                </c:pt>
                <c:pt idx="3">
                  <c:v>4.0521253490536799E-2</c:v>
                </c:pt>
                <c:pt idx="4">
                  <c:v>0.13441330998248699</c:v>
                </c:pt>
                <c:pt idx="5">
                  <c:v>5.9466019417475702E-2</c:v>
                </c:pt>
                <c:pt idx="6">
                  <c:v>4.04526166902405E-2</c:v>
                </c:pt>
              </c:numCache>
            </c:numRef>
          </c:val>
          <c:extLst>
            <c:ext xmlns:c16="http://schemas.microsoft.com/office/drawing/2014/chart" uri="{C3380CC4-5D6E-409C-BE32-E72D297353CC}">
              <c16:uniqueId val="{00000004-F1C9-4019-9F05-7D34A0BD1CA6}"/>
            </c:ext>
          </c:extLst>
        </c:ser>
        <c:ser>
          <c:idx val="2"/>
          <c:order val="2"/>
          <c:tx>
            <c:strRef>
              <c:f>'Жилища изолация и дограма'!$B$13</c:f>
              <c:strCache>
                <c:ptCount val="1"/>
                <c:pt idx="0">
                  <c:v>Няма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'Жилища изолация и дограма'!$D$10:$J$10</c:f>
              <c:strCache>
                <c:ptCount val="7"/>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pt idx="6">
                  <c:v>Друго</c:v>
                </c:pt>
              </c:strCache>
            </c:strRef>
          </c:cat>
          <c:val>
            <c:numRef>
              <c:f>'Жилища изолация и дограма'!$D$13:$J$13</c:f>
              <c:numCache>
                <c:formatCode>0.0%</c:formatCode>
                <c:ptCount val="7"/>
                <c:pt idx="0">
                  <c:v>0.74458564933845905</c:v>
                </c:pt>
                <c:pt idx="1">
                  <c:v>0.49992876819972498</c:v>
                </c:pt>
                <c:pt idx="2">
                  <c:v>0.42176366641965501</c:v>
                </c:pt>
                <c:pt idx="3">
                  <c:v>0.51951597890164403</c:v>
                </c:pt>
                <c:pt idx="4">
                  <c:v>0.49795680093403399</c:v>
                </c:pt>
                <c:pt idx="5">
                  <c:v>0.42961165048543698</c:v>
                </c:pt>
                <c:pt idx="6">
                  <c:v>0.756435643564356</c:v>
                </c:pt>
              </c:numCache>
            </c:numRef>
          </c:val>
          <c:extLst>
            <c:ext xmlns:c16="http://schemas.microsoft.com/office/drawing/2014/chart" uri="{C3380CC4-5D6E-409C-BE32-E72D297353CC}">
              <c16:uniqueId val="{00000005-F1C9-4019-9F05-7D34A0BD1CA6}"/>
            </c:ext>
          </c:extLst>
        </c:ser>
        <c:dLbls>
          <c:showLegendKey val="0"/>
          <c:showVal val="0"/>
          <c:showCatName val="0"/>
          <c:showSerName val="0"/>
          <c:showPercent val="0"/>
          <c:showBubbleSize val="0"/>
        </c:dLbls>
        <c:gapWidth val="150"/>
        <c:overlap val="100"/>
        <c:axId val="1685914944"/>
        <c:axId val="1685916384"/>
      </c:barChart>
      <c:catAx>
        <c:axId val="168591494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8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crossAx val="1685916384"/>
        <c:crosses val="autoZero"/>
        <c:auto val="1"/>
        <c:lblAlgn val="ctr"/>
        <c:lblOffset val="100"/>
        <c:noMultiLvlLbl val="0"/>
      </c:catAx>
      <c:valAx>
        <c:axId val="1685916384"/>
        <c:scaling>
          <c:orientation val="minMax"/>
          <c:max val="1"/>
          <c:min val="0"/>
        </c:scaling>
        <c:delete val="0"/>
        <c:axPos val="t"/>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en-US" sz="700" b="0" i="0" u="none" strike="noStrike" kern="1200" baseline="0">
                <a:solidFill>
                  <a:schemeClr val="tx1">
                    <a:lumMod val="65000"/>
                    <a:lumOff val="35000"/>
                  </a:schemeClr>
                </a:solidFill>
                <a:latin typeface="+mn-lt"/>
                <a:ea typeface="+mn-ea"/>
                <a:cs typeface="+mn-cs"/>
              </a:defRPr>
            </a:pPr>
            <a:endParaRPr lang="en-US"/>
          </a:p>
        </c:txPr>
        <c:crossAx val="1685914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8f6917d3-322b-4924-82c4-477325230a6d}"/>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9817147856518"/>
          <c:y val="9.2337780694079899E-2"/>
          <c:w val="0.69961196591344499"/>
          <c:h val="0.70884295713035905"/>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8FD-4E8D-B3BF-843B77F5092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8FD-4E8D-B3BF-843B77F5092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8FD-4E8D-B3BF-843B77F5092F}"/>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'Жилища изолация и дограма'!$B$31:$B$33</c:f>
              <c:strCache>
                <c:ptCount val="3"/>
                <c:pt idx="0">
                  <c:v>Да, изцяло</c:v>
                </c:pt>
                <c:pt idx="1">
                  <c:v>Да, частично</c:v>
                </c:pt>
                <c:pt idx="2">
                  <c:v>Няма</c:v>
                </c:pt>
              </c:strCache>
            </c:strRef>
          </c:cat>
          <c:val>
            <c:numRef>
              <c:f>'Жилища изолация и дограма'!$N$31:$N$33</c:f>
              <c:numCache>
                <c:formatCode>0.0%</c:formatCode>
                <c:ptCount val="3"/>
                <c:pt idx="0">
                  <c:v>0.490257566790195</c:v>
                </c:pt>
                <c:pt idx="1">
                  <c:v>0.17785255133726299</c:v>
                </c:pt>
                <c:pt idx="2">
                  <c:v>0.33188988187254098</c:v>
                </c:pt>
              </c:numCache>
            </c:numRef>
          </c:val>
          <c:extLst>
            <c:ext xmlns:c16="http://schemas.microsoft.com/office/drawing/2014/chart" uri="{C3380CC4-5D6E-409C-BE32-E72D297353CC}">
              <c16:uniqueId val="{00000006-58FD-4E8D-B3BF-843B77F5092F}"/>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6fe8a46b-52a9-475d-90a6-b959d5c23cd1}"/>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'Жилища изолация и дограма'!$B$36:$C$36</c:f>
              <c:strCache>
                <c:ptCount val="1"/>
                <c:pt idx="0">
                  <c:v>Да, изцяло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'Жилища изолация и дограма'!$D$35:$J$35</c:f>
              <c:strCache>
                <c:ptCount val="7"/>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pt idx="6">
                  <c:v>Друго</c:v>
                </c:pt>
              </c:strCache>
            </c:strRef>
          </c:cat>
          <c:val>
            <c:numRef>
              <c:f>'Жилища изолация и дограма'!$D$36:$J$36</c:f>
              <c:numCache>
                <c:formatCode>0.0%</c:formatCode>
                <c:ptCount val="7"/>
                <c:pt idx="0">
                  <c:v>0.377550054278182</c:v>
                </c:pt>
                <c:pt idx="1">
                  <c:v>0.59147962695531298</c:v>
                </c:pt>
                <c:pt idx="2">
                  <c:v>0.651598928347489</c:v>
                </c:pt>
                <c:pt idx="3">
                  <c:v>0.56413279553211304</c:v>
                </c:pt>
                <c:pt idx="4">
                  <c:v>0.44395796847635699</c:v>
                </c:pt>
                <c:pt idx="5">
                  <c:v>0.70995145631068002</c:v>
                </c:pt>
                <c:pt idx="6">
                  <c:v>0.26506364922206499</c:v>
                </c:pt>
              </c:numCache>
            </c:numRef>
          </c:val>
          <c:extLst>
            <c:ext xmlns:c16="http://schemas.microsoft.com/office/drawing/2014/chart" uri="{C3380CC4-5D6E-409C-BE32-E72D297353CC}">
              <c16:uniqueId val="{00000000-AB17-4604-A5C5-20C1B20F6A6C}"/>
            </c:ext>
          </c:extLst>
        </c:ser>
        <c:ser>
          <c:idx val="1"/>
          <c:order val="1"/>
          <c:tx>
            <c:strRef>
              <c:f>'Жилища изолация и дограма'!$B$37:$C$37</c:f>
              <c:strCache>
                <c:ptCount val="1"/>
                <c:pt idx="0">
                  <c:v>Да, частично</c:v>
                </c:pt>
              </c:strCache>
            </c:strRef>
          </c:tx>
          <c:spPr>
            <a:solidFill>
              <a:schemeClr val="accent2"/>
            </a:solidFill>
            <a:ln>
              <a:noFill/>
            </a:ln>
            <a:effectLst/>
          </c:spPr>
          <c:invertIfNegative val="0"/>
          <c:dLbls>
            <c:dLbl>
              <c:idx val="6"/>
              <c:layout>
                <c:manualLayout>
                  <c:x val="2.6178010471204199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17-4604-A5C5-20C1B20F6A6C}"/>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'Жилища изолация и дограма'!$D$35:$J$35</c:f>
              <c:strCache>
                <c:ptCount val="7"/>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pt idx="6">
                  <c:v>Друго</c:v>
                </c:pt>
              </c:strCache>
            </c:strRef>
          </c:cat>
          <c:val>
            <c:numRef>
              <c:f>'Жилища изолация и дограма'!$D$37:$J$37</c:f>
              <c:numCache>
                <c:formatCode>0.0%</c:formatCode>
                <c:ptCount val="7"/>
                <c:pt idx="0">
                  <c:v>0.20685782381220599</c:v>
                </c:pt>
                <c:pt idx="1">
                  <c:v>0.153871185911999</c:v>
                </c:pt>
                <c:pt idx="2">
                  <c:v>0.122384996864846</c:v>
                </c:pt>
                <c:pt idx="3">
                  <c:v>5.86410176853863E-2</c:v>
                </c:pt>
                <c:pt idx="4">
                  <c:v>0.159223584354933</c:v>
                </c:pt>
                <c:pt idx="5">
                  <c:v>8.0097087378640797E-2</c:v>
                </c:pt>
                <c:pt idx="6">
                  <c:v>5.0353606789250403E-2</c:v>
                </c:pt>
              </c:numCache>
            </c:numRef>
          </c:val>
          <c:extLst>
            <c:ext xmlns:c16="http://schemas.microsoft.com/office/drawing/2014/chart" uri="{C3380CC4-5D6E-409C-BE32-E72D297353CC}">
              <c16:uniqueId val="{00000002-AB17-4604-A5C5-20C1B20F6A6C}"/>
            </c:ext>
          </c:extLst>
        </c:ser>
        <c:ser>
          <c:idx val="2"/>
          <c:order val="2"/>
          <c:tx>
            <c:strRef>
              <c:f>'Жилища изолация и дограма'!$B$38:$C$38</c:f>
              <c:strCache>
                <c:ptCount val="1"/>
                <c:pt idx="0">
                  <c:v>Няма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'Жилища изолация и дограма'!$D$35:$J$35</c:f>
              <c:strCache>
                <c:ptCount val="7"/>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pt idx="6">
                  <c:v>Друго</c:v>
                </c:pt>
              </c:strCache>
            </c:strRef>
          </c:cat>
          <c:val>
            <c:numRef>
              <c:f>'Жилища изолация и дограма'!$D$38:$J$38</c:f>
              <c:numCache>
                <c:formatCode>0.0%</c:formatCode>
                <c:ptCount val="7"/>
                <c:pt idx="0">
                  <c:v>0.41559212190961298</c:v>
                </c:pt>
                <c:pt idx="1">
                  <c:v>0.25464918713268803</c:v>
                </c:pt>
                <c:pt idx="2">
                  <c:v>0.226016074787665</c:v>
                </c:pt>
                <c:pt idx="3">
                  <c:v>0.37722618678250103</c:v>
                </c:pt>
                <c:pt idx="4">
                  <c:v>0.39681844716871001</c:v>
                </c:pt>
                <c:pt idx="5">
                  <c:v>0.20995145631067999</c:v>
                </c:pt>
                <c:pt idx="6">
                  <c:v>0.68458274398868502</c:v>
                </c:pt>
              </c:numCache>
            </c:numRef>
          </c:val>
          <c:extLst>
            <c:ext xmlns:c16="http://schemas.microsoft.com/office/drawing/2014/chart" uri="{C3380CC4-5D6E-409C-BE32-E72D297353CC}">
              <c16:uniqueId val="{00000003-AB17-4604-A5C5-20C1B20F6A6C}"/>
            </c:ext>
          </c:extLst>
        </c:ser>
        <c:dLbls>
          <c:showLegendKey val="0"/>
          <c:showVal val="0"/>
          <c:showCatName val="0"/>
          <c:showSerName val="0"/>
          <c:showPercent val="0"/>
          <c:showBubbleSize val="0"/>
        </c:dLbls>
        <c:gapWidth val="150"/>
        <c:overlap val="100"/>
        <c:axId val="1685936064"/>
        <c:axId val="1685939904"/>
      </c:barChart>
      <c:catAx>
        <c:axId val="168593606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crossAx val="1685939904"/>
        <c:crosses val="autoZero"/>
        <c:auto val="0"/>
        <c:lblAlgn val="ctr"/>
        <c:lblOffset val="100"/>
        <c:noMultiLvlLbl val="0"/>
      </c:catAx>
      <c:valAx>
        <c:axId val="1685939904"/>
        <c:scaling>
          <c:orientation val="minMax"/>
          <c:max val="1"/>
          <c:min val="0"/>
        </c:scaling>
        <c:delete val="0"/>
        <c:axPos val="t"/>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en-US" sz="700" b="0" i="0" u="none" strike="noStrike" kern="1200" baseline="0">
                <a:solidFill>
                  <a:schemeClr val="tx1">
                    <a:lumMod val="65000"/>
                    <a:lumOff val="35000"/>
                  </a:schemeClr>
                </a:solidFill>
                <a:latin typeface="+mn-lt"/>
                <a:ea typeface="+mn-ea"/>
                <a:cs typeface="+mn-cs"/>
              </a:defRPr>
            </a:pPr>
            <a:endParaRPr lang="en-US"/>
          </a:p>
        </c:txPr>
        <c:crossAx val="1685936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8b0485c3-d479-489b-98f1-17f31f26dacf}"/>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'Жилища отопление'!$C$24</c:f>
              <c:strCache>
                <c:ptCount val="1"/>
                <c:pt idx="0">
                  <c:v>Къща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8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'Жилища отопление'!$B$25:$B$40</c:f>
              <c:strCache>
                <c:ptCount val="16"/>
                <c:pt idx="0">
                  <c:v>Топлинна енергия от централен източник</c:v>
                </c:pt>
                <c:pt idx="1">
                  <c:v>Природен газ от централен източник</c:v>
                </c:pt>
                <c:pt idx="2">
                  <c:v>Електричество</c:v>
                </c:pt>
                <c:pt idx="3">
                  <c:v>Въглища</c:v>
                </c:pt>
                <c:pt idx="4">
                  <c:v>Брикети от въглища</c:v>
                </c:pt>
                <c:pt idx="5">
                  <c:v>Брикети от дървесина</c:v>
                </c:pt>
                <c:pt idx="6">
                  <c:v>Дърва</c:v>
                </c:pt>
                <c:pt idx="7">
                  <c:v>Пропан-бутан</c:v>
                </c:pt>
                <c:pt idx="8">
                  <c:v>КПГ</c:v>
                </c:pt>
                <c:pt idx="9">
                  <c:v>Нафта</c:v>
                </c:pt>
                <c:pt idx="10">
                  <c:v>Пелети</c:v>
                </c:pt>
                <c:pt idx="11">
                  <c:v>Слънчева енергия</c:v>
                </c:pt>
                <c:pt idx="12">
                  <c:v>Енергия от възобновяеми източници</c:v>
                </c:pt>
                <c:pt idx="13">
                  <c:v>Друга</c:v>
                </c:pt>
                <c:pt idx="14">
                  <c:v>Не използвам</c:v>
                </c:pt>
                <c:pt idx="15">
                  <c:v>Непоказано</c:v>
                </c:pt>
              </c:strCache>
            </c:strRef>
          </c:cat>
          <c:val>
            <c:numRef>
              <c:f>'Жилища отопление'!$C$25:$C$40</c:f>
              <c:numCache>
                <c:formatCode>0.0%</c:formatCode>
                <c:ptCount val="16"/>
                <c:pt idx="0">
                  <c:v>1.1949399634598E-2</c:v>
                </c:pt>
                <c:pt idx="1">
                  <c:v>0.381139815108055</c:v>
                </c:pt>
                <c:pt idx="2">
                  <c:v>0.32179523015120598</c:v>
                </c:pt>
                <c:pt idx="3">
                  <c:v>0.88740447347616702</c:v>
                </c:pt>
                <c:pt idx="4">
                  <c:v>0.79155931787510703</c:v>
                </c:pt>
                <c:pt idx="5">
                  <c:v>0.70204449789537005</c:v>
                </c:pt>
                <c:pt idx="6">
                  <c:v>0.87559777705298603</c:v>
                </c:pt>
                <c:pt idx="7">
                  <c:v>0.61947120110084497</c:v>
                </c:pt>
                <c:pt idx="8">
                  <c:v>0.46351750316322199</c:v>
                </c:pt>
                <c:pt idx="9">
                  <c:v>0.53437876960192998</c:v>
                </c:pt>
                <c:pt idx="10">
                  <c:v>0.80038400178087798</c:v>
                </c:pt>
                <c:pt idx="11">
                  <c:v>0.73458445040214504</c:v>
                </c:pt>
                <c:pt idx="12">
                  <c:v>0.55053191489361697</c:v>
                </c:pt>
                <c:pt idx="13">
                  <c:v>0.30036359504601801</c:v>
                </c:pt>
                <c:pt idx="14">
                  <c:v>0.15952932098765399</c:v>
                </c:pt>
                <c:pt idx="15">
                  <c:v>0.24112240377989999</c:v>
                </c:pt>
              </c:numCache>
            </c:numRef>
          </c:val>
          <c:extLst>
            <c:ext xmlns:c16="http://schemas.microsoft.com/office/drawing/2014/chart" uri="{C3380CC4-5D6E-409C-BE32-E72D297353CC}">
              <c16:uniqueId val="{00000000-BF54-4A1B-8333-786DA67E63D9}"/>
            </c:ext>
          </c:extLst>
        </c:ser>
        <c:ser>
          <c:idx val="1"/>
          <c:order val="1"/>
          <c:tx>
            <c:strRef>
              <c:f>'Жилища отопление'!$D$24</c:f>
              <c:strCache>
                <c:ptCount val="1"/>
                <c:pt idx="0">
                  <c:v>Жилищен блок, кооперация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8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'Жилища отопление'!$B$25:$B$40</c:f>
              <c:strCache>
                <c:ptCount val="16"/>
                <c:pt idx="0">
                  <c:v>Топлинна енергия от централен източник</c:v>
                </c:pt>
                <c:pt idx="1">
                  <c:v>Природен газ от централен източник</c:v>
                </c:pt>
                <c:pt idx="2">
                  <c:v>Електричество</c:v>
                </c:pt>
                <c:pt idx="3">
                  <c:v>Въглища</c:v>
                </c:pt>
                <c:pt idx="4">
                  <c:v>Брикети от въглища</c:v>
                </c:pt>
                <c:pt idx="5">
                  <c:v>Брикети от дървесина</c:v>
                </c:pt>
                <c:pt idx="6">
                  <c:v>Дърва</c:v>
                </c:pt>
                <c:pt idx="7">
                  <c:v>Пропан-бутан</c:v>
                </c:pt>
                <c:pt idx="8">
                  <c:v>КПГ</c:v>
                </c:pt>
                <c:pt idx="9">
                  <c:v>Нафта</c:v>
                </c:pt>
                <c:pt idx="10">
                  <c:v>Пелети</c:v>
                </c:pt>
                <c:pt idx="11">
                  <c:v>Слънчева енергия</c:v>
                </c:pt>
                <c:pt idx="12">
                  <c:v>Енергия от възобновяеми източници</c:v>
                </c:pt>
                <c:pt idx="13">
                  <c:v>Друга</c:v>
                </c:pt>
                <c:pt idx="14">
                  <c:v>Не използвам</c:v>
                </c:pt>
                <c:pt idx="15">
                  <c:v>Непоказано</c:v>
                </c:pt>
              </c:strCache>
            </c:strRef>
          </c:cat>
          <c:val>
            <c:numRef>
              <c:f>'Жилища отопление'!$D$25:$D$40</c:f>
              <c:numCache>
                <c:formatCode>0.0%</c:formatCode>
                <c:ptCount val="16"/>
                <c:pt idx="0">
                  <c:v>0.96023719283209796</c:v>
                </c:pt>
                <c:pt idx="1">
                  <c:v>0.59112639309897597</c:v>
                </c:pt>
                <c:pt idx="2">
                  <c:v>0.66257995864423302</c:v>
                </c:pt>
                <c:pt idx="3">
                  <c:v>0.107708401542798</c:v>
                </c:pt>
                <c:pt idx="4">
                  <c:v>0.20206109679793899</c:v>
                </c:pt>
                <c:pt idx="5">
                  <c:v>0.28482661856083402</c:v>
                </c:pt>
                <c:pt idx="6">
                  <c:v>0.11730937848129699</c:v>
                </c:pt>
                <c:pt idx="7">
                  <c:v>0.36308236681737799</c:v>
                </c:pt>
                <c:pt idx="8">
                  <c:v>0.51729228173766295</c:v>
                </c:pt>
                <c:pt idx="9">
                  <c:v>0.35404101326899901</c:v>
                </c:pt>
                <c:pt idx="10">
                  <c:v>0.18890290505695101</c:v>
                </c:pt>
                <c:pt idx="11">
                  <c:v>0.20375335120643401</c:v>
                </c:pt>
                <c:pt idx="12">
                  <c:v>0.42553191489361702</c:v>
                </c:pt>
                <c:pt idx="13">
                  <c:v>0.68247926372003198</c:v>
                </c:pt>
                <c:pt idx="14">
                  <c:v>0.81905864197530898</c:v>
                </c:pt>
                <c:pt idx="15">
                  <c:v>0.69889383797617899</c:v>
                </c:pt>
              </c:numCache>
            </c:numRef>
          </c:val>
          <c:extLst>
            <c:ext xmlns:c16="http://schemas.microsoft.com/office/drawing/2014/chart" uri="{C3380CC4-5D6E-409C-BE32-E72D297353CC}">
              <c16:uniqueId val="{00000001-BF54-4A1B-8333-786DA67E63D9}"/>
            </c:ext>
          </c:extLst>
        </c:ser>
        <c:ser>
          <c:idx val="2"/>
          <c:order val="2"/>
          <c:tx>
            <c:strRef>
              <c:f>'Жилища отопление'!$E$24</c:f>
              <c:strCache>
                <c:ptCount val="1"/>
                <c:pt idx="0">
                  <c:v>Сграда от смесен тип (над 60% жилищна площ)</c:v>
                </c:pt>
              </c:strCache>
            </c:strRef>
          </c:tx>
          <c:spPr>
            <a:solidFill>
              <a:schemeClr val="accent3"/>
            </a:solidFill>
            <a:ln>
              <a:noFill/>
            </a:ln>
            <a:effectLst/>
          </c:spPr>
          <c:invertIfNegative val="0"/>
          <c:cat>
            <c:strRef>
              <c:f>'Жилища отопление'!$B$25:$B$40</c:f>
              <c:strCache>
                <c:ptCount val="16"/>
                <c:pt idx="0">
                  <c:v>Топлинна енергия от централен източник</c:v>
                </c:pt>
                <c:pt idx="1">
                  <c:v>Природен газ от централен източник</c:v>
                </c:pt>
                <c:pt idx="2">
                  <c:v>Електричество</c:v>
                </c:pt>
                <c:pt idx="3">
                  <c:v>Въглища</c:v>
                </c:pt>
                <c:pt idx="4">
                  <c:v>Брикети от въглища</c:v>
                </c:pt>
                <c:pt idx="5">
                  <c:v>Брикети от дървесина</c:v>
                </c:pt>
                <c:pt idx="6">
                  <c:v>Дърва</c:v>
                </c:pt>
                <c:pt idx="7">
                  <c:v>Пропан-бутан</c:v>
                </c:pt>
                <c:pt idx="8">
                  <c:v>КПГ</c:v>
                </c:pt>
                <c:pt idx="9">
                  <c:v>Нафта</c:v>
                </c:pt>
                <c:pt idx="10">
                  <c:v>Пелети</c:v>
                </c:pt>
                <c:pt idx="11">
                  <c:v>Слънчева енергия</c:v>
                </c:pt>
                <c:pt idx="12">
                  <c:v>Енергия от възобновяеми източници</c:v>
                </c:pt>
                <c:pt idx="13">
                  <c:v>Друга</c:v>
                </c:pt>
                <c:pt idx="14">
                  <c:v>Не използвам</c:v>
                </c:pt>
                <c:pt idx="15">
                  <c:v>Непоказано</c:v>
                </c:pt>
              </c:strCache>
            </c:strRef>
          </c:cat>
          <c:val>
            <c:numRef>
              <c:f>'Жилища отопление'!$E$25:$E$40</c:f>
              <c:numCache>
                <c:formatCode>0.0%</c:formatCode>
                <c:ptCount val="16"/>
                <c:pt idx="0">
                  <c:v>1.42107228995897E-2</c:v>
                </c:pt>
                <c:pt idx="1">
                  <c:v>8.1587718107647492E-3</c:v>
                </c:pt>
                <c:pt idx="2">
                  <c:v>8.6594174588355503E-3</c:v>
                </c:pt>
                <c:pt idx="3">
                  <c:v>1.07804227522819E-3</c:v>
                </c:pt>
                <c:pt idx="4">
                  <c:v>1.8402649981597401E-3</c:v>
                </c:pt>
                <c:pt idx="5">
                  <c:v>2.70595309681299E-3</c:v>
                </c:pt>
                <c:pt idx="6">
                  <c:v>1.14790137366943E-3</c:v>
                </c:pt>
                <c:pt idx="7">
                  <c:v>4.3738942402201698E-3</c:v>
                </c:pt>
                <c:pt idx="8">
                  <c:v>7.3808519611978096E-3</c:v>
                </c:pt>
                <c:pt idx="9">
                  <c:v>6.0313630880579E-3</c:v>
                </c:pt>
                <c:pt idx="10">
                  <c:v>3.1258115979668302E-3</c:v>
                </c:pt>
                <c:pt idx="11">
                  <c:v>1.8766756032171601E-2</c:v>
                </c:pt>
                <c:pt idx="12">
                  <c:v>2.6595744680851098E-3</c:v>
                </c:pt>
                <c:pt idx="13">
                  <c:v>7.8968299056925307E-3</c:v>
                </c:pt>
                <c:pt idx="14">
                  <c:v>7.0408950617284003E-3</c:v>
                </c:pt>
                <c:pt idx="15">
                  <c:v>9.3267053843882307E-3</c:v>
                </c:pt>
              </c:numCache>
            </c:numRef>
          </c:val>
          <c:extLst>
            <c:ext xmlns:c16="http://schemas.microsoft.com/office/drawing/2014/chart" uri="{C3380CC4-5D6E-409C-BE32-E72D297353CC}">
              <c16:uniqueId val="{00000002-BF54-4A1B-8333-786DA67E63D9}"/>
            </c:ext>
          </c:extLst>
        </c:ser>
        <c:ser>
          <c:idx val="3"/>
          <c:order val="3"/>
          <c:tx>
            <c:strRef>
              <c:f>'Жилища отопление'!$F$24</c:f>
              <c:strCache>
                <c:ptCount val="1"/>
                <c:pt idx="0">
                  <c:v>Общежитие</c:v>
                </c:pt>
              </c:strCache>
            </c:strRef>
          </c:tx>
          <c:spPr>
            <a:solidFill>
              <a:schemeClr val="accent4"/>
            </a:solidFill>
            <a:ln>
              <a:noFill/>
            </a:ln>
            <a:effectLst/>
          </c:spPr>
          <c:invertIfNegative val="0"/>
          <c:cat>
            <c:strRef>
              <c:f>'Жилища отопление'!$B$25:$B$40</c:f>
              <c:strCache>
                <c:ptCount val="16"/>
                <c:pt idx="0">
                  <c:v>Топлинна енергия от централен източник</c:v>
                </c:pt>
                <c:pt idx="1">
                  <c:v>Природен газ от централен източник</c:v>
                </c:pt>
                <c:pt idx="2">
                  <c:v>Електричество</c:v>
                </c:pt>
                <c:pt idx="3">
                  <c:v>Въглища</c:v>
                </c:pt>
                <c:pt idx="4">
                  <c:v>Брикети от въглища</c:v>
                </c:pt>
                <c:pt idx="5">
                  <c:v>Брикети от дървесина</c:v>
                </c:pt>
                <c:pt idx="6">
                  <c:v>Дърва</c:v>
                </c:pt>
                <c:pt idx="7">
                  <c:v>Пропан-бутан</c:v>
                </c:pt>
                <c:pt idx="8">
                  <c:v>КПГ</c:v>
                </c:pt>
                <c:pt idx="9">
                  <c:v>Нафта</c:v>
                </c:pt>
                <c:pt idx="10">
                  <c:v>Пелети</c:v>
                </c:pt>
                <c:pt idx="11">
                  <c:v>Слънчева енергия</c:v>
                </c:pt>
                <c:pt idx="12">
                  <c:v>Енергия от възобновяеми източници</c:v>
                </c:pt>
                <c:pt idx="13">
                  <c:v>Друга</c:v>
                </c:pt>
                <c:pt idx="14">
                  <c:v>Не използвам</c:v>
                </c:pt>
                <c:pt idx="15">
                  <c:v>Непоказано</c:v>
                </c:pt>
              </c:strCache>
            </c:strRef>
          </c:cat>
          <c:val>
            <c:numRef>
              <c:f>'Жилища отопление'!$F$25:$F$40</c:f>
              <c:numCache>
                <c:formatCode>0.0%</c:formatCode>
                <c:ptCount val="16"/>
                <c:pt idx="0">
                  <c:v>1.30178097303495E-2</c:v>
                </c:pt>
                <c:pt idx="1">
                  <c:v>1.50809090771992E-2</c:v>
                </c:pt>
                <c:pt idx="2">
                  <c:v>2.3883881642276601E-3</c:v>
                </c:pt>
                <c:pt idx="3">
                  <c:v>2.9546343839587298E-4</c:v>
                </c:pt>
                <c:pt idx="4">
                  <c:v>3.6805299963194699E-4</c:v>
                </c:pt>
                <c:pt idx="5">
                  <c:v>2.00440970134295E-4</c:v>
                </c:pt>
                <c:pt idx="6">
                  <c:v>4.0240085054832402E-4</c:v>
                </c:pt>
                <c:pt idx="7">
                  <c:v>2.3589541969726798E-3</c:v>
                </c:pt>
                <c:pt idx="8">
                  <c:v>2.31969633066217E-3</c:v>
                </c:pt>
                <c:pt idx="9">
                  <c:v>3.0156815440289499E-2</c:v>
                </c:pt>
                <c:pt idx="10">
                  <c:v>4.7304567209587099E-4</c:v>
                </c:pt>
                <c:pt idx="11">
                  <c:v>5.3619302949061698E-3</c:v>
                </c:pt>
                <c:pt idx="12">
                  <c:v>0</c:v>
                </c:pt>
                <c:pt idx="13">
                  <c:v>4.77218497897966E-3</c:v>
                </c:pt>
                <c:pt idx="14">
                  <c:v>5.4976851851851897E-3</c:v>
                </c:pt>
                <c:pt idx="15">
                  <c:v>4.7507136529185902E-2</c:v>
                </c:pt>
              </c:numCache>
            </c:numRef>
          </c:val>
          <c:extLst>
            <c:ext xmlns:c16="http://schemas.microsoft.com/office/drawing/2014/chart" uri="{C3380CC4-5D6E-409C-BE32-E72D297353CC}">
              <c16:uniqueId val="{00000003-BF54-4A1B-8333-786DA67E63D9}"/>
            </c:ext>
          </c:extLst>
        </c:ser>
        <c:ser>
          <c:idx val="4"/>
          <c:order val="4"/>
          <c:tx>
            <c:strRef>
              <c:f>'Жилища отопление'!$G$24</c:f>
              <c:strCache>
                <c:ptCount val="1"/>
                <c:pt idx="0">
                  <c:v>Вила</c:v>
                </c:pt>
              </c:strCache>
            </c:strRef>
          </c:tx>
          <c:spPr>
            <a:solidFill>
              <a:schemeClr val="accent5"/>
            </a:solidFill>
            <a:ln>
              <a:noFill/>
            </a:ln>
            <a:effectLst/>
          </c:spPr>
          <c:invertIfNegative val="0"/>
          <c:cat>
            <c:strRef>
              <c:f>'Жилища отопление'!$B$25:$B$40</c:f>
              <c:strCache>
                <c:ptCount val="16"/>
                <c:pt idx="0">
                  <c:v>Топлинна енергия от централен източник</c:v>
                </c:pt>
                <c:pt idx="1">
                  <c:v>Природен газ от централен източник</c:v>
                </c:pt>
                <c:pt idx="2">
                  <c:v>Електричество</c:v>
                </c:pt>
                <c:pt idx="3">
                  <c:v>Въглища</c:v>
                </c:pt>
                <c:pt idx="4">
                  <c:v>Брикети от въглища</c:v>
                </c:pt>
                <c:pt idx="5">
                  <c:v>Брикети от дървесина</c:v>
                </c:pt>
                <c:pt idx="6">
                  <c:v>Дърва</c:v>
                </c:pt>
                <c:pt idx="7">
                  <c:v>Пропан-бутан</c:v>
                </c:pt>
                <c:pt idx="8">
                  <c:v>КПГ</c:v>
                </c:pt>
                <c:pt idx="9">
                  <c:v>Нафта</c:v>
                </c:pt>
                <c:pt idx="10">
                  <c:v>Пелети</c:v>
                </c:pt>
                <c:pt idx="11">
                  <c:v>Слънчева енергия</c:v>
                </c:pt>
                <c:pt idx="12">
                  <c:v>Енергия от възобновяеми източници</c:v>
                </c:pt>
                <c:pt idx="13">
                  <c:v>Друга</c:v>
                </c:pt>
                <c:pt idx="14">
                  <c:v>Не използвам</c:v>
                </c:pt>
                <c:pt idx="15">
                  <c:v>Непоказано</c:v>
                </c:pt>
              </c:strCache>
            </c:strRef>
          </c:cat>
          <c:val>
            <c:numRef>
              <c:f>'Жилища отопление'!$G$25:$G$40</c:f>
              <c:numCache>
                <c:formatCode>0.0%</c:formatCode>
                <c:ptCount val="16"/>
                <c:pt idx="0">
                  <c:v>6.9490087528556099E-5</c:v>
                </c:pt>
                <c:pt idx="1">
                  <c:v>1.71922363480071E-3</c:v>
                </c:pt>
                <c:pt idx="2">
                  <c:v>2.7565140971288599E-3</c:v>
                </c:pt>
                <c:pt idx="3">
                  <c:v>1.88457760706557E-3</c:v>
                </c:pt>
                <c:pt idx="4">
                  <c:v>3.06710833026623E-3</c:v>
                </c:pt>
                <c:pt idx="5">
                  <c:v>8.3183002605732598E-3</c:v>
                </c:pt>
                <c:pt idx="6">
                  <c:v>3.8281028282426098E-3</c:v>
                </c:pt>
                <c:pt idx="7">
                  <c:v>8.3054845685079596E-3</c:v>
                </c:pt>
                <c:pt idx="8">
                  <c:v>6.5373260227751997E-3</c:v>
                </c:pt>
                <c:pt idx="9">
                  <c:v>1.6284680337756301E-2</c:v>
                </c:pt>
                <c:pt idx="10">
                  <c:v>5.63944644380959E-3</c:v>
                </c:pt>
                <c:pt idx="11">
                  <c:v>3.2171581769436998E-2</c:v>
                </c:pt>
                <c:pt idx="12">
                  <c:v>1.5957446808510599E-2</c:v>
                </c:pt>
                <c:pt idx="13">
                  <c:v>3.2382683785933401E-3</c:v>
                </c:pt>
                <c:pt idx="14">
                  <c:v>2.9899691358024698E-3</c:v>
                </c:pt>
                <c:pt idx="15">
                  <c:v>2.9161334777045001E-3</c:v>
                </c:pt>
              </c:numCache>
            </c:numRef>
          </c:val>
          <c:extLst>
            <c:ext xmlns:c16="http://schemas.microsoft.com/office/drawing/2014/chart" uri="{C3380CC4-5D6E-409C-BE32-E72D297353CC}">
              <c16:uniqueId val="{00000004-BF54-4A1B-8333-786DA67E63D9}"/>
            </c:ext>
          </c:extLst>
        </c:ser>
        <c:ser>
          <c:idx val="5"/>
          <c:order val="5"/>
          <c:tx>
            <c:strRef>
              <c:f>'Жилища отопление'!$H$24</c:f>
              <c:strCache>
                <c:ptCount val="1"/>
                <c:pt idx="0">
                  <c:v>Сграда за колективно домакинство</c:v>
                </c:pt>
              </c:strCache>
            </c:strRef>
          </c:tx>
          <c:spPr>
            <a:solidFill>
              <a:schemeClr val="accent6"/>
            </a:solidFill>
            <a:ln>
              <a:noFill/>
            </a:ln>
            <a:effectLst/>
          </c:spPr>
          <c:invertIfNegative val="0"/>
          <c:cat>
            <c:strRef>
              <c:f>'Жилища отопление'!$B$25:$B$40</c:f>
              <c:strCache>
                <c:ptCount val="16"/>
                <c:pt idx="0">
                  <c:v>Топлинна енергия от централен източник</c:v>
                </c:pt>
                <c:pt idx="1">
                  <c:v>Природен газ от централен източник</c:v>
                </c:pt>
                <c:pt idx="2">
                  <c:v>Електричество</c:v>
                </c:pt>
                <c:pt idx="3">
                  <c:v>Въглища</c:v>
                </c:pt>
                <c:pt idx="4">
                  <c:v>Брикети от въглища</c:v>
                </c:pt>
                <c:pt idx="5">
                  <c:v>Брикети от дървесина</c:v>
                </c:pt>
                <c:pt idx="6">
                  <c:v>Дърва</c:v>
                </c:pt>
                <c:pt idx="7">
                  <c:v>Пропан-бутан</c:v>
                </c:pt>
                <c:pt idx="8">
                  <c:v>КПГ</c:v>
                </c:pt>
                <c:pt idx="9">
                  <c:v>Нафта</c:v>
                </c:pt>
                <c:pt idx="10">
                  <c:v>Пелети</c:v>
                </c:pt>
                <c:pt idx="11">
                  <c:v>Слънчева енергия</c:v>
                </c:pt>
                <c:pt idx="12">
                  <c:v>Енергия от възобновяеми източници</c:v>
                </c:pt>
                <c:pt idx="13">
                  <c:v>Друга</c:v>
                </c:pt>
                <c:pt idx="14">
                  <c:v>Не използвам</c:v>
                </c:pt>
                <c:pt idx="15">
                  <c:v>Непоказано</c:v>
                </c:pt>
              </c:strCache>
            </c:strRef>
          </c:cat>
          <c:val>
            <c:numRef>
              <c:f>'Жилища отопление'!$H$25:$H$40</c:f>
              <c:numCache>
                <c:formatCode>0.0%</c:formatCode>
                <c:ptCount val="16"/>
                <c:pt idx="0">
                  <c:v>1.67934378194011E-4</c:v>
                </c:pt>
                <c:pt idx="1">
                  <c:v>2.06608454357629E-3</c:v>
                </c:pt>
                <c:pt idx="2">
                  <c:v>3.1335008292902601E-4</c:v>
                </c:pt>
                <c:pt idx="3">
                  <c:v>4.9510089677146302E-4</c:v>
                </c:pt>
                <c:pt idx="4">
                  <c:v>3.6805299963194699E-4</c:v>
                </c:pt>
                <c:pt idx="5">
                  <c:v>7.01543395470034E-4</c:v>
                </c:pt>
                <c:pt idx="6">
                  <c:v>1.6201928982603601E-4</c:v>
                </c:pt>
                <c:pt idx="7">
                  <c:v>2.4572439551798702E-4</c:v>
                </c:pt>
                <c:pt idx="8">
                  <c:v>2.31969633066217E-3</c:v>
                </c:pt>
                <c:pt idx="9">
                  <c:v>5.1869722557297999E-2</c:v>
                </c:pt>
                <c:pt idx="10">
                  <c:v>6.4000296812970702E-4</c:v>
                </c:pt>
                <c:pt idx="11">
                  <c:v>2.6809651474530801E-3</c:v>
                </c:pt>
                <c:pt idx="12">
                  <c:v>2.6595744680851098E-3</c:v>
                </c:pt>
                <c:pt idx="13">
                  <c:v>5.6811725940234102E-5</c:v>
                </c:pt>
                <c:pt idx="14">
                  <c:v>3.8580246913580201E-4</c:v>
                </c:pt>
                <c:pt idx="15">
                  <c:v>1.2304360665419801E-5</c:v>
                </c:pt>
              </c:numCache>
            </c:numRef>
          </c:val>
          <c:extLst>
            <c:ext xmlns:c16="http://schemas.microsoft.com/office/drawing/2014/chart" uri="{C3380CC4-5D6E-409C-BE32-E72D297353CC}">
              <c16:uniqueId val="{00000005-BF54-4A1B-8333-786DA67E63D9}"/>
            </c:ext>
          </c:extLst>
        </c:ser>
        <c:ser>
          <c:idx val="6"/>
          <c:order val="6"/>
          <c:tx>
            <c:strRef>
              <c:f>'Жилища отопление'!$I$24</c:f>
              <c:strCache>
                <c:ptCount val="1"/>
                <c:pt idx="0">
                  <c:v>Друго</c:v>
                </c:pt>
              </c:strCache>
            </c:strRef>
          </c:tx>
          <c:spPr>
            <a:solidFill>
              <a:schemeClr val="accent1">
                <a:lumMod val="60000"/>
              </a:schemeClr>
            </a:solidFill>
            <a:ln>
              <a:noFill/>
            </a:ln>
            <a:effectLst/>
          </c:spPr>
          <c:invertIfNegative val="0"/>
          <c:cat>
            <c:strRef>
              <c:f>'Жилища отопление'!$B$25:$B$40</c:f>
              <c:strCache>
                <c:ptCount val="16"/>
                <c:pt idx="0">
                  <c:v>Топлинна енергия от централен източник</c:v>
                </c:pt>
                <c:pt idx="1">
                  <c:v>Природен газ от централен източник</c:v>
                </c:pt>
                <c:pt idx="2">
                  <c:v>Електричество</c:v>
                </c:pt>
                <c:pt idx="3">
                  <c:v>Въглища</c:v>
                </c:pt>
                <c:pt idx="4">
                  <c:v>Брикети от въглища</c:v>
                </c:pt>
                <c:pt idx="5">
                  <c:v>Брикети от дървесина</c:v>
                </c:pt>
                <c:pt idx="6">
                  <c:v>Дърва</c:v>
                </c:pt>
                <c:pt idx="7">
                  <c:v>Пропан-бутан</c:v>
                </c:pt>
                <c:pt idx="8">
                  <c:v>КПГ</c:v>
                </c:pt>
                <c:pt idx="9">
                  <c:v>Нафта</c:v>
                </c:pt>
                <c:pt idx="10">
                  <c:v>Пелети</c:v>
                </c:pt>
                <c:pt idx="11">
                  <c:v>Слънчева енергия</c:v>
                </c:pt>
                <c:pt idx="12">
                  <c:v>Енергия от възобновяеми източници</c:v>
                </c:pt>
                <c:pt idx="13">
                  <c:v>Друга</c:v>
                </c:pt>
                <c:pt idx="14">
                  <c:v>Не използвам</c:v>
                </c:pt>
                <c:pt idx="15">
                  <c:v>Непоказано</c:v>
                </c:pt>
              </c:strCache>
            </c:strRef>
          </c:cat>
          <c:val>
            <c:numRef>
              <c:f>'Жилища отопление'!$I$25:$I$40</c:f>
              <c:numCache>
                <c:formatCode>0.0%</c:formatCode>
                <c:ptCount val="16"/>
                <c:pt idx="0">
                  <c:v>3.4745043764278E-4</c:v>
                </c:pt>
                <c:pt idx="1">
                  <c:v>7.0880272662836102E-4</c:v>
                </c:pt>
                <c:pt idx="2">
                  <c:v>1.5071414014401199E-3</c:v>
                </c:pt>
                <c:pt idx="3">
                  <c:v>1.1339407635733499E-3</c:v>
                </c:pt>
                <c:pt idx="4">
                  <c:v>7.3610599926389399E-4</c:v>
                </c:pt>
                <c:pt idx="5">
                  <c:v>1.2026458208057699E-3</c:v>
                </c:pt>
                <c:pt idx="6">
                  <c:v>1.5524201234311699E-3</c:v>
                </c:pt>
                <c:pt idx="7">
                  <c:v>2.1623746805582902E-3</c:v>
                </c:pt>
                <c:pt idx="8">
                  <c:v>6.3264445381695496E-4</c:v>
                </c:pt>
                <c:pt idx="9">
                  <c:v>7.2376357056694804E-3</c:v>
                </c:pt>
                <c:pt idx="10">
                  <c:v>8.3478648016918297E-4</c:v>
                </c:pt>
                <c:pt idx="11">
                  <c:v>2.6809651474530801E-3</c:v>
                </c:pt>
                <c:pt idx="12">
                  <c:v>2.6595744680851098E-3</c:v>
                </c:pt>
                <c:pt idx="13">
                  <c:v>1.19304624474492E-3</c:v>
                </c:pt>
                <c:pt idx="14">
                  <c:v>5.4976851851851897E-3</c:v>
                </c:pt>
                <c:pt idx="15">
                  <c:v>2.21478491977557E-4</c:v>
                </c:pt>
              </c:numCache>
            </c:numRef>
          </c:val>
          <c:extLst>
            <c:ext xmlns:c16="http://schemas.microsoft.com/office/drawing/2014/chart" uri="{C3380CC4-5D6E-409C-BE32-E72D297353CC}">
              <c16:uniqueId val="{00000006-BF54-4A1B-8333-786DA67E63D9}"/>
            </c:ext>
          </c:extLst>
        </c:ser>
        <c:dLbls>
          <c:showLegendKey val="0"/>
          <c:showVal val="0"/>
          <c:showCatName val="0"/>
          <c:showSerName val="0"/>
          <c:showPercent val="0"/>
          <c:showBubbleSize val="0"/>
        </c:dLbls>
        <c:gapWidth val="150"/>
        <c:overlap val="100"/>
        <c:axId val="66026608"/>
        <c:axId val="66033328"/>
      </c:barChart>
      <c:catAx>
        <c:axId val="6602660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crossAx val="66033328"/>
        <c:crosses val="autoZero"/>
        <c:auto val="1"/>
        <c:lblAlgn val="ctr"/>
        <c:lblOffset val="100"/>
        <c:noMultiLvlLbl val="0"/>
      </c:catAx>
      <c:valAx>
        <c:axId val="66033328"/>
        <c:scaling>
          <c:orientation val="minMax"/>
          <c:max val="1"/>
          <c:min val="0"/>
        </c:scaling>
        <c:delete val="0"/>
        <c:axPos val="t"/>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en-US" sz="7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en-US"/>
          </a:p>
        </c:txPr>
        <c:crossAx val="66026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8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19b53459-8445-493f-95a1-0b160822aca3}"/>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800" b="0" i="0" u="none" strike="noStrike" kern="1200" spc="0" baseline="0">
                <a:solidFill>
                  <a:schemeClr val="tx1"/>
                </a:solidFill>
                <a:latin typeface="Arial" panose="020B0604020202020204" pitchFamily="2" charset="0"/>
                <a:ea typeface="+mn-ea"/>
                <a:cs typeface="Times New Roman" panose="02020603050405020304" charset="0"/>
              </a:defRPr>
            </a:pPr>
            <a:r>
              <a:rPr lang="bg-BG" sz="800" baseline="0">
                <a:solidFill>
                  <a:schemeClr val="tx1"/>
                </a:solidFill>
                <a:latin typeface="Arial" panose="020B0604020202020204" pitchFamily="2" charset="0"/>
              </a:rPr>
              <a:t>България</a:t>
            </a:r>
            <a:endParaRPr lang="it-IT" sz="800" baseline="0">
              <a:solidFill>
                <a:schemeClr val="tx1"/>
              </a:solidFill>
              <a:latin typeface="Arial" panose="020B0604020202020204" pitchFamily="2" charset="0"/>
            </a:endParaRPr>
          </a:p>
        </c:rich>
      </c:tx>
      <c:overlay val="0"/>
      <c:spPr>
        <a:noFill/>
        <a:ln>
          <a:noFill/>
        </a:ln>
        <a:effectLst/>
      </c:spPr>
      <c:txPr>
        <a:bodyPr rot="0" spcFirstLastPara="1" vertOverflow="ellipsis" vert="horz" wrap="square" anchor="ctr" anchorCtr="1"/>
        <a:lstStyle/>
        <a:p>
          <a:pPr>
            <a:defRPr lang="en-US" sz="800" b="0" i="0" u="none" strike="noStrike" kern="1200" spc="0" baseline="0">
              <a:solidFill>
                <a:schemeClr val="tx1"/>
              </a:solidFill>
              <a:latin typeface="Arial" panose="020B0604020202020204" pitchFamily="2" charset="0"/>
              <a:ea typeface="+mn-ea"/>
              <a:cs typeface="Times New Roman" panose="02020603050405020304" charset="0"/>
            </a:defRPr>
          </a:pPr>
          <a:endParaRPr lang="en-US"/>
        </a:p>
      </c:txPr>
    </c:title>
    <c:autoTitleDeleted val="0"/>
    <c:plotArea>
      <c:layout>
        <c:manualLayout>
          <c:layoutTarget val="inner"/>
          <c:xMode val="edge"/>
          <c:yMode val="edge"/>
          <c:x val="9.5356716774039604E-2"/>
          <c:y val="8.4575310439136298E-2"/>
          <c:w val="0.86297661655929403"/>
          <c:h val="0.46043274002514401"/>
        </c:manualLayout>
      </c:layout>
      <c:lineChart>
        <c:grouping val="standard"/>
        <c:varyColors val="0"/>
        <c:ser>
          <c:idx val="0"/>
          <c:order val="0"/>
          <c:tx>
            <c:strRef>
              <c:f>Sheet1!$A$101</c:f>
              <c:strCache>
                <c:ptCount val="1"/>
                <c:pt idx="0">
                  <c:v>Население в невъзможност за поддържане на адекватна топлина в дома</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Sheet1!$B$100:$K$100</c:f>
              <c:strCache>
                <c:ptCount val="10"/>
                <c:pt idx="0">
                  <c:v>2014</c:v>
                </c:pt>
                <c:pt idx="1">
                  <c:v>2015</c:v>
                </c:pt>
                <c:pt idx="2">
                  <c:v>2016</c:v>
                </c:pt>
                <c:pt idx="3">
                  <c:v>2017</c:v>
                </c:pt>
                <c:pt idx="4">
                  <c:v>2018</c:v>
                </c:pt>
                <c:pt idx="5">
                  <c:v>2019</c:v>
                </c:pt>
                <c:pt idx="6">
                  <c:v>2020</c:v>
                </c:pt>
                <c:pt idx="7">
                  <c:v>2021</c:v>
                </c:pt>
                <c:pt idx="8">
                  <c:v>2022</c:v>
                </c:pt>
                <c:pt idx="9">
                  <c:v>2023</c:v>
                </c:pt>
              </c:strCache>
            </c:strRef>
          </c:cat>
          <c:val>
            <c:numRef>
              <c:f>Sheet1!$B$101:$K$101</c:f>
              <c:numCache>
                <c:formatCode>#\ ##0.##########</c:formatCode>
                <c:ptCount val="10"/>
                <c:pt idx="0">
                  <c:v>40.5</c:v>
                </c:pt>
                <c:pt idx="1">
                  <c:v>39.200000000000003</c:v>
                </c:pt>
                <c:pt idx="2">
                  <c:v>39.200000000000003</c:v>
                </c:pt>
                <c:pt idx="3">
                  <c:v>36.5</c:v>
                </c:pt>
                <c:pt idx="4">
                  <c:v>33.700000000000003</c:v>
                </c:pt>
                <c:pt idx="5">
                  <c:v>30.1</c:v>
                </c:pt>
                <c:pt idx="6">
                  <c:v>27.5</c:v>
                </c:pt>
                <c:pt idx="7">
                  <c:v>23.7</c:v>
                </c:pt>
                <c:pt idx="8">
                  <c:v>22.5</c:v>
                </c:pt>
                <c:pt idx="9">
                  <c:v>20.7</c:v>
                </c:pt>
              </c:numCache>
            </c:numRef>
          </c:val>
          <c:smooth val="0"/>
          <c:extLst>
            <c:ext xmlns:c16="http://schemas.microsoft.com/office/drawing/2014/chart" uri="{C3380CC4-5D6E-409C-BE32-E72D297353CC}">
              <c16:uniqueId val="{00000000-C9C5-4925-AE89-F38CA5826D25}"/>
            </c:ext>
          </c:extLst>
        </c:ser>
        <c:ser>
          <c:idx val="1"/>
          <c:order val="1"/>
          <c:tx>
            <c:strRef>
              <c:f>Sheet1!$A$102</c:f>
              <c:strCache>
                <c:ptCount val="1"/>
                <c:pt idx="0">
                  <c:v>Население в затруднение с плащане на сметките за комунални услуги</c:v>
                </c:pt>
              </c:strCache>
            </c:strRef>
          </c:tx>
          <c:spPr>
            <a:ln w="28575" cap="rnd">
              <a:solidFill>
                <a:srgbClr val="00B0F0"/>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Sheet1!$B$100:$K$100</c:f>
              <c:strCache>
                <c:ptCount val="10"/>
                <c:pt idx="0">
                  <c:v>2014</c:v>
                </c:pt>
                <c:pt idx="1">
                  <c:v>2015</c:v>
                </c:pt>
                <c:pt idx="2">
                  <c:v>2016</c:v>
                </c:pt>
                <c:pt idx="3">
                  <c:v>2017</c:v>
                </c:pt>
                <c:pt idx="4">
                  <c:v>2018</c:v>
                </c:pt>
                <c:pt idx="5">
                  <c:v>2019</c:v>
                </c:pt>
                <c:pt idx="6">
                  <c:v>2020</c:v>
                </c:pt>
                <c:pt idx="7">
                  <c:v>2021</c:v>
                </c:pt>
                <c:pt idx="8">
                  <c:v>2022</c:v>
                </c:pt>
                <c:pt idx="9">
                  <c:v>2023</c:v>
                </c:pt>
              </c:strCache>
            </c:strRef>
          </c:cat>
          <c:val>
            <c:numRef>
              <c:f>Sheet1!$B$102:$K$102</c:f>
              <c:numCache>
                <c:formatCode>#\ ##0.##########</c:formatCode>
                <c:ptCount val="10"/>
                <c:pt idx="0">
                  <c:v>32.9</c:v>
                </c:pt>
                <c:pt idx="1">
                  <c:v>31.4</c:v>
                </c:pt>
                <c:pt idx="2">
                  <c:v>31.7</c:v>
                </c:pt>
                <c:pt idx="3">
                  <c:v>31.1</c:v>
                </c:pt>
                <c:pt idx="4">
                  <c:v>30.1</c:v>
                </c:pt>
                <c:pt idx="5">
                  <c:v>27.6</c:v>
                </c:pt>
                <c:pt idx="6">
                  <c:v>22.2</c:v>
                </c:pt>
                <c:pt idx="7">
                  <c:v>19.2</c:v>
                </c:pt>
                <c:pt idx="8">
                  <c:v>18.8</c:v>
                </c:pt>
                <c:pt idx="9">
                  <c:v>17.8</c:v>
                </c:pt>
              </c:numCache>
            </c:numRef>
          </c:val>
          <c:smooth val="0"/>
          <c:extLst>
            <c:ext xmlns:c16="http://schemas.microsoft.com/office/drawing/2014/chart" uri="{C3380CC4-5D6E-409C-BE32-E72D297353CC}">
              <c16:uniqueId val="{00000001-C9C5-4925-AE89-F38CA5826D25}"/>
            </c:ext>
          </c:extLst>
        </c:ser>
        <c:ser>
          <c:idx val="2"/>
          <c:order val="2"/>
          <c:tx>
            <c:strRef>
              <c:f>Sheet1!$A$103</c:f>
              <c:strCache>
                <c:ptCount val="1"/>
                <c:pt idx="0">
                  <c:v>Население, живеещо в жилище с течащ покрив, влажни стени, подове или основи, или гниене в рамките на прозорците или пода</c:v>
                </c:pt>
              </c:strCache>
            </c:strRef>
          </c:tx>
          <c:spPr>
            <a:ln w="28575" cap="rnd">
              <a:solidFill>
                <a:schemeClr val="accent6"/>
              </a:solidFill>
              <a:round/>
            </a:ln>
            <a:effectLst/>
          </c:spPr>
          <c:marker>
            <c:symbol val="none"/>
          </c:marker>
          <c:dPt>
            <c:idx val="9"/>
            <c:marker>
              <c:symbol val="circle"/>
              <c:size val="5"/>
              <c:spPr>
                <a:solidFill>
                  <a:schemeClr val="accent6"/>
                </a:solidFill>
                <a:ln w="9525">
                  <a:solidFill>
                    <a:schemeClr val="accent6"/>
                  </a:solidFill>
                </a:ln>
                <a:effectLst/>
              </c:spPr>
            </c:marker>
            <c:bubble3D val="0"/>
            <c:extLst>
              <c:ext xmlns:c16="http://schemas.microsoft.com/office/drawing/2014/chart" uri="{C3380CC4-5D6E-409C-BE32-E72D297353CC}">
                <c16:uniqueId val="{00000002-C9C5-4925-AE89-F38CA5826D25}"/>
              </c:ext>
            </c:extLst>
          </c:dPt>
          <c:dLbls>
            <c:spPr>
              <a:noFill/>
              <a:ln>
                <a:noFill/>
              </a:ln>
              <a:effectLst/>
            </c:spPr>
            <c:txPr>
              <a:bodyPr rot="0" spcFirstLastPara="1" vertOverflow="ellipsis" vert="horz" wrap="square" lIns="38100" tIns="19050" rIns="38100" bIns="19050"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Sheet1!$B$100:$K$100</c:f>
              <c:strCache>
                <c:ptCount val="10"/>
                <c:pt idx="0">
                  <c:v>2014</c:v>
                </c:pt>
                <c:pt idx="1">
                  <c:v>2015</c:v>
                </c:pt>
                <c:pt idx="2">
                  <c:v>2016</c:v>
                </c:pt>
                <c:pt idx="3">
                  <c:v>2017</c:v>
                </c:pt>
                <c:pt idx="4">
                  <c:v>2018</c:v>
                </c:pt>
                <c:pt idx="5">
                  <c:v>2019</c:v>
                </c:pt>
                <c:pt idx="6">
                  <c:v>2020</c:v>
                </c:pt>
                <c:pt idx="7">
                  <c:v>2021</c:v>
                </c:pt>
                <c:pt idx="8">
                  <c:v>2022</c:v>
                </c:pt>
                <c:pt idx="9">
                  <c:v>2023</c:v>
                </c:pt>
              </c:strCache>
            </c:strRef>
          </c:cat>
          <c:val>
            <c:numRef>
              <c:f>Sheet1!$B$103:$K$103</c:f>
              <c:numCache>
                <c:formatCode>#\ ##0.##########</c:formatCode>
                <c:ptCount val="10"/>
                <c:pt idx="0">
                  <c:v>13.2</c:v>
                </c:pt>
                <c:pt idx="1">
                  <c:v>12.9</c:v>
                </c:pt>
                <c:pt idx="2">
                  <c:v>12.3</c:v>
                </c:pt>
                <c:pt idx="3">
                  <c:v>12.2</c:v>
                </c:pt>
                <c:pt idx="4" formatCode="#\ ##0.0">
                  <c:v>13</c:v>
                </c:pt>
                <c:pt idx="5">
                  <c:v>11.6</c:v>
                </c:pt>
                <c:pt idx="6" formatCode="#\ ##0.0">
                  <c:v>11</c:v>
                </c:pt>
                <c:pt idx="9">
                  <c:v>8.4</c:v>
                </c:pt>
              </c:numCache>
            </c:numRef>
          </c:val>
          <c:smooth val="0"/>
          <c:extLst>
            <c:ext xmlns:c16="http://schemas.microsoft.com/office/drawing/2014/chart" uri="{C3380CC4-5D6E-409C-BE32-E72D297353CC}">
              <c16:uniqueId val="{00000003-C9C5-4925-AE89-F38CA5826D25}"/>
            </c:ext>
          </c:extLst>
        </c:ser>
        <c:dLbls>
          <c:showLegendKey val="0"/>
          <c:showVal val="0"/>
          <c:showCatName val="0"/>
          <c:showSerName val="0"/>
          <c:showPercent val="0"/>
          <c:showBubbleSize val="0"/>
        </c:dLbls>
        <c:smooth val="0"/>
        <c:axId val="549116832"/>
        <c:axId val="549126912"/>
      </c:lineChart>
      <c:catAx>
        <c:axId val="549116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crossAx val="549126912"/>
        <c:crosses val="autoZero"/>
        <c:auto val="1"/>
        <c:lblAlgn val="ctr"/>
        <c:lblOffset val="100"/>
        <c:noMultiLvlLbl val="0"/>
      </c:catAx>
      <c:valAx>
        <c:axId val="549126912"/>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crossAx val="549116832"/>
        <c:crosses val="autoZero"/>
        <c:crossBetween val="between"/>
      </c:valAx>
      <c:spPr>
        <a:noFill/>
        <a:ln>
          <a:noFill/>
        </a:ln>
        <a:effectLst/>
      </c:spPr>
    </c:plotArea>
    <c:legend>
      <c:legendPos val="b"/>
      <c:layout>
        <c:manualLayout>
          <c:xMode val="edge"/>
          <c:yMode val="edge"/>
          <c:x val="0"/>
          <c:y val="0.63538440047935196"/>
          <c:w val="1"/>
          <c:h val="0.342206635935214"/>
        </c:manualLayout>
      </c:layout>
      <c:overlay val="0"/>
      <c:spPr>
        <a:noFill/>
        <a:ln>
          <a:noFill/>
        </a:ln>
        <a:effectLst/>
      </c:spPr>
      <c:txPr>
        <a:bodyPr rot="0" spcFirstLastPara="1" vertOverflow="ellipsis" vert="horz" wrap="square" anchor="ctr" anchorCtr="1"/>
        <a:lstStyle/>
        <a:p>
          <a:pPr>
            <a:defRPr lang="en-US" sz="75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legend>
    <c:plotVisOnly val="1"/>
    <c:dispBlanksAs val="gap"/>
    <c:showDLblsOverMax val="0"/>
    <c:extLst>
      <c:ext uri="{0b15fc19-7d7d-44ad-8c2d-2c3a37ce22c3}">
        <chartProps xmlns="https://web.wps.cn/et/2018/main" chartId="{e879af4f-d0c6-4767-a5e4-52fdb65d0ae7}"/>
      </c:ext>
    </c:extLst>
  </c:chart>
  <c:spPr>
    <a:solidFill>
      <a:schemeClr val="bg1"/>
    </a:solidFill>
    <a:ln w="9525" cap="flat" cmpd="sng" algn="ctr">
      <a:solidFill>
        <a:schemeClr val="tx1">
          <a:lumMod val="15000"/>
          <a:lumOff val="85000"/>
        </a:schemeClr>
      </a:solidFill>
      <a:round/>
    </a:ln>
    <a:effectLst/>
  </c:spPr>
  <c:txPr>
    <a:bodyPr/>
    <a:lstStyle/>
    <a:p>
      <a:pPr>
        <a:defRPr lang="en-US" sz="800">
          <a:solidFill>
            <a:srgbClr val="FF0000"/>
          </a:solidFill>
          <a:latin typeface="Times New Roman" panose="02020603050405020304" charset="0"/>
          <a:cs typeface="Times New Roman" panose="02020603050405020304" charset="0"/>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800" b="1" i="0" u="none" strike="noStrike" kern="1200" spc="0" baseline="0">
                <a:solidFill>
                  <a:schemeClr val="tx1"/>
                </a:solidFill>
                <a:latin typeface="Arial" panose="020B0604020202020204" pitchFamily="2" charset="0"/>
                <a:ea typeface="+mn-ea"/>
                <a:cs typeface="Times New Roman" panose="02020603050405020304" charset="0"/>
              </a:defRPr>
            </a:pPr>
            <a:r>
              <a:rPr lang="bg-BG" sz="800" b="1" baseline="0">
                <a:solidFill>
                  <a:schemeClr val="tx1"/>
                </a:solidFill>
                <a:latin typeface="Arial" panose="020B0604020202020204" pitchFamily="2" charset="0"/>
              </a:rPr>
              <a:t>ЕС-27</a:t>
            </a:r>
            <a:endParaRPr lang="it-IT" sz="800" b="1" baseline="0">
              <a:solidFill>
                <a:schemeClr val="tx1"/>
              </a:solidFill>
              <a:latin typeface="Arial" panose="020B0604020202020204" pitchFamily="2" charset="0"/>
            </a:endParaRPr>
          </a:p>
        </c:rich>
      </c:tx>
      <c:overlay val="0"/>
      <c:spPr>
        <a:noFill/>
        <a:ln>
          <a:noFill/>
        </a:ln>
        <a:effectLst/>
      </c:spPr>
      <c:txPr>
        <a:bodyPr rot="0" spcFirstLastPara="1" vertOverflow="ellipsis" vert="horz" wrap="square" anchor="ctr" anchorCtr="1"/>
        <a:lstStyle/>
        <a:p>
          <a:pPr>
            <a:defRPr lang="en-US" sz="800" b="1" i="0" u="none" strike="noStrike" kern="1200" spc="0" baseline="0">
              <a:solidFill>
                <a:schemeClr val="tx1"/>
              </a:solidFill>
              <a:latin typeface="Arial" panose="020B0604020202020204" pitchFamily="2" charset="0"/>
              <a:ea typeface="+mn-ea"/>
              <a:cs typeface="Times New Roman" panose="02020603050405020304" charset="0"/>
            </a:defRPr>
          </a:pPr>
          <a:endParaRPr lang="en-US"/>
        </a:p>
      </c:txPr>
    </c:title>
    <c:autoTitleDeleted val="0"/>
    <c:plotArea>
      <c:layout>
        <c:manualLayout>
          <c:layoutTarget val="inner"/>
          <c:xMode val="edge"/>
          <c:yMode val="edge"/>
          <c:x val="9.5356716774039604E-2"/>
          <c:y val="8.4575310439136298E-2"/>
          <c:w val="0.86297661655929403"/>
          <c:h val="0.46043274002514401"/>
        </c:manualLayout>
      </c:layout>
      <c:lineChart>
        <c:grouping val="standard"/>
        <c:varyColors val="0"/>
        <c:ser>
          <c:idx val="0"/>
          <c:order val="0"/>
          <c:tx>
            <c:strRef>
              <c:f>Sheet1!$A$106</c:f>
              <c:strCache>
                <c:ptCount val="1"/>
                <c:pt idx="0">
                  <c:v>Население в невъзможност за поддържане на адекватна топлина в дома</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Sheet1!$B$105:$J$105</c:f>
              <c:strCache>
                <c:ptCount val="9"/>
                <c:pt idx="0">
                  <c:v>2014</c:v>
                </c:pt>
                <c:pt idx="1">
                  <c:v>2015</c:v>
                </c:pt>
                <c:pt idx="2">
                  <c:v>2016</c:v>
                </c:pt>
                <c:pt idx="3">
                  <c:v>2017</c:v>
                </c:pt>
                <c:pt idx="4">
                  <c:v>2018</c:v>
                </c:pt>
                <c:pt idx="5">
                  <c:v>2019</c:v>
                </c:pt>
                <c:pt idx="6">
                  <c:v>2020</c:v>
                </c:pt>
                <c:pt idx="7">
                  <c:v>2021</c:v>
                </c:pt>
                <c:pt idx="8">
                  <c:v>2022</c:v>
                </c:pt>
              </c:strCache>
            </c:strRef>
          </c:cat>
          <c:val>
            <c:numRef>
              <c:f>Sheet1!$B$106:$J$106</c:f>
              <c:numCache>
                <c:formatCode>#\ ##0.##########</c:formatCode>
                <c:ptCount val="9"/>
                <c:pt idx="0">
                  <c:v>10.4</c:v>
                </c:pt>
                <c:pt idx="1">
                  <c:v>9.6</c:v>
                </c:pt>
                <c:pt idx="2" formatCode="#\ ##0.0">
                  <c:v>9</c:v>
                </c:pt>
                <c:pt idx="3">
                  <c:v>8.1</c:v>
                </c:pt>
                <c:pt idx="4">
                  <c:v>7.6</c:v>
                </c:pt>
                <c:pt idx="5">
                  <c:v>6.9</c:v>
                </c:pt>
                <c:pt idx="6">
                  <c:v>7.5</c:v>
                </c:pt>
                <c:pt idx="7">
                  <c:v>6.9</c:v>
                </c:pt>
                <c:pt idx="8">
                  <c:v>9.3000000000000007</c:v>
                </c:pt>
              </c:numCache>
            </c:numRef>
          </c:val>
          <c:smooth val="0"/>
          <c:extLst>
            <c:ext xmlns:c16="http://schemas.microsoft.com/office/drawing/2014/chart" uri="{C3380CC4-5D6E-409C-BE32-E72D297353CC}">
              <c16:uniqueId val="{00000000-A86A-4AE3-A623-F3DD88450C95}"/>
            </c:ext>
          </c:extLst>
        </c:ser>
        <c:ser>
          <c:idx val="1"/>
          <c:order val="1"/>
          <c:tx>
            <c:strRef>
              <c:f>Sheet1!$A$107</c:f>
              <c:strCache>
                <c:ptCount val="1"/>
                <c:pt idx="0">
                  <c:v>Население в затруднение с плащане на сметките за комунални услуги</c:v>
                </c:pt>
              </c:strCache>
            </c:strRef>
          </c:tx>
          <c:spPr>
            <a:ln w="28575" cap="rnd">
              <a:solidFill>
                <a:srgbClr val="00B0F0"/>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Sheet1!$B$105:$J$105</c:f>
              <c:strCache>
                <c:ptCount val="9"/>
                <c:pt idx="0">
                  <c:v>2014</c:v>
                </c:pt>
                <c:pt idx="1">
                  <c:v>2015</c:v>
                </c:pt>
                <c:pt idx="2">
                  <c:v>2016</c:v>
                </c:pt>
                <c:pt idx="3">
                  <c:v>2017</c:v>
                </c:pt>
                <c:pt idx="4">
                  <c:v>2018</c:v>
                </c:pt>
                <c:pt idx="5">
                  <c:v>2019</c:v>
                </c:pt>
                <c:pt idx="6">
                  <c:v>2020</c:v>
                </c:pt>
                <c:pt idx="7">
                  <c:v>2021</c:v>
                </c:pt>
                <c:pt idx="8">
                  <c:v>2022</c:v>
                </c:pt>
              </c:strCache>
            </c:strRef>
          </c:cat>
          <c:val>
            <c:numRef>
              <c:f>Sheet1!$B$107:$J$107</c:f>
              <c:numCache>
                <c:formatCode>#\ ##0.##########</c:formatCode>
                <c:ptCount val="9"/>
                <c:pt idx="0">
                  <c:v>10.3</c:v>
                </c:pt>
                <c:pt idx="1">
                  <c:v>9.4</c:v>
                </c:pt>
                <c:pt idx="2">
                  <c:v>8.4</c:v>
                </c:pt>
                <c:pt idx="3">
                  <c:v>7.3</c:v>
                </c:pt>
                <c:pt idx="4">
                  <c:v>6.8</c:v>
                </c:pt>
                <c:pt idx="5">
                  <c:v>6.2</c:v>
                </c:pt>
                <c:pt idx="6">
                  <c:v>6.5</c:v>
                </c:pt>
                <c:pt idx="7">
                  <c:v>6.4</c:v>
                </c:pt>
                <c:pt idx="8">
                  <c:v>6.9</c:v>
                </c:pt>
              </c:numCache>
            </c:numRef>
          </c:val>
          <c:smooth val="0"/>
          <c:extLst>
            <c:ext xmlns:c16="http://schemas.microsoft.com/office/drawing/2014/chart" uri="{C3380CC4-5D6E-409C-BE32-E72D297353CC}">
              <c16:uniqueId val="{00000001-A86A-4AE3-A623-F3DD88450C95}"/>
            </c:ext>
          </c:extLst>
        </c:ser>
        <c:ser>
          <c:idx val="2"/>
          <c:order val="2"/>
          <c:tx>
            <c:strRef>
              <c:f>Sheet1!$A$108</c:f>
              <c:strCache>
                <c:ptCount val="1"/>
                <c:pt idx="0">
                  <c:v>Население, живеещо в жилище с течащ покрив, влажни стени, подове или основи, или гниене в рамките на прозорците или пода</c:v>
                </c:pt>
              </c:strCache>
            </c:strRef>
          </c:tx>
          <c:spPr>
            <a:ln w="28575" cap="rnd">
              <a:solidFill>
                <a:schemeClr val="accent6"/>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Sheet1!$B$105:$J$105</c:f>
              <c:strCache>
                <c:ptCount val="9"/>
                <c:pt idx="0">
                  <c:v>2014</c:v>
                </c:pt>
                <c:pt idx="1">
                  <c:v>2015</c:v>
                </c:pt>
                <c:pt idx="2">
                  <c:v>2016</c:v>
                </c:pt>
                <c:pt idx="3">
                  <c:v>2017</c:v>
                </c:pt>
                <c:pt idx="4">
                  <c:v>2018</c:v>
                </c:pt>
                <c:pt idx="5">
                  <c:v>2019</c:v>
                </c:pt>
                <c:pt idx="6">
                  <c:v>2020</c:v>
                </c:pt>
                <c:pt idx="7">
                  <c:v>2021</c:v>
                </c:pt>
                <c:pt idx="8">
                  <c:v>2022</c:v>
                </c:pt>
              </c:strCache>
            </c:strRef>
          </c:cat>
          <c:val>
            <c:numRef>
              <c:f>Sheet1!$B$108:$J$108</c:f>
              <c:numCache>
                <c:formatCode>#\ ##0.##########</c:formatCode>
                <c:ptCount val="9"/>
                <c:pt idx="0">
                  <c:v>15.8</c:v>
                </c:pt>
                <c:pt idx="1">
                  <c:v>15.3</c:v>
                </c:pt>
                <c:pt idx="2">
                  <c:v>15.4</c:v>
                </c:pt>
                <c:pt idx="3">
                  <c:v>13.3</c:v>
                </c:pt>
                <c:pt idx="4" formatCode="#\ ##0.0">
                  <c:v>14</c:v>
                </c:pt>
                <c:pt idx="5">
                  <c:v>13.2</c:v>
                </c:pt>
              </c:numCache>
            </c:numRef>
          </c:val>
          <c:smooth val="0"/>
          <c:extLst>
            <c:ext xmlns:c16="http://schemas.microsoft.com/office/drawing/2014/chart" uri="{C3380CC4-5D6E-409C-BE32-E72D297353CC}">
              <c16:uniqueId val="{00000002-A86A-4AE3-A623-F3DD88450C95}"/>
            </c:ext>
          </c:extLst>
        </c:ser>
        <c:dLbls>
          <c:showLegendKey val="0"/>
          <c:showVal val="0"/>
          <c:showCatName val="0"/>
          <c:showSerName val="0"/>
          <c:showPercent val="0"/>
          <c:showBubbleSize val="0"/>
        </c:dLbls>
        <c:smooth val="0"/>
        <c:axId val="549116832"/>
        <c:axId val="549126912"/>
      </c:lineChart>
      <c:catAx>
        <c:axId val="549116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crossAx val="549126912"/>
        <c:crosses val="autoZero"/>
        <c:auto val="1"/>
        <c:lblAlgn val="ctr"/>
        <c:lblOffset val="100"/>
        <c:noMultiLvlLbl val="0"/>
      </c:catAx>
      <c:valAx>
        <c:axId val="549126912"/>
        <c:scaling>
          <c:orientation val="minMax"/>
          <c:max val="45"/>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n-US" sz="80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crossAx val="549116832"/>
        <c:crosses val="autoZero"/>
        <c:crossBetween val="between"/>
      </c:valAx>
      <c:spPr>
        <a:noFill/>
        <a:ln>
          <a:noFill/>
        </a:ln>
        <a:effectLst/>
      </c:spPr>
    </c:plotArea>
    <c:legend>
      <c:legendPos val="b"/>
      <c:layout>
        <c:manualLayout>
          <c:xMode val="edge"/>
          <c:yMode val="edge"/>
          <c:x val="1.42030541636841E-3"/>
          <c:y val="0.63538440047935196"/>
          <c:w val="0.98130876844278003"/>
          <c:h val="0.35341111772793099"/>
        </c:manualLayout>
      </c:layout>
      <c:overlay val="0"/>
      <c:spPr>
        <a:noFill/>
        <a:ln>
          <a:noFill/>
        </a:ln>
        <a:effectLst/>
      </c:spPr>
      <c:txPr>
        <a:bodyPr rot="0" spcFirstLastPara="1" vertOverflow="ellipsis" vert="horz" wrap="square" anchor="ctr" anchorCtr="1"/>
        <a:lstStyle/>
        <a:p>
          <a:pPr>
            <a:defRPr lang="en-US" sz="750" b="0" i="0" u="none" strike="noStrike" kern="1200" baseline="0">
              <a:solidFill>
                <a:schemeClr val="tx1"/>
              </a:solidFill>
              <a:latin typeface="Arial" panose="020B0604020202020204" pitchFamily="2" charset="0"/>
              <a:ea typeface="+mn-ea"/>
              <a:cs typeface="Times New Roman" panose="02020603050405020304" charset="0"/>
            </a:defRPr>
          </a:pPr>
          <a:endParaRPr lang="en-US"/>
        </a:p>
      </c:txPr>
    </c:legend>
    <c:plotVisOnly val="1"/>
    <c:dispBlanksAs val="gap"/>
    <c:showDLblsOverMax val="0"/>
    <c:extLst>
      <c:ext uri="{0b15fc19-7d7d-44ad-8c2d-2c3a37ce22c3}">
        <chartProps xmlns="https://web.wps.cn/et/2018/main" chartId="{a425df12-493e-44af-80cf-f17a58478fea}"/>
      </c:ext>
    </c:extLst>
  </c:chart>
  <c:spPr>
    <a:solidFill>
      <a:schemeClr val="bg1"/>
    </a:solidFill>
    <a:ln w="9525" cap="flat" cmpd="sng" algn="ctr">
      <a:solidFill>
        <a:schemeClr val="tx1">
          <a:lumMod val="15000"/>
          <a:lumOff val="85000"/>
        </a:schemeClr>
      </a:solidFill>
      <a:round/>
    </a:ln>
    <a:effectLst/>
  </c:spPr>
  <c:txPr>
    <a:bodyPr/>
    <a:lstStyle/>
    <a:p>
      <a:pPr>
        <a:defRPr lang="en-US" sz="800">
          <a:solidFill>
            <a:srgbClr val="FF0000"/>
          </a:solidFill>
          <a:latin typeface="Times New Roman" panose="02020603050405020304" charset="0"/>
          <a:cs typeface="Times New Roman" panose="02020603050405020304"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'Таблица №3'!$M$6</c:f>
              <c:strCache>
                <c:ptCount val="1"/>
                <c:pt idx="0">
                  <c:v>Обитавани сгради</c:v>
                </c:pt>
              </c:strCache>
            </c:strRef>
          </c:tx>
          <c:spPr>
            <a:solidFill>
              <a:schemeClr val="accent1"/>
            </a:solidFill>
            <a:ln>
              <a:noFill/>
            </a:ln>
            <a:effectLst/>
          </c:spPr>
          <c:invertIfNegative val="0"/>
          <c:dLbls>
            <c:dLbl>
              <c:idx val="4"/>
              <c:layout>
                <c:manualLayout>
                  <c:x val="1.38888888888888E-2"/>
                  <c:y val="8.487556272013329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852-48BC-A85C-A082FBC00DC7}"/>
                </c:ext>
              </c:extLst>
            </c:dLbl>
            <c:dLbl>
              <c:idx val="5"/>
              <c:layout>
                <c:manualLayout>
                  <c:x val="2.4999999999999901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852-48BC-A85C-A082FBC00DC7}"/>
                </c:ext>
              </c:extLst>
            </c:dLbl>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chemeClr val="bg1"/>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'Таблица №3'!$C$8:$C$15</c:f>
              <c:strCache>
                <c:ptCount val="8"/>
                <c:pt idx="0">
                  <c:v>Къща</c:v>
                </c:pt>
                <c:pt idx="1">
                  <c:v>Жилищен блок, кооперация</c:v>
                </c:pt>
                <c:pt idx="2">
                  <c:v>Сграда от смесен тип (над 60% жилищна площ)</c:v>
                </c:pt>
                <c:pt idx="3">
                  <c:v>Общежитие</c:v>
                </c:pt>
                <c:pt idx="4">
                  <c:v>Вила</c:v>
                </c:pt>
                <c:pt idx="5">
                  <c:v>Лятна кухня</c:v>
                </c:pt>
                <c:pt idx="6">
                  <c:v>Сграда за колективно домакинство</c:v>
                </c:pt>
                <c:pt idx="7">
                  <c:v>Общо</c:v>
                </c:pt>
              </c:strCache>
            </c:strRef>
          </c:cat>
          <c:val>
            <c:numRef>
              <c:f>'Таблица №3'!$M$8:$M$15</c:f>
              <c:numCache>
                <c:formatCode>0.0%</c:formatCode>
                <c:ptCount val="8"/>
                <c:pt idx="0">
                  <c:v>0.57332739336574501</c:v>
                </c:pt>
                <c:pt idx="1">
                  <c:v>0.92859370127845298</c:v>
                </c:pt>
                <c:pt idx="2">
                  <c:v>0.71742313323572504</c:v>
                </c:pt>
                <c:pt idx="3">
                  <c:v>0.55772357723577204</c:v>
                </c:pt>
                <c:pt idx="4">
                  <c:v>6.0050026473863899E-2</c:v>
                </c:pt>
                <c:pt idx="5">
                  <c:v>0</c:v>
                </c:pt>
                <c:pt idx="6">
                  <c:v>0.95659163987138296</c:v>
                </c:pt>
                <c:pt idx="7">
                  <c:v>0.54305807346825696</c:v>
                </c:pt>
              </c:numCache>
            </c:numRef>
          </c:val>
          <c:extLst>
            <c:ext xmlns:c16="http://schemas.microsoft.com/office/drawing/2014/chart" uri="{C3380CC4-5D6E-409C-BE32-E72D297353CC}">
              <c16:uniqueId val="{00000002-C852-48BC-A85C-A082FBC00DC7}"/>
            </c:ext>
          </c:extLst>
        </c:ser>
        <c:ser>
          <c:idx val="1"/>
          <c:order val="1"/>
          <c:tx>
            <c:strRef>
              <c:f>'Таблица №3'!$N$6</c:f>
              <c:strCache>
                <c:ptCount val="1"/>
                <c:pt idx="0">
                  <c:v>Необитавани сгради</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chemeClr val="bg1"/>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'Таблица №3'!$C$8:$C$15</c:f>
              <c:strCache>
                <c:ptCount val="8"/>
                <c:pt idx="0">
                  <c:v>Къща</c:v>
                </c:pt>
                <c:pt idx="1">
                  <c:v>Жилищен блок, кооперация</c:v>
                </c:pt>
                <c:pt idx="2">
                  <c:v>Сграда от смесен тип (над 60% жилищна площ)</c:v>
                </c:pt>
                <c:pt idx="3">
                  <c:v>Общежитие</c:v>
                </c:pt>
                <c:pt idx="4">
                  <c:v>Вила</c:v>
                </c:pt>
                <c:pt idx="5">
                  <c:v>Лятна кухня</c:v>
                </c:pt>
                <c:pt idx="6">
                  <c:v>Сграда за колективно домакинство</c:v>
                </c:pt>
                <c:pt idx="7">
                  <c:v>Общо</c:v>
                </c:pt>
              </c:strCache>
            </c:strRef>
          </c:cat>
          <c:val>
            <c:numRef>
              <c:f>'Таблица №3'!$N$8:$N$15</c:f>
              <c:numCache>
                <c:formatCode>0.0%</c:formatCode>
                <c:ptCount val="8"/>
                <c:pt idx="0">
                  <c:v>0.42667260663425499</c:v>
                </c:pt>
                <c:pt idx="1">
                  <c:v>7.1406298721546593E-2</c:v>
                </c:pt>
                <c:pt idx="2">
                  <c:v>0.28257686676427501</c:v>
                </c:pt>
                <c:pt idx="3">
                  <c:v>0.44227642276422802</c:v>
                </c:pt>
                <c:pt idx="4">
                  <c:v>0.93994997352613596</c:v>
                </c:pt>
                <c:pt idx="5">
                  <c:v>1</c:v>
                </c:pt>
                <c:pt idx="6">
                  <c:v>4.3408360128617401E-2</c:v>
                </c:pt>
                <c:pt idx="7">
                  <c:v>0.45694192653174298</c:v>
                </c:pt>
              </c:numCache>
            </c:numRef>
          </c:val>
          <c:extLst>
            <c:ext xmlns:c16="http://schemas.microsoft.com/office/drawing/2014/chart" uri="{C3380CC4-5D6E-409C-BE32-E72D297353CC}">
              <c16:uniqueId val="{00000003-C852-48BC-A85C-A082FBC00DC7}"/>
            </c:ext>
          </c:extLst>
        </c:ser>
        <c:dLbls>
          <c:showLegendKey val="0"/>
          <c:showVal val="0"/>
          <c:showCatName val="0"/>
          <c:showSerName val="0"/>
          <c:showPercent val="0"/>
          <c:showBubbleSize val="0"/>
        </c:dLbls>
        <c:gapWidth val="150"/>
        <c:overlap val="100"/>
        <c:axId val="979761967"/>
        <c:axId val="979775887"/>
      </c:barChart>
      <c:catAx>
        <c:axId val="97976196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800" b="1"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en-US"/>
          </a:p>
        </c:txPr>
        <c:crossAx val="979775887"/>
        <c:crosses val="autoZero"/>
        <c:auto val="1"/>
        <c:lblAlgn val="ctr"/>
        <c:lblOffset val="100"/>
        <c:noMultiLvlLbl val="0"/>
      </c:catAx>
      <c:valAx>
        <c:axId val="979775887"/>
        <c:scaling>
          <c:orientation val="minMax"/>
          <c:max val="1"/>
        </c:scaling>
        <c:delete val="0"/>
        <c:axPos val="t"/>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en-US"/>
          </a:p>
        </c:txPr>
        <c:crossAx val="9797619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1"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5fa9276a-3721-4b60-a6d4-4261b3183cb3}"/>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111111111111097E-2"/>
          <c:y val="0.108796296296296"/>
          <c:w val="0.50277777777777799"/>
          <c:h val="0.83796296296296302"/>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80B-4425-880A-4EFF1FEAF73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80B-4425-880A-4EFF1FEAF73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80B-4425-880A-4EFF1FEAF73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80B-4425-880A-4EFF1FEAF73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80B-4425-880A-4EFF1FEAF731}"/>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80B-4425-880A-4EFF1FEAF731}"/>
              </c:ext>
            </c:extLst>
          </c:dPt>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('Таблица №3'!$C$8:$C$12,'Таблица №3'!$C$14)</c:f>
              <c:strCache>
                <c:ptCount val="6"/>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strCache>
            </c:strRef>
          </c:cat>
          <c:val>
            <c:numRef>
              <c:f>('Таблица №3'!$I$8:$I$12,'Таблица №3'!$I$14)</c:f>
              <c:numCache>
                <c:formatCode>0.0%</c:formatCode>
                <c:ptCount val="6"/>
                <c:pt idx="0">
                  <c:v>0.45695266096878501</c:v>
                </c:pt>
                <c:pt idx="1">
                  <c:v>0.52674606794113499</c:v>
                </c:pt>
                <c:pt idx="2">
                  <c:v>8.7796363593948806E-3</c:v>
                </c:pt>
                <c:pt idx="3">
                  <c:v>2.8226752681328598E-3</c:v>
                </c:pt>
                <c:pt idx="4">
                  <c:v>2.76468756155656E-3</c:v>
                </c:pt>
                <c:pt idx="5">
                  <c:v>1.93427190099523E-3</c:v>
                </c:pt>
              </c:numCache>
            </c:numRef>
          </c:val>
          <c:extLst>
            <c:ext xmlns:c16="http://schemas.microsoft.com/office/drawing/2014/chart" uri="{C3380CC4-5D6E-409C-BE32-E72D297353CC}">
              <c16:uniqueId val="{0000000C-A80B-4425-880A-4EFF1FEAF731}"/>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0134015562978305"/>
          <c:y val="4.83589167945154E-2"/>
          <c:w val="0.372685770330413"/>
          <c:h val="0.93813696780408595"/>
        </c:manualLayout>
      </c:layout>
      <c:overlay val="0"/>
      <c:spPr>
        <a:noFill/>
        <a:ln>
          <a:noFill/>
        </a:ln>
        <a:effectLst/>
      </c:spPr>
      <c:txPr>
        <a:bodyPr rot="0" spcFirstLastPara="1" vertOverflow="ellipsis" vert="horz" wrap="square" anchor="ctr" anchorCtr="1"/>
        <a:lstStyle/>
        <a:p>
          <a:pPr>
            <a:defRPr lang="en-US" sz="7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75192755-5181-47fc-8a42-e6532dcbaa30}"/>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lgn="just">
        <a:defRPr lang="en-US"/>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96411900608232E-2"/>
          <c:y val="0.15668746423998001"/>
          <c:w val="0.54499662093136603"/>
          <c:h val="0.75582922376917405"/>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04C-43DF-8A20-AE042F46DAF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04C-43DF-8A20-AE042F46DAF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04C-43DF-8A20-AE042F46DAF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04C-43DF-8A20-AE042F46DAFE}"/>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104C-43DF-8A20-AE042F46DAFE}"/>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104C-43DF-8A20-AE042F46DAFE}"/>
              </c:ext>
            </c:extLst>
          </c:dPt>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('Таблица №3, Фиг 2,3,4'!$C$8:$C$12,'Таблица №3, Фиг 2,3,4'!$C$14)</c:f>
              <c:strCache>
                <c:ptCount val="6"/>
                <c:pt idx="0">
                  <c:v>Къща</c:v>
                </c:pt>
                <c:pt idx="1">
                  <c:v>Жилищен блок, кооперация</c:v>
                </c:pt>
                <c:pt idx="2">
                  <c:v>Сграда от смесен тип (над 60% жилищна площ)</c:v>
                </c:pt>
                <c:pt idx="3">
                  <c:v>Общежитие</c:v>
                </c:pt>
                <c:pt idx="4">
                  <c:v>Вила</c:v>
                </c:pt>
                <c:pt idx="5">
                  <c:v>Сграда за колективно домакинство</c:v>
                </c:pt>
              </c:strCache>
            </c:strRef>
          </c:cat>
          <c:val>
            <c:numRef>
              <c:f>('Таблица №3, Фиг 2,3,4'!$K$8:$K$12,'Таблица №3, Фиг 2,3,4'!$K$14)</c:f>
              <c:numCache>
                <c:formatCode>0.0%</c:formatCode>
                <c:ptCount val="6"/>
                <c:pt idx="0">
                  <c:v>0.401727875105029</c:v>
                </c:pt>
                <c:pt idx="1">
                  <c:v>0.57931538165679197</c:v>
                </c:pt>
                <c:pt idx="2">
                  <c:v>8.7998898624700797E-3</c:v>
                </c:pt>
                <c:pt idx="3">
                  <c:v>7.60992299633348E-3</c:v>
                </c:pt>
                <c:pt idx="4">
                  <c:v>2.2860945812211799E-3</c:v>
                </c:pt>
                <c:pt idx="5">
                  <c:v>2.60835798154456E-4</c:v>
                </c:pt>
              </c:numCache>
            </c:numRef>
          </c:val>
          <c:extLst>
            <c:ext xmlns:c16="http://schemas.microsoft.com/office/drawing/2014/chart" uri="{C3380CC4-5D6E-409C-BE32-E72D297353CC}">
              <c16:uniqueId val="{0000000C-104C-43DF-8A20-AE042F46DAFE}"/>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58934886133245301"/>
          <c:y val="3.12285099310683E-2"/>
          <c:w val="0.39568107878730702"/>
          <c:h val="0.93754298013786397"/>
        </c:manualLayout>
      </c:layout>
      <c:overlay val="0"/>
      <c:spPr>
        <a:noFill/>
        <a:ln>
          <a:noFill/>
        </a:ln>
        <a:effectLst/>
      </c:spPr>
      <c:txPr>
        <a:bodyPr rot="0" spcFirstLastPara="1" vertOverflow="ellipsis" vert="horz" wrap="square" anchor="ctr" anchorCtr="1"/>
        <a:lstStyle/>
        <a:p>
          <a:pPr>
            <a:defRPr lang="en-US" sz="7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b32eb7b3-af85-4b67-a215-59376fe30cb6}"/>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5DA-49DC-850A-9AAE67CD408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5DA-49DC-850A-9AAE67CD408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5DA-49DC-850A-9AAE67CD408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5DA-49DC-850A-9AAE67CD408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5DA-49DC-850A-9AAE67CD408C}"/>
              </c:ext>
            </c:extLst>
          </c:dPt>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'Таблица 4'!$E$5:$I$5</c:f>
              <c:strCache>
                <c:ptCount val="5"/>
                <c:pt idx="0">
                  <c:v> Тухлена (с бетонна плоча)</c:v>
                </c:pt>
                <c:pt idx="1">
                  <c:v>Тухлена (с гредоред без стоманобетон) </c:v>
                </c:pt>
                <c:pt idx="2">
                  <c:v>Стоманобетонна (с плоча и колони) </c:v>
                </c:pt>
                <c:pt idx="3">
                  <c:v>От панели (готови сглобяеми елементи) </c:v>
                </c:pt>
                <c:pt idx="4">
                  <c:v>Друга </c:v>
                </c:pt>
              </c:strCache>
            </c:strRef>
          </c:cat>
          <c:val>
            <c:numRef>
              <c:f>'Таблица 4'!$E$14:$I$14</c:f>
              <c:numCache>
                <c:formatCode>0.0%</c:formatCode>
                <c:ptCount val="5"/>
                <c:pt idx="0">
                  <c:v>0.49091136170854899</c:v>
                </c:pt>
                <c:pt idx="1">
                  <c:v>0.38016857216703198</c:v>
                </c:pt>
                <c:pt idx="2">
                  <c:v>2.8441132441382199E-2</c:v>
                </c:pt>
                <c:pt idx="3">
                  <c:v>9.9845790639543908E-3</c:v>
                </c:pt>
                <c:pt idx="4">
                  <c:v>9.0494354619082104E-2</c:v>
                </c:pt>
              </c:numCache>
            </c:numRef>
          </c:val>
          <c:extLst>
            <c:ext xmlns:c16="http://schemas.microsoft.com/office/drawing/2014/chart" uri="{C3380CC4-5D6E-409C-BE32-E72D297353CC}">
              <c16:uniqueId val="{0000000A-65DA-49DC-850A-9AAE67CD408C}"/>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1c754bcf-fe94-49c5-b021-1c8098bbc42e}"/>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483798238575197E-2"/>
          <c:y val="7.3491199345856906E-2"/>
          <c:w val="0.54884442376299103"/>
          <c:h val="0.86661768307616904"/>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2A3-4569-9AF3-B5B3F72368A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2A3-4569-9AF3-B5B3F72368A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2A3-4569-9AF3-B5B3F72368AC}"/>
              </c:ext>
            </c:extLst>
          </c:dPt>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'Таблица 5, Фиг 6'!$P$5:$R$5</c:f>
              <c:strCache>
                <c:ptCount val="3"/>
                <c:pt idx="0">
                  <c:v>До 1959 г.</c:v>
                </c:pt>
                <c:pt idx="1">
                  <c:v>от 1960 до 1999 г.</c:v>
                </c:pt>
                <c:pt idx="2">
                  <c:v>от 2000 до 2021 г.</c:v>
                </c:pt>
              </c:strCache>
            </c:strRef>
          </c:cat>
          <c:val>
            <c:numRef>
              <c:f>'Таблица 5, Фиг 6'!$P$6:$R$6</c:f>
              <c:numCache>
                <c:formatCode>0.0%</c:formatCode>
                <c:ptCount val="3"/>
                <c:pt idx="0">
                  <c:v>0.30194591744161597</c:v>
                </c:pt>
                <c:pt idx="1">
                  <c:v>0.61455032099484996</c:v>
                </c:pt>
                <c:pt idx="2">
                  <c:v>8.3503761563533702E-2</c:v>
                </c:pt>
              </c:numCache>
            </c:numRef>
          </c:val>
          <c:extLst>
            <c:ext xmlns:c16="http://schemas.microsoft.com/office/drawing/2014/chart" uri="{C3380CC4-5D6E-409C-BE32-E72D297353CC}">
              <c16:uniqueId val="{00000006-12A3-4569-9AF3-B5B3F72368AC}"/>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2967771085997004"/>
          <c:y val="0.188156918539506"/>
          <c:w val="0.27403431248618398"/>
          <c:h val="0.62939917504495702"/>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d5ec3bb8-4b13-4d64-8c56-b8c7e338f3f1}"/>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'Таблица 5, Фиг 6'!$B$32</c:f>
              <c:strCache>
                <c:ptCount val="1"/>
                <c:pt idx="0">
                  <c:v>До 1959 г.</c:v>
                </c:pt>
              </c:strCache>
            </c:strRef>
          </c:tx>
          <c:spPr>
            <a:solidFill>
              <a:schemeClr val="accent1"/>
            </a:solidFill>
            <a:ln>
              <a:noFill/>
            </a:ln>
            <a:effectLst/>
          </c:spPr>
          <c:invertIfNegative val="0"/>
          <c:dLbls>
            <c:dLbl>
              <c:idx val="1"/>
              <c:layout>
                <c:manualLayout>
                  <c:x val="1.2111425111021401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79E-4D89-9D21-0AA4043B420C}"/>
                </c:ext>
              </c:extLst>
            </c:dLbl>
            <c:dLbl>
              <c:idx val="3"/>
              <c:layout>
                <c:manualLayout>
                  <c:x val="1.61485668146952E-2"/>
                  <c:y val="5.0186481104705103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79E-4D89-9D21-0AA4043B420C}"/>
                </c:ext>
              </c:extLst>
            </c:dLbl>
            <c:dLbl>
              <c:idx val="4"/>
              <c:layout>
                <c:manualLayout>
                  <c:x val="2.4222850222042801E-2"/>
                  <c:y val="-6.9388939039072299E-18"/>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0.112333308962137"/>
                      <c:h val="7.6567420586251003E-2"/>
                    </c:manualLayout>
                  </c15:layout>
                </c:ext>
                <c:ext xmlns:c16="http://schemas.microsoft.com/office/drawing/2014/chart" uri="{C3380CC4-5D6E-409C-BE32-E72D297353CC}">
                  <c16:uniqueId val="{00000002-979E-4D89-9D21-0AA4043B420C}"/>
                </c:ext>
              </c:extLst>
            </c:dLbl>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'Таблица 5, Фиг 6'!$C$31:$I$31</c:f>
              <c:strCache>
                <c:ptCount val="7"/>
                <c:pt idx="0">
                  <c:v>Къща</c:v>
                </c:pt>
                <c:pt idx="1">
                  <c:v>Жилищен блок, кооперация</c:v>
                </c:pt>
                <c:pt idx="2">
                  <c:v>Сграда от смесен тип (над 60% жилищна площ)</c:v>
                </c:pt>
                <c:pt idx="3">
                  <c:v>Общежитие</c:v>
                </c:pt>
                <c:pt idx="4">
                  <c:v>Вила</c:v>
                </c:pt>
                <c:pt idx="5">
                  <c:v>Лятна кухня</c:v>
                </c:pt>
                <c:pt idx="6">
                  <c:v>Сграда за колективно домакинство</c:v>
                </c:pt>
              </c:strCache>
            </c:strRef>
          </c:cat>
          <c:val>
            <c:numRef>
              <c:f>'Таблица 5, Фиг 6'!$C$32:$I$32</c:f>
              <c:numCache>
                <c:formatCode>0.0%</c:formatCode>
                <c:ptCount val="7"/>
                <c:pt idx="0">
                  <c:v>0.31882986231024502</c:v>
                </c:pt>
                <c:pt idx="1">
                  <c:v>9.6437981092111394E-2</c:v>
                </c:pt>
                <c:pt idx="2">
                  <c:v>0.22326530612244899</c:v>
                </c:pt>
                <c:pt idx="3">
                  <c:v>0.128279883381924</c:v>
                </c:pt>
                <c:pt idx="4">
                  <c:v>3.4052903618121001E-2</c:v>
                </c:pt>
                <c:pt idx="5">
                  <c:v>0</c:v>
                </c:pt>
                <c:pt idx="6">
                  <c:v>0.19327731092437</c:v>
                </c:pt>
              </c:numCache>
            </c:numRef>
          </c:val>
          <c:extLst>
            <c:ext xmlns:c16="http://schemas.microsoft.com/office/drawing/2014/chart" uri="{C3380CC4-5D6E-409C-BE32-E72D297353CC}">
              <c16:uniqueId val="{00000003-979E-4D89-9D21-0AA4043B420C}"/>
            </c:ext>
          </c:extLst>
        </c:ser>
        <c:ser>
          <c:idx val="1"/>
          <c:order val="1"/>
          <c:tx>
            <c:strRef>
              <c:f>'Таблица 5, Фиг 6'!$B$33</c:f>
              <c:strCache>
                <c:ptCount val="1"/>
                <c:pt idx="0">
                  <c:v>от 1960 до 1999 г.</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'Таблица 5, Фиг 6'!$C$31:$I$31</c:f>
              <c:strCache>
                <c:ptCount val="7"/>
                <c:pt idx="0">
                  <c:v>Къща</c:v>
                </c:pt>
                <c:pt idx="1">
                  <c:v>Жилищен блок, кооперация</c:v>
                </c:pt>
                <c:pt idx="2">
                  <c:v>Сграда от смесен тип (над 60% жилищна площ)</c:v>
                </c:pt>
                <c:pt idx="3">
                  <c:v>Общежитие</c:v>
                </c:pt>
                <c:pt idx="4">
                  <c:v>Вила</c:v>
                </c:pt>
                <c:pt idx="5">
                  <c:v>Лятна кухня</c:v>
                </c:pt>
                <c:pt idx="6">
                  <c:v>Сграда за колективно домакинство</c:v>
                </c:pt>
              </c:strCache>
            </c:strRef>
          </c:cat>
          <c:val>
            <c:numRef>
              <c:f>'Таблица 5, Фиг 6'!$C$33:$I$33</c:f>
              <c:numCache>
                <c:formatCode>0.0%</c:formatCode>
                <c:ptCount val="7"/>
                <c:pt idx="0">
                  <c:v>0.61287707022628002</c:v>
                </c:pt>
                <c:pt idx="1">
                  <c:v>0.64209329958154704</c:v>
                </c:pt>
                <c:pt idx="2">
                  <c:v>0.361632653061224</c:v>
                </c:pt>
                <c:pt idx="3">
                  <c:v>0.76676384839650102</c:v>
                </c:pt>
                <c:pt idx="4">
                  <c:v>0.65840681058072403</c:v>
                </c:pt>
                <c:pt idx="5">
                  <c:v>0</c:v>
                </c:pt>
                <c:pt idx="6">
                  <c:v>0.495798319327731</c:v>
                </c:pt>
              </c:numCache>
            </c:numRef>
          </c:val>
          <c:extLst>
            <c:ext xmlns:c16="http://schemas.microsoft.com/office/drawing/2014/chart" uri="{C3380CC4-5D6E-409C-BE32-E72D297353CC}">
              <c16:uniqueId val="{00000004-979E-4D89-9D21-0AA4043B420C}"/>
            </c:ext>
          </c:extLst>
        </c:ser>
        <c:ser>
          <c:idx val="2"/>
          <c:order val="2"/>
          <c:tx>
            <c:strRef>
              <c:f>'Таблица 5, Фиг 6'!$B$34</c:f>
              <c:strCache>
                <c:ptCount val="1"/>
                <c:pt idx="0">
                  <c:v>от 2000 до 2021 г.</c:v>
                </c:pt>
              </c:strCache>
            </c:strRef>
          </c:tx>
          <c:spPr>
            <a:solidFill>
              <a:schemeClr val="accent3"/>
            </a:solidFill>
            <a:ln>
              <a:noFill/>
            </a:ln>
            <a:effectLst/>
          </c:spPr>
          <c:invertIfNegative val="0"/>
          <c:dLbls>
            <c:dLbl>
              <c:idx val="5"/>
              <c:delete val="1"/>
              <c:extLst>
                <c:ext xmlns:c15="http://schemas.microsoft.com/office/drawing/2012/chart" uri="{CE6537A1-D6FC-4f65-9D91-7224C49458BB}"/>
                <c:ext xmlns:c16="http://schemas.microsoft.com/office/drawing/2014/chart" uri="{C3380CC4-5D6E-409C-BE32-E72D297353CC}">
                  <c16:uniqueId val="{00000005-979E-4D89-9D21-0AA4043B420C}"/>
                </c:ext>
              </c:extLst>
            </c:dLbl>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'Таблица 5, Фиг 6'!$C$31:$I$31</c:f>
              <c:strCache>
                <c:ptCount val="7"/>
                <c:pt idx="0">
                  <c:v>Къща</c:v>
                </c:pt>
                <c:pt idx="1">
                  <c:v>Жилищен блок, кооперация</c:v>
                </c:pt>
                <c:pt idx="2">
                  <c:v>Сграда от смесен тип (над 60% жилищна площ)</c:v>
                </c:pt>
                <c:pt idx="3">
                  <c:v>Общежитие</c:v>
                </c:pt>
                <c:pt idx="4">
                  <c:v>Вила</c:v>
                </c:pt>
                <c:pt idx="5">
                  <c:v>Лятна кухня</c:v>
                </c:pt>
                <c:pt idx="6">
                  <c:v>Сграда за колективно домакинство</c:v>
                </c:pt>
              </c:strCache>
            </c:strRef>
          </c:cat>
          <c:val>
            <c:numRef>
              <c:f>'Таблица 5, Фиг 6'!$C$34:$I$34</c:f>
              <c:numCache>
                <c:formatCode>0.0%</c:formatCode>
                <c:ptCount val="7"/>
                <c:pt idx="0">
                  <c:v>6.8293067463475396E-2</c:v>
                </c:pt>
                <c:pt idx="1">
                  <c:v>0.26146871932634203</c:v>
                </c:pt>
                <c:pt idx="2">
                  <c:v>0.41510204081632701</c:v>
                </c:pt>
                <c:pt idx="3">
                  <c:v>0.104956268221574</c:v>
                </c:pt>
                <c:pt idx="4">
                  <c:v>0.307540285801155</c:v>
                </c:pt>
                <c:pt idx="5">
                  <c:v>0</c:v>
                </c:pt>
                <c:pt idx="6">
                  <c:v>0.310924369747899</c:v>
                </c:pt>
              </c:numCache>
            </c:numRef>
          </c:val>
          <c:extLst>
            <c:ext xmlns:c16="http://schemas.microsoft.com/office/drawing/2014/chart" uri="{C3380CC4-5D6E-409C-BE32-E72D297353CC}">
              <c16:uniqueId val="{00000006-979E-4D89-9D21-0AA4043B420C}"/>
            </c:ext>
          </c:extLst>
        </c:ser>
        <c:dLbls>
          <c:showLegendKey val="0"/>
          <c:showVal val="0"/>
          <c:showCatName val="0"/>
          <c:showSerName val="0"/>
          <c:showPercent val="0"/>
          <c:showBubbleSize val="0"/>
        </c:dLbls>
        <c:gapWidth val="150"/>
        <c:overlap val="100"/>
        <c:axId val="277681807"/>
        <c:axId val="277682287"/>
      </c:barChart>
      <c:catAx>
        <c:axId val="277681807"/>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crossAx val="277682287"/>
        <c:crosses val="autoZero"/>
        <c:auto val="1"/>
        <c:lblAlgn val="ctr"/>
        <c:lblOffset val="100"/>
        <c:noMultiLvlLbl val="0"/>
      </c:catAx>
      <c:valAx>
        <c:axId val="277682287"/>
        <c:scaling>
          <c:orientation val="minMax"/>
          <c:max val="1"/>
        </c:scaling>
        <c:delete val="0"/>
        <c:axPos val="t"/>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en-US" sz="8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en-US"/>
          </a:p>
        </c:txPr>
        <c:crossAx val="2776818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4635aa88-dbb9-4ba4-8774-408e3e9e2771}"/>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72003499562599"/>
          <c:y val="0.12731481481481499"/>
          <c:w val="0.46388888888888902"/>
          <c:h val="0.77314814814814803"/>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14B-4A72-A7AE-D3009D79083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14B-4A72-A7AE-D3009D79083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14B-4A72-A7AE-D3009D79083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14B-4A72-A7AE-D3009D79083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114B-4A72-A7AE-D3009D790831}"/>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114B-4A72-A7AE-D3009D790831}"/>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114B-4A72-A7AE-D3009D790831}"/>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114B-4A72-A7AE-D3009D790831}"/>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114B-4A72-A7AE-D3009D790831}"/>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114B-4A72-A7AE-D3009D790831}"/>
              </c:ext>
            </c:extLst>
          </c:dPt>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'Таблица 6, Фиг 8'!$B$5:$B$14</c:f>
              <c:strCache>
                <c:ptCount val="10"/>
                <c:pt idx="0">
                  <c:v>1 етаж</c:v>
                </c:pt>
                <c:pt idx="1">
                  <c:v>2 етажа</c:v>
                </c:pt>
                <c:pt idx="2">
                  <c:v>3 етажа</c:v>
                </c:pt>
                <c:pt idx="3">
                  <c:v>4 етажа</c:v>
                </c:pt>
                <c:pt idx="4">
                  <c:v>5 етажа</c:v>
                </c:pt>
                <c:pt idx="5">
                  <c:v>6 етажа</c:v>
                </c:pt>
                <c:pt idx="6">
                  <c:v>7 етажа</c:v>
                </c:pt>
                <c:pt idx="7">
                  <c:v>8 етажа</c:v>
                </c:pt>
                <c:pt idx="8">
                  <c:v>9 етажа</c:v>
                </c:pt>
                <c:pt idx="9">
                  <c:v>10 и повече етажа</c:v>
                </c:pt>
              </c:strCache>
            </c:strRef>
          </c:cat>
          <c:val>
            <c:numRef>
              <c:f>'Таблица 6, Фиг 8'!$C$5:$C$14</c:f>
              <c:numCache>
                <c:formatCode>0.0%</c:formatCode>
                <c:ptCount val="10"/>
                <c:pt idx="0">
                  <c:v>0.46461337510342798</c:v>
                </c:pt>
                <c:pt idx="1">
                  <c:v>0.41805134182959303</c:v>
                </c:pt>
                <c:pt idx="2">
                  <c:v>6.1473852926942199E-2</c:v>
                </c:pt>
                <c:pt idx="3">
                  <c:v>1.8198092244604801E-2</c:v>
                </c:pt>
                <c:pt idx="4">
                  <c:v>1.4306430825219599E-2</c:v>
                </c:pt>
                <c:pt idx="5">
                  <c:v>9.0652206720336394E-3</c:v>
                </c:pt>
                <c:pt idx="6">
                  <c:v>4.7268898452529004E-3</c:v>
                </c:pt>
                <c:pt idx="7">
                  <c:v>6.1857208029988398E-3</c:v>
                </c:pt>
                <c:pt idx="8">
                  <c:v>1.29837689877864E-3</c:v>
                </c:pt>
                <c:pt idx="9">
                  <c:v>2.0806988511489401E-3</c:v>
                </c:pt>
              </c:numCache>
            </c:numRef>
          </c:val>
          <c:extLst>
            <c:ext xmlns:c16="http://schemas.microsoft.com/office/drawing/2014/chart" uri="{C3380CC4-5D6E-409C-BE32-E72D297353CC}">
              <c16:uniqueId val="{00000014-114B-4A72-A7AE-D3009D790831}"/>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lang="en-US" sz="900" b="1" i="0" u="none" strike="noStrike" kern="1200" baseline="0">
              <a:solidFill>
                <a:sysClr val="windowText" lastClr="000000"/>
              </a:solidFill>
              <a:latin typeface="+mn-lt"/>
              <a:ea typeface="+mn-ea"/>
              <a:cs typeface="+mn-cs"/>
            </a:defRPr>
          </a:pPr>
          <a:endParaRPr lang="en-US"/>
        </a:p>
      </c:txPr>
    </c:legend>
    <c:plotVisOnly val="1"/>
    <c:dispBlanksAs val="gap"/>
    <c:showDLblsOverMax val="0"/>
    <c:extLst>
      <c:ext uri="{0b15fc19-7d7d-44ad-8c2d-2c3a37ce22c3}">
        <chartProps xmlns="https://web.wps.cn/et/2018/main" chartId="{793dcb44-0d3a-4c39-b6ce-f91e24a9bd2a}"/>
      </c:ext>
    </c:extLst>
  </c:chart>
  <c:spPr>
    <a:solidFill>
      <a:schemeClr val="bg2"/>
    </a:solidFill>
    <a:ln w="9525" cap="flat" cmpd="sng" algn="ctr">
      <a:solidFill>
        <a:schemeClr val="tx1">
          <a:lumMod val="15000"/>
          <a:lumOff val="85000"/>
        </a:schemeClr>
      </a:solidFill>
      <a:round/>
    </a:ln>
    <a:effectLst>
      <a:innerShdw blurRad="114300">
        <a:prstClr val="black"/>
      </a:innerShdw>
    </a:effectLst>
  </c:spPr>
  <c:txPr>
    <a:bodyPr/>
    <a:lstStyle/>
    <a:p>
      <a:pPr>
        <a:defRPr lang="en-US"/>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'Жилища Обит Необит'!$N$5</c:f>
              <c:strCache>
                <c:ptCount val="1"/>
                <c:pt idx="0">
                  <c:v>Обитавани</c:v>
                </c:pt>
              </c:strCache>
            </c:strRef>
          </c:tx>
          <c:invertIfNegative val="0"/>
          <c:dLbls>
            <c:spPr>
              <a:noFill/>
              <a:ln>
                <a:noFill/>
              </a:ln>
              <a:effectLst/>
            </c:spPr>
            <c:txPr>
              <a:bodyPr rot="0" spcFirstLastPara="0" vertOverflow="ellipsis" vert="horz" wrap="square" lIns="38100" tIns="19050" rIns="38100" bIns="19050" anchor="ctr" anchorCtr="1">
                <a:spAutoFit/>
              </a:bodyPr>
              <a:lstStyle/>
              <a:p>
                <a:pPr>
                  <a:defRPr lang="en-US" sz="800" b="1" i="0" u="none" strike="noStrike" kern="1200" baseline="0">
                    <a:solidFill>
                      <a:schemeClr val="tx1"/>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'Жилища Обит Необит'!$O$4:$Q$4</c:f>
              <c:strCache>
                <c:ptCount val="3"/>
                <c:pt idx="0">
                  <c:v>Общо</c:v>
                </c:pt>
                <c:pt idx="1">
                  <c:v>В градовете</c:v>
                </c:pt>
                <c:pt idx="2">
                  <c:v>В селата</c:v>
                </c:pt>
              </c:strCache>
            </c:strRef>
          </c:cat>
          <c:val>
            <c:numRef>
              <c:f>'Жилища Обит Необит'!$O$5:$Q$5</c:f>
              <c:numCache>
                <c:formatCode>0.0%</c:formatCode>
                <c:ptCount val="3"/>
                <c:pt idx="0">
                  <c:v>0.61099169438412304</c:v>
                </c:pt>
                <c:pt idx="1">
                  <c:v>0.66622483849311598</c:v>
                </c:pt>
                <c:pt idx="2">
                  <c:v>0.49236836312764198</c:v>
                </c:pt>
              </c:numCache>
            </c:numRef>
          </c:val>
          <c:extLst>
            <c:ext xmlns:c16="http://schemas.microsoft.com/office/drawing/2014/chart" uri="{C3380CC4-5D6E-409C-BE32-E72D297353CC}">
              <c16:uniqueId val="{00000000-EFA0-426F-9399-4473B4602602}"/>
            </c:ext>
          </c:extLst>
        </c:ser>
        <c:ser>
          <c:idx val="1"/>
          <c:order val="1"/>
          <c:tx>
            <c:strRef>
              <c:f>'Жилища Обит Необит'!$N$6</c:f>
              <c:strCache>
                <c:ptCount val="1"/>
                <c:pt idx="0">
                  <c:v>Необитавани</c:v>
                </c:pt>
              </c:strCache>
            </c:strRef>
          </c:tx>
          <c:invertIfNegative val="0"/>
          <c:dLbls>
            <c:spPr>
              <a:noFill/>
              <a:ln>
                <a:noFill/>
              </a:ln>
              <a:effectLst/>
            </c:spPr>
            <c:txPr>
              <a:bodyPr rot="0" spcFirstLastPara="0" vertOverflow="ellipsis" vert="horz" wrap="square" lIns="38100" tIns="19050" rIns="38100" bIns="19050" anchor="ctr" anchorCtr="1">
                <a:spAutoFit/>
              </a:bodyPr>
              <a:lstStyle/>
              <a:p>
                <a:pPr>
                  <a:defRPr lang="en-US" sz="8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'Жилища Обит Необит'!$O$4:$Q$4</c:f>
              <c:strCache>
                <c:ptCount val="3"/>
                <c:pt idx="0">
                  <c:v>Общо</c:v>
                </c:pt>
                <c:pt idx="1">
                  <c:v>В градовете</c:v>
                </c:pt>
                <c:pt idx="2">
                  <c:v>В селата</c:v>
                </c:pt>
              </c:strCache>
            </c:strRef>
          </c:cat>
          <c:val>
            <c:numRef>
              <c:f>'Жилища Обит Необит'!$O$6:$Q$6</c:f>
              <c:numCache>
                <c:formatCode>0.0%</c:formatCode>
                <c:ptCount val="3"/>
                <c:pt idx="0">
                  <c:v>0.38900830561587701</c:v>
                </c:pt>
                <c:pt idx="1">
                  <c:v>0.33377516150688402</c:v>
                </c:pt>
                <c:pt idx="2">
                  <c:v>0.50763163687235802</c:v>
                </c:pt>
              </c:numCache>
            </c:numRef>
          </c:val>
          <c:extLst>
            <c:ext xmlns:c16="http://schemas.microsoft.com/office/drawing/2014/chart" uri="{C3380CC4-5D6E-409C-BE32-E72D297353CC}">
              <c16:uniqueId val="{00000001-EFA0-426F-9399-4473B4602602}"/>
            </c:ext>
          </c:extLst>
        </c:ser>
        <c:dLbls>
          <c:showLegendKey val="0"/>
          <c:showVal val="0"/>
          <c:showCatName val="0"/>
          <c:showSerName val="0"/>
          <c:showPercent val="0"/>
          <c:showBubbleSize val="0"/>
        </c:dLbls>
        <c:gapWidth val="150"/>
        <c:overlap val="100"/>
        <c:axId val="116406144"/>
        <c:axId val="122050048"/>
      </c:barChart>
      <c:catAx>
        <c:axId val="116406144"/>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en-US" sz="8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crossAx val="122050048"/>
        <c:crosses val="autoZero"/>
        <c:auto val="1"/>
        <c:lblAlgn val="ctr"/>
        <c:lblOffset val="100"/>
        <c:noMultiLvlLbl val="0"/>
      </c:catAx>
      <c:valAx>
        <c:axId val="122050048"/>
        <c:scaling>
          <c:orientation val="minMax"/>
          <c:max val="1"/>
        </c:scaling>
        <c:delete val="0"/>
        <c:axPos val="l"/>
        <c:majorGridlines/>
        <c:numFmt formatCode="0.0%" sourceLinked="1"/>
        <c:majorTickMark val="out"/>
        <c:minorTickMark val="none"/>
        <c:tickLblPos val="nextTo"/>
        <c:txPr>
          <a:bodyPr rot="-60000000" spcFirstLastPara="0" vertOverflow="ellipsis" vert="horz" wrap="square" anchor="ctr" anchorCtr="1"/>
          <a:lstStyle/>
          <a:p>
            <a:pPr>
              <a:defRPr lang="en-US" sz="8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crossAx val="116406144"/>
        <c:crosses val="autoZero"/>
        <c:crossBetween val="between"/>
      </c:valAx>
      <c:spPr>
        <a:solidFill>
          <a:schemeClr val="accent3">
            <a:lumMod val="20000"/>
            <a:lumOff val="80000"/>
          </a:schemeClr>
        </a:solidFill>
      </c:spPr>
    </c:plotArea>
    <c:legend>
      <c:legendPos val="b"/>
      <c:overlay val="0"/>
      <c:txPr>
        <a:bodyPr rot="0" spcFirstLastPara="0" vertOverflow="ellipsis" vert="horz" wrap="square" anchor="ctr" anchorCtr="1"/>
        <a:lstStyle/>
        <a:p>
          <a:pPr>
            <a:defRPr lang="en-US" sz="8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n-US"/>
        </a:p>
      </c:txPr>
    </c:legend>
    <c:plotVisOnly val="1"/>
    <c:dispBlanksAs val="gap"/>
    <c:showDLblsOverMax val="0"/>
    <c:extLst>
      <c:ext uri="{0b15fc19-7d7d-44ad-8c2d-2c3a37ce22c3}">
        <chartProps xmlns="https://web.wps.cn/et/2018/main" chartId="{cfc87120-dc08-46e8-8461-05a38a508079}"/>
      </c:ext>
    </c:extLst>
  </c:chart>
  <c:spPr>
    <a:solidFill>
      <a:schemeClr val="bg2"/>
    </a:solidFill>
    <a:effectLst>
      <a:innerShdw blurRad="114300">
        <a:prstClr val="black"/>
      </a:innerShdw>
    </a:effectLst>
  </c:spPr>
  <c:txPr>
    <a:bodyPr/>
    <a:lstStyle/>
    <a:p>
      <a:pPr>
        <a:defRPr lang="en-US"/>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1E1CDEE0-D90F-42DC-A8DF-511C25789BB2}">
    <t:Anchor>
      <t:Comment id="707359521"/>
    </t:Anchor>
    <t:History>
      <t:Event id="{6ADBEACF-0042-4E98-AF04-3A64DA4D5862}" time="2024-06-28T15:36:33.123Z">
        <t:Attribution userId="S::Julien.TAMI@ec.europa.eu::c9615180-b00a-4139-b71d-eaef727f76cd" userProvider="AD" userName="TAMI Julien (ENER)"/>
        <t:Anchor>
          <t:Comment id="707359521"/>
        </t:Anchor>
        <t:Create/>
      </t:Event>
      <t:Event id="{92F8A378-C33E-467C-B824-ACAD053B5EA0}" time="2024-06-28T15:36:33.123Z">
        <t:Attribution userId="S::Julien.TAMI@ec.europa.eu::c9615180-b00a-4139-b71d-eaef727f76cd" userProvider="AD" userName="TAMI Julien (ENER)"/>
        <t:Anchor>
          <t:Comment id="707359521"/>
        </t:Anchor>
        <t:Assign userId="S::Carmen.MADUTA@ec.europa.eu::07e7c82f-5670-43b4-a898-5fda386e575e" userProvider="AD" userName="MADUTA Carmen (JRC-ISPRA)"/>
      </t:Event>
      <t:Event id="{74E64766-6994-44E2-9723-55A53D4510AF}" time="2024-06-28T15:36:33.123Z">
        <t:Attribution userId="S::Julien.TAMI@ec.europa.eu::c9615180-b00a-4139-b71d-eaef727f76cd" userProvider="AD" userName="TAMI Julien (ENER)"/>
        <t:Anchor>
          <t:Comment id="707359521"/>
        </t:Anchor>
        <t:SetTitle title="@MADUTA Carmen (JRC-ISPRA) does this adress your comment? Otherwise do not hesitate to make suggestions in track changes : &quot;This should be clearly stated. If Member States report on buildings that are not under the EPBD scope, it needs to be explicit…"/>
      </t:Event>
      <t:Event id="{76AA4365-CACE-4A16-837E-3C599390F99F}" time="2024-07-19T14:59:51.465Z">
        <t:Attribution userId="S::julien.tami@ec.europa.eu::c9615180-b00a-4139-b71d-eaef727f76cd" userProvider="AD" userName="TAMI Julien (ENER)"/>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7a8bcd73-aa5c-42af-8596-b8ddbc92a389">
      <UserInfo>
        <DisplayName>MADUTA Carmen (JRC-ISPRA)</DisplayName>
        <AccountId>116</AccountId>
        <AccountType/>
      </UserInfo>
      <UserInfo>
        <DisplayName>DAGOSTINO Delia (JRC-ISPRA)</DisplayName>
        <AccountId>119</AccountId>
        <AccountType/>
      </UserInfo>
    </SharedWithUsers>
    <Comments xmlns="bd13a14c-be7c-4bc8-8e48-745473eb9856" xsi:nil="true"/>
    <lcf76f155ced4ddcb4097134ff3c332f xmlns="bd13a14c-be7c-4bc8-8e48-745473eb9856">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_Flow_SignoffStatus xmlns="bd13a14c-be7c-4bc8-8e48-745473eb9856" xsi:nil="true"/>
    <TaxCatchAll xmlns="7a8bcd73-aa5c-42af-8596-b8ddbc92a389" xsi:nil="true"/>
    <Foldermanager xmlns="bd13a14c-be7c-4bc8-8e48-745473eb985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609EAF4EBC7B145B9797F7661E3E36A" ma:contentTypeVersion="20" ma:contentTypeDescription="Create a new document." ma:contentTypeScope="" ma:versionID="3693972937c2dc7921b195387e975bbb">
  <xsd:schema xmlns:xsd="http://www.w3.org/2001/XMLSchema" xmlns:xs="http://www.w3.org/2001/XMLSchema" xmlns:p="http://schemas.microsoft.com/office/2006/metadata/properties" xmlns:ns2="bd13a14c-be7c-4bc8-8e48-745473eb9856" xmlns:ns3="7a8bcd73-aa5c-42af-8596-b8ddbc92a389" targetNamespace="http://schemas.microsoft.com/office/2006/metadata/properties" ma:root="true" ma:fieldsID="cd97e592494574c01eef061ec243d868" ns2:_="" ns3:_="">
    <xsd:import namespace="bd13a14c-be7c-4bc8-8e48-745473eb9856"/>
    <xsd:import namespace="7a8bcd73-aa5c-42af-8596-b8ddbc92a38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Comments" minOccurs="0"/>
                <xsd:element ref="ns2:Foldermanager"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_Flow_SignoffStatu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13a14c-be7c-4bc8-8e48-745473eb98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Comments" ma:index="14" nillable="true" ma:displayName="Comments" ma:format="Dropdown" ma:internalName="Comments">
      <xsd:simpleType>
        <xsd:restriction base="dms:Text">
          <xsd:maxLength value="255"/>
        </xsd:restriction>
      </xsd:simpleType>
    </xsd:element>
    <xsd:element name="Foldermanager" ma:index="15" nillable="true" ma:displayName="Folder manager" ma:format="Dropdown" ma:internalName="Foldermanager">
      <xsd:simpleType>
        <xsd:restriction base="dms:Text">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22b2fad6-9d2c-441c-a321-3f5f1e9bd928"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Location" ma:index="24" nillable="true" ma:displayName="Location" ma:indexed="true" ma:internalName="MediaServiceLocation" ma:readOnly="true">
      <xsd:simpleType>
        <xsd:restriction base="dms:Text"/>
      </xsd:simpleType>
    </xsd:element>
    <xsd:element name="_Flow_SignoffStatus" ma:index="25" nillable="true" ma:displayName="Sign-off status" ma:internalName="_x0024_Resources_x003a_core_x002c_Signoff_Status">
      <xsd:simpleType>
        <xsd:restriction base="dms:Text"/>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8bcd73-aa5c-42af-8596-b8ddbc92a38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1f2a03e0-88fb-41ff-a6b7-08a357705ffb}" ma:internalName="TaxCatchAll" ma:showField="CatchAllData" ma:web="7a8bcd73-aa5c-42af-8596-b8ddbc92a3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66825D1-7D79-4038-B307-BEFF72ECF0C5}">
  <ds:schemaRefs>
    <ds:schemaRef ds:uri="http://schemas.microsoft.com/sharepoint/v3/contenttype/forms"/>
  </ds:schemaRefs>
</ds:datastoreItem>
</file>

<file path=customXml/itemProps2.xml><?xml version="1.0" encoding="utf-8"?>
<ds:datastoreItem xmlns:ds="http://schemas.openxmlformats.org/officeDocument/2006/customXml" ds:itemID="{9C85529D-40EF-4942-8298-4751DA2A224B}">
  <ds:schemaRefs>
    <ds:schemaRef ds:uri="http://schemas.microsoft.com/office/2006/metadata/properties"/>
    <ds:schemaRef ds:uri="http://schemas.microsoft.com/office/infopath/2007/PartnerControls"/>
    <ds:schemaRef ds:uri="7a8bcd73-aa5c-42af-8596-b8ddbc92a389"/>
    <ds:schemaRef ds:uri="bd13a14c-be7c-4bc8-8e48-745473eb9856"/>
  </ds:schemaRefs>
</ds:datastoreItem>
</file>

<file path=customXml/itemProps3.xml><?xml version="1.0" encoding="utf-8"?>
<ds:datastoreItem xmlns:ds="http://schemas.openxmlformats.org/officeDocument/2006/customXml" ds:itemID="{3B58DC19-8B57-42B6-9E9D-72710F5640CA}">
  <ds:schemaRefs>
    <ds:schemaRef ds:uri="http://schemas.openxmlformats.org/officeDocument/2006/bibliography"/>
  </ds:schemaRefs>
</ds:datastoreItem>
</file>

<file path=customXml/itemProps4.xml><?xml version="1.0" encoding="utf-8"?>
<ds:datastoreItem xmlns:ds="http://schemas.openxmlformats.org/officeDocument/2006/customXml" ds:itemID="{AE3C0228-C03C-48D1-A509-32D05431DB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13a14c-be7c-4bc8-8e48-745473eb9856"/>
    <ds:schemaRef ds:uri="7a8bcd73-aa5c-42af-8596-b8ddbc92a3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285</Pages>
  <Words>97233</Words>
  <Characters>554229</Characters>
  <Application>Microsoft Office Word</Application>
  <DocSecurity>0</DocSecurity>
  <Lines>4618</Lines>
  <Paragraphs>1300</Paragraphs>
  <ScaleCrop>false</ScaleCrop>
  <HeadingPairs>
    <vt:vector size="2" baseType="variant">
      <vt:variant>
        <vt:lpstr>Title</vt:lpstr>
      </vt:variant>
      <vt:variant>
        <vt:i4>1</vt:i4>
      </vt:variant>
    </vt:vector>
  </HeadingPairs>
  <TitlesOfParts>
    <vt:vector size="1" baseType="lpstr">
      <vt:lpstr/>
    </vt:vector>
  </TitlesOfParts>
  <Company>European Commission</Company>
  <LinksUpToDate>false</LinksUpToDate>
  <CharactersWithSpaces>650162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TAMI Julien (ENER)</dc:creator>
  <cp:keywords/>
  <dc:description/>
  <cp:lastModifiedBy>Margarita</cp:lastModifiedBy>
  <cp:revision>13</cp:revision>
  <dcterms:created xsi:type="dcterms:W3CDTF">2025-12-29T07:11:00Z</dcterms:created>
  <dcterms:modified xsi:type="dcterms:W3CDTF">2025-12-29T08:50:00Z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bd9ddd1-4d20-43f6-abfa-fc3c07406f94_Enabled">
    <vt:lpwstr>true</vt:lpwstr>
  </property>
  <property fmtid="{D5CDD505-2E9C-101B-9397-08002B2CF9AE}" pid="3" name="MSIP_Label_6bd9ddd1-4d20-43f6-abfa-fc3c07406f94_SetDate">
    <vt:lpwstr>2024-03-14T13:52:09Z</vt:lpwstr>
  </property>
  <property fmtid="{D5CDD505-2E9C-101B-9397-08002B2CF9AE}" pid="4" name="MSIP_Label_6bd9ddd1-4d20-43f6-abfa-fc3c07406f94_Method">
    <vt:lpwstr>Standard</vt:lpwstr>
  </property>
  <property fmtid="{D5CDD505-2E9C-101B-9397-08002B2CF9AE}" pid="5" name="MSIP_Label_6bd9ddd1-4d20-43f6-abfa-fc3c07406f94_Name">
    <vt:lpwstr>Commission Use</vt:lpwstr>
  </property>
  <property fmtid="{D5CDD505-2E9C-101B-9397-08002B2CF9AE}" pid="6" name="MSIP_Label_6bd9ddd1-4d20-43f6-abfa-fc3c07406f94_SiteId">
    <vt:lpwstr>b24c8b06-522c-46fe-9080-70926f8dddb1</vt:lpwstr>
  </property>
  <property fmtid="{D5CDD505-2E9C-101B-9397-08002B2CF9AE}" pid="7" name="MSIP_Label_6bd9ddd1-4d20-43f6-abfa-fc3c07406f94_ActionId">
    <vt:lpwstr>71e294f6-2735-4232-89eb-6f2d00632cd7</vt:lpwstr>
  </property>
  <property fmtid="{D5CDD505-2E9C-101B-9397-08002B2CF9AE}" pid="8" name="MSIP_Label_6bd9ddd1-4d20-43f6-abfa-fc3c07406f94_ContentBits">
    <vt:lpwstr>0</vt:lpwstr>
  </property>
  <property fmtid="{D5CDD505-2E9C-101B-9397-08002B2CF9AE}" pid="9" name="ContentTypeId">
    <vt:lpwstr>0x0101007609EAF4EBC7B145B9797F7661E3E36A</vt:lpwstr>
  </property>
  <property fmtid="{D5CDD505-2E9C-101B-9397-08002B2CF9AE}" pid="10" name="MediaServiceImageTags">
    <vt:lpwstr/>
  </property>
</Properties>
</file>